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 xml:space="preserve">Washington, D.C. </w:t>
      </w:r>
      <w:r>
        <w:rPr>
          <w:rFonts w:ascii="Times New Roman" w:cs="Times New Roman" w:eastAsia="Times New Roman" w:hAnsi="Times New Roman"/>
          <w:sz w:val="17"/>
          <w:szCs w:val="17"/>
          <w:b w:val="1"/>
          <w:bCs w:val="1"/>
          <w:color w:val="auto"/>
        </w:rPr>
        <w:t>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60325</wp:posOffset>
            </wp:positionV>
            <wp:extent cx="184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52705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1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4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fiscal year ended July 31, 2022</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80" w:hanging="620"/>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160" w:type="dxa"/>
            <w:vAlign w:val="bottom"/>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5"/>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BRADY CORPORATION</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7560" w:type="dxa"/>
            <w:vAlign w:val="bottom"/>
            <w:gridSpan w:val="5"/>
          </w:tcPr>
          <w:p>
            <w:pPr>
              <w:jc w:val="center"/>
              <w:ind w:right="364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tc>
        <w:tc>
          <w:tcPr>
            <w:tcW w:w="0" w:type="dxa"/>
            <w:vAlign w:val="bottom"/>
          </w:tcPr>
          <w:p>
            <w:pPr>
              <w:spacing w:after="0"/>
              <w:rPr>
                <w:sz w:val="1"/>
                <w:szCs w:val="1"/>
                <w:color w:val="auto"/>
              </w:rPr>
            </w:pPr>
          </w:p>
        </w:tc>
      </w:tr>
      <w:tr>
        <w:trPr>
          <w:trHeight w:val="78"/>
        </w:trPr>
        <w:tc>
          <w:tcPr>
            <w:tcW w:w="3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370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Wisconsin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2"/>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39-0178960</w:t>
            </w:r>
          </w:p>
        </w:tc>
        <w:tc>
          <w:tcPr>
            <w:tcW w:w="0" w:type="dxa"/>
            <w:vAlign w:val="bottom"/>
          </w:tcPr>
          <w:p>
            <w:pPr>
              <w:spacing w:after="0"/>
              <w:rPr>
                <w:sz w:val="1"/>
                <w:szCs w:val="1"/>
                <w:color w:val="auto"/>
              </w:rPr>
            </w:pPr>
          </w:p>
        </w:tc>
      </w:tr>
      <w:tr>
        <w:trPr>
          <w:trHeight w:val="203"/>
        </w:trPr>
        <w:tc>
          <w:tcPr>
            <w:tcW w:w="676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00" w:type="dxa"/>
            <w:vAlign w:val="bottom"/>
          </w:tcPr>
          <w:p>
            <w:pPr>
              <w:spacing w:after="0"/>
              <w:rPr>
                <w:sz w:val="17"/>
                <w:szCs w:val="17"/>
                <w:color w:val="auto"/>
              </w:rPr>
            </w:pPr>
          </w:p>
        </w:tc>
        <w:tc>
          <w:tcPr>
            <w:tcW w:w="420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69"/>
        </w:trPr>
        <w:tc>
          <w:tcPr>
            <w:tcW w:w="3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6555 West Good Hope Road</w:t>
            </w:r>
          </w:p>
        </w:tc>
        <w:tc>
          <w:tcPr>
            <w:tcW w:w="3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Milwaukee, Wisconsin 53233</w:t>
            </w:r>
          </w:p>
        </w:tc>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7560" w:type="dxa"/>
            <w:vAlign w:val="bottom"/>
            <w:gridSpan w:val="5"/>
          </w:tcPr>
          <w:p>
            <w:pPr>
              <w:jc w:val="center"/>
              <w:ind w:right="36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0" w:type="dxa"/>
            <w:vAlign w:val="bottom"/>
          </w:tcPr>
          <w:p>
            <w:pPr>
              <w:spacing w:after="0"/>
              <w:rPr>
                <w:sz w:val="1"/>
                <w:szCs w:val="1"/>
                <w:color w:val="auto"/>
              </w:rPr>
            </w:pPr>
          </w:p>
        </w:tc>
      </w:tr>
      <w:tr>
        <w:trPr>
          <w:trHeight w:val="269"/>
        </w:trPr>
        <w:tc>
          <w:tcPr>
            <w:tcW w:w="3700" w:type="dxa"/>
            <w:vAlign w:val="bottom"/>
          </w:tcPr>
          <w:p>
            <w:pPr>
              <w:spacing w:after="0"/>
              <w:rPr>
                <w:sz w:val="23"/>
                <w:szCs w:val="23"/>
                <w:color w:val="auto"/>
              </w:rPr>
            </w:pPr>
          </w:p>
        </w:tc>
        <w:tc>
          <w:tcPr>
            <w:tcW w:w="3060" w:type="dxa"/>
            <w:vAlign w:val="bottom"/>
            <w:gridSpan w:val="3"/>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(414) 358-6600</w:t>
            </w:r>
          </w:p>
        </w:tc>
        <w:tc>
          <w:tcPr>
            <w:tcW w:w="3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7560" w:type="dxa"/>
            <w:vAlign w:val="bottom"/>
            <w:gridSpan w:val="5"/>
          </w:tcPr>
          <w:p>
            <w:pPr>
              <w:jc w:val="center"/>
              <w:ind w:right="36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9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7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3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45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6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5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3" w:lineRule="exact"/>
        <w:rPr>
          <w:sz w:val="24"/>
          <w:szCs w:val="24"/>
          <w:color w:val="auto"/>
        </w:rPr>
      </w:pPr>
    </w:p>
    <w:p>
      <w:pPr>
        <w:spacing w:after="0" w:line="184" w:lineRule="exact"/>
        <w:tabs>
          <w:tab w:leader="none" w:pos="7000" w:val="left"/>
          <w:tab w:leader="none" w:pos="762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44" w:lineRule="exact"/>
        <w:rPr>
          <w:sz w:val="24"/>
          <w:szCs w:val="24"/>
          <w:color w:val="auto"/>
        </w:rPr>
      </w:pPr>
    </w:p>
    <w:p>
      <w:pPr>
        <w:jc w:val="both"/>
        <w:ind w:right="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right="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40"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03"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4"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44" w:lineRule="exact"/>
        <w:rPr>
          <w:sz w:val="24"/>
          <w:szCs w:val="24"/>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non-voting common stock held by non-affiliates of the registrant as of January 31, 2022, was approximately $2,357,701,247 based on the closing sale price of $51.92 per share on that date as reported for the New York Stock Exchange. As of August 31, 2022, there were 46,380,310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7"/>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8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130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Item 1. Business</w:t>
            </w:r>
          </w:p>
        </w:tc>
        <w:tc>
          <w:tcPr>
            <w:tcW w:w="3280" w:type="dxa"/>
            <w:vAlign w:val="bottom"/>
            <w:gridSpan w:val="25"/>
            <w:vMerge w:val="restart"/>
          </w:tcPr>
          <w:p>
            <w:pPr>
              <w:spacing w:after="0" w:line="20" w:lineRule="exact"/>
              <w:rPr>
                <w:sz w:val="1"/>
                <w:szCs w:val="1"/>
                <w:color w:val="auto"/>
              </w:rPr>
            </w:pPr>
          </w:p>
        </w:tc>
        <w:tc>
          <w:tcPr>
            <w:tcW w:w="580" w:type="dxa"/>
            <w:vAlign w:val="bottom"/>
            <w:tcBorders>
              <w:top w:val="single" w:sz="8" w:color="auto"/>
              <w:bottom w:val="single" w:sz="8" w:color="auto"/>
            </w:tcBorders>
            <w:gridSpan w:val="5"/>
            <w:vMerge w:val="restart"/>
          </w:tcPr>
          <w:p>
            <w:pPr>
              <w:spacing w:after="0" w:line="20" w:lineRule="exact"/>
              <w:rPr>
                <w:sz w:val="1"/>
                <w:szCs w:val="1"/>
                <w:color w:val="auto"/>
              </w:rPr>
            </w:pPr>
          </w:p>
        </w:tc>
        <w:tc>
          <w:tcPr>
            <w:tcW w:w="4580" w:type="dxa"/>
            <w:vAlign w:val="bottom"/>
            <w:gridSpan w:val="11"/>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00" w:type="dxa"/>
            <w:vAlign w:val="bottom"/>
            <w:gridSpan w:val="5"/>
            <w:vMerge w:val="continue"/>
          </w:tcPr>
          <w:p>
            <w:pPr>
              <w:spacing w:after="0"/>
              <w:rPr>
                <w:sz w:val="14"/>
                <w:szCs w:val="14"/>
                <w:color w:val="auto"/>
              </w:rPr>
            </w:pPr>
          </w:p>
        </w:tc>
        <w:tc>
          <w:tcPr>
            <w:tcW w:w="3280" w:type="dxa"/>
            <w:vAlign w:val="bottom"/>
            <w:gridSpan w:val="25"/>
            <w:vMerge w:val="continue"/>
          </w:tcPr>
          <w:p>
            <w:pPr>
              <w:spacing w:after="0"/>
              <w:rPr>
                <w:sz w:val="14"/>
                <w:szCs w:val="14"/>
                <w:color w:val="auto"/>
              </w:rPr>
            </w:pPr>
          </w:p>
        </w:tc>
        <w:tc>
          <w:tcPr>
            <w:tcW w:w="580" w:type="dxa"/>
            <w:vAlign w:val="bottom"/>
            <w:gridSpan w:val="5"/>
            <w:vMerge w:val="continue"/>
          </w:tcPr>
          <w:p>
            <w:pPr>
              <w:spacing w:after="0"/>
              <w:rPr>
                <w:sz w:val="14"/>
                <w:szCs w:val="14"/>
                <w:color w:val="auto"/>
              </w:rPr>
            </w:pPr>
          </w:p>
        </w:tc>
        <w:tc>
          <w:tcPr>
            <w:tcW w:w="4580" w:type="dxa"/>
            <w:vAlign w:val="bottom"/>
            <w:gridSpan w:val="11"/>
            <w:vMerge w:val="continue"/>
          </w:tcPr>
          <w:p>
            <w:pPr>
              <w:spacing w:after="0"/>
              <w:rPr>
                <w:sz w:val="14"/>
                <w:szCs w:val="14"/>
                <w:color w:val="auto"/>
              </w:rPr>
            </w:pPr>
          </w:p>
        </w:tc>
        <w:tc>
          <w:tcPr>
            <w:tcW w:w="1480" w:type="dxa"/>
            <w:vAlign w:val="bottom"/>
            <w:gridSpan w:val="4"/>
          </w:tcPr>
          <w:p>
            <w:pPr>
              <w:jc w:val="right"/>
              <w:ind w:right="20"/>
              <w:spacing w:after="0" w:line="156"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5"/>
              </w:rPr>
              <w:t>General Development of Business</w:t>
            </w:r>
          </w:p>
        </w:tc>
        <w:tc>
          <w:tcPr>
            <w:tcW w:w="7000" w:type="dxa"/>
            <w:vAlign w:val="bottom"/>
            <w:gridSpan w:val="2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4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6"/>
              </w:rPr>
              <w:t>Narrative Description of Business</w:t>
            </w:r>
          </w:p>
        </w:tc>
        <w:tc>
          <w:tcPr>
            <w:tcW w:w="7000" w:type="dxa"/>
            <w:vAlign w:val="bottom"/>
            <w:gridSpan w:val="2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Overview</w:t>
            </w:r>
          </w:p>
        </w:tc>
        <w:tc>
          <w:tcPr>
            <w:tcW w:w="7000" w:type="dxa"/>
            <w:vAlign w:val="bottom"/>
            <w:gridSpan w:val="2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Research and Development</w:t>
            </w:r>
          </w:p>
        </w:tc>
        <w:tc>
          <w:tcPr>
            <w:tcW w:w="7100" w:type="dxa"/>
            <w:vAlign w:val="bottom"/>
            <w:gridSpan w:val="29"/>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Operations</w:t>
            </w:r>
          </w:p>
        </w:tc>
        <w:tc>
          <w:tcPr>
            <w:tcW w:w="7100" w:type="dxa"/>
            <w:vAlign w:val="bottom"/>
            <w:gridSpan w:val="29"/>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Human Capital Management</w:t>
            </w:r>
          </w:p>
        </w:tc>
        <w:tc>
          <w:tcPr>
            <w:tcW w:w="7000" w:type="dxa"/>
            <w:vAlign w:val="bottom"/>
            <w:gridSpan w:val="2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7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7"/>
              </w:rPr>
              <w:t>Information Available on the Internet</w:t>
            </w:r>
          </w:p>
        </w:tc>
        <w:tc>
          <w:tcPr>
            <w:tcW w:w="6720" w:type="dxa"/>
            <w:vAlign w:val="bottom"/>
            <w:gridSpan w:val="2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140" w:type="dxa"/>
            <w:vAlign w:val="bottom"/>
            <w:gridSpan w:val="39"/>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2. Properties</w:t>
            </w:r>
          </w:p>
        </w:tc>
        <w:tc>
          <w:tcPr>
            <w:tcW w:w="1440" w:type="dxa"/>
            <w:vAlign w:val="bottom"/>
            <w:tcBorders>
              <w:top w:val="single" w:sz="8" w:color="0000FF"/>
            </w:tcBorders>
            <w:gridSpan w:val="13"/>
          </w:tcPr>
          <w:p>
            <w:pPr>
              <w:spacing w:after="0"/>
              <w:rPr>
                <w:sz w:val="18"/>
                <w:szCs w:val="18"/>
                <w:color w:val="auto"/>
              </w:rPr>
            </w:pPr>
          </w:p>
        </w:tc>
        <w:tc>
          <w:tcPr>
            <w:tcW w:w="7000" w:type="dxa"/>
            <w:vAlign w:val="bottom"/>
            <w:gridSpan w:val="28"/>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7840" w:type="dxa"/>
            <w:vAlign w:val="bottom"/>
            <w:gridSpan w:val="38"/>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540" w:type="dxa"/>
            <w:vAlign w:val="bottom"/>
            <w:gridSpan w:val="10"/>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tcBorders>
              <w:bottom w:val="single" w:sz="8" w:color="0000FF"/>
            </w:tcBorders>
            <w:gridSpan w:val="45"/>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2720" w:type="dxa"/>
            <w:vAlign w:val="bottom"/>
            <w:gridSpan w:val="5"/>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700" w:type="dxa"/>
            <w:vAlign w:val="bottom"/>
            <w:gridSpan w:val="1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4600" w:type="dxa"/>
            <w:vAlign w:val="bottom"/>
            <w:tcBorders>
              <w:top w:val="single" w:sz="8" w:color="0000FF"/>
            </w:tcBorders>
            <w:gridSpan w:val="27"/>
          </w:tcPr>
          <w:p>
            <w:pPr>
              <w:spacing w:after="0"/>
              <w:rPr>
                <w:sz w:val="18"/>
                <w:szCs w:val="18"/>
                <w:color w:val="auto"/>
              </w:rPr>
            </w:pPr>
          </w:p>
        </w:tc>
        <w:tc>
          <w:tcPr>
            <w:tcW w:w="2680" w:type="dxa"/>
            <w:vAlign w:val="bottom"/>
            <w:gridSpan w:val="4"/>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7740" w:type="dxa"/>
            <w:vAlign w:val="bottom"/>
            <w:gridSpan w:val="37"/>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100" w:type="dxa"/>
            <w:vAlign w:val="bottom"/>
            <w:gridSpan w:val="7"/>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4500" w:type="dxa"/>
            <w:vAlign w:val="bottom"/>
            <w:gridSpan w:val="8"/>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000" w:type="dxa"/>
            <w:vAlign w:val="bottom"/>
            <w:gridSpan w:val="14"/>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5"/>
          </w:tcPr>
          <w:p>
            <w:pPr>
              <w:ind w:left="20"/>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780" w:type="dxa"/>
            <w:vAlign w:val="bottom"/>
            <w:tcBorders>
              <w:bottom w:val="single" w:sz="8" w:color="0000FF"/>
            </w:tcBorders>
            <w:gridSpan w:val="42"/>
          </w:tcPr>
          <w:p>
            <w:pPr>
              <w:ind w:left="20"/>
              <w:spacing w:after="0"/>
              <w:rPr>
                <w:sz w:val="20"/>
                <w:szCs w:val="20"/>
                <w:color w:val="auto"/>
              </w:rPr>
            </w:pPr>
            <w:r>
              <w:rPr>
                <w:rFonts w:ascii="Times New Roman" w:cs="Times New Roman" w:eastAsia="Times New Roman" w:hAnsi="Times New Roman"/>
                <w:sz w:val="18"/>
                <w:szCs w:val="18"/>
                <w:color w:val="0000FF"/>
                <w:w w:val="99"/>
              </w:rPr>
              <w:t>Management Development and Compensation Committee Interlocks and Insider Participation</w:t>
            </w:r>
          </w:p>
        </w:tc>
        <w:tc>
          <w:tcPr>
            <w:tcW w:w="264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740" w:type="dxa"/>
            <w:vAlign w:val="bottom"/>
            <w:tcBorders>
              <w:bottom w:val="single" w:sz="8" w:color="0000FF"/>
            </w:tcBorders>
            <w:gridSpan w:val="33"/>
          </w:tcPr>
          <w:p>
            <w:pPr>
              <w:ind w:left="20"/>
              <w:spacing w:after="0"/>
              <w:rPr>
                <w:sz w:val="20"/>
                <w:szCs w:val="20"/>
                <w:color w:val="auto"/>
              </w:rPr>
            </w:pPr>
            <w:r>
              <w:rPr>
                <w:rFonts w:ascii="Times New Roman" w:cs="Times New Roman" w:eastAsia="Times New Roman" w:hAnsi="Times New Roman"/>
                <w:sz w:val="18"/>
                <w:szCs w:val="18"/>
                <w:color w:val="0000FF"/>
                <w:w w:val="99"/>
              </w:rPr>
              <w:t>Management Development and Compensation Committee Report</w:t>
            </w:r>
          </w:p>
        </w:tc>
        <w:tc>
          <w:tcPr>
            <w:tcW w:w="4680" w:type="dxa"/>
            <w:vAlign w:val="bottom"/>
            <w:gridSpan w:val="1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420" w:type="dxa"/>
            <w:vAlign w:val="bottom"/>
            <w:gridSpan w:val="45"/>
          </w:tcPr>
          <w:p>
            <w:pPr>
              <w:ind w:left="20"/>
              <w:spacing w:after="0"/>
              <w:rPr>
                <w:sz w:val="20"/>
                <w:szCs w:val="20"/>
                <w:color w:val="auto"/>
              </w:rPr>
            </w:pPr>
            <w:r>
              <w:rPr>
                <w:rFonts w:ascii="Times New Roman" w:cs="Times New Roman" w:eastAsia="Times New Roman" w:hAnsi="Times New Roman"/>
                <w:sz w:val="18"/>
                <w:szCs w:val="18"/>
                <w:color w:val="0000FF"/>
              </w:rPr>
              <w:t>Compensation Policies and Practices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8"/>
              </w:rPr>
              <w:t>Summary Compensation Table</w:t>
            </w:r>
          </w:p>
        </w:tc>
        <w:tc>
          <w:tcPr>
            <w:tcW w:w="460" w:type="dxa"/>
            <w:vAlign w:val="bottom"/>
            <w:tcBorders>
              <w:top w:val="single" w:sz="8" w:color="0000FF"/>
            </w:tcBorders>
            <w:gridSpan w:val="3"/>
          </w:tcPr>
          <w:p>
            <w:pPr>
              <w:spacing w:after="0"/>
              <w:rPr>
                <w:sz w:val="18"/>
                <w:szCs w:val="18"/>
                <w:color w:val="auto"/>
              </w:rPr>
            </w:pPr>
          </w:p>
        </w:tc>
        <w:tc>
          <w:tcPr>
            <w:tcW w:w="6720" w:type="dxa"/>
            <w:vAlign w:val="bottom"/>
            <w:gridSpan w:val="27"/>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86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Grants of Plan-Based Awards for 2022</w:t>
            </w:r>
          </w:p>
        </w:tc>
        <w:tc>
          <w:tcPr>
            <w:tcW w:w="6560" w:type="dxa"/>
            <w:vAlign w:val="bottom"/>
            <w:gridSpan w:val="26"/>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5"/>
          </w:tcPr>
          <w:p>
            <w:pPr>
              <w:ind w:left="20"/>
              <w:spacing w:after="0"/>
              <w:rPr>
                <w:sz w:val="20"/>
                <w:szCs w:val="20"/>
                <w:color w:val="auto"/>
              </w:rPr>
            </w:pPr>
            <w:r>
              <w:rPr>
                <w:rFonts w:ascii="Times New Roman" w:cs="Times New Roman" w:eastAsia="Times New Roman" w:hAnsi="Times New Roman"/>
                <w:sz w:val="18"/>
                <w:szCs w:val="18"/>
                <w:color w:val="0000FF"/>
              </w:rPr>
              <w:t>Outstanding Equity Awards at 2022 Fiscal Year End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760" w:type="dxa"/>
            <w:vAlign w:val="bottom"/>
            <w:tcBorders>
              <w:top w:val="single" w:sz="8" w:color="0000FF"/>
            </w:tcBorders>
            <w:gridSpan w:val="24"/>
          </w:tcPr>
          <w:p>
            <w:pPr>
              <w:ind w:left="20"/>
              <w:spacing w:after="0"/>
              <w:rPr>
                <w:sz w:val="20"/>
                <w:szCs w:val="20"/>
                <w:color w:val="auto"/>
              </w:rPr>
            </w:pPr>
            <w:r>
              <w:rPr>
                <w:rFonts w:ascii="Times New Roman" w:cs="Times New Roman" w:eastAsia="Times New Roman" w:hAnsi="Times New Roman"/>
                <w:sz w:val="18"/>
                <w:szCs w:val="18"/>
                <w:color w:val="0000FF"/>
              </w:rPr>
              <w:t>Option Exercises and Stock Vested for Fiscal 2022</w:t>
            </w:r>
          </w:p>
        </w:tc>
        <w:tc>
          <w:tcPr>
            <w:tcW w:w="5660" w:type="dxa"/>
            <w:vAlign w:val="bottom"/>
            <w:gridSpan w:val="21"/>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5"/>
          </w:tcPr>
          <w:p>
            <w:pPr>
              <w:ind w:left="20"/>
              <w:spacing w:after="0"/>
              <w:rPr>
                <w:sz w:val="20"/>
                <w:szCs w:val="20"/>
                <w:color w:val="auto"/>
              </w:rPr>
            </w:pPr>
            <w:r>
              <w:rPr>
                <w:rFonts w:ascii="Times New Roman" w:cs="Times New Roman" w:eastAsia="Times New Roman" w:hAnsi="Times New Roman"/>
                <w:sz w:val="18"/>
                <w:szCs w:val="18"/>
                <w:color w:val="0000FF"/>
              </w:rPr>
              <w:t>Non-Qualified Deferred Compensation for Fiscal 2022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420" w:type="dxa"/>
            <w:vAlign w:val="bottom"/>
            <w:gridSpan w:val="45"/>
          </w:tcPr>
          <w:p>
            <w:pPr>
              <w:ind w:left="20"/>
              <w:spacing w:after="0"/>
              <w:rPr>
                <w:sz w:val="20"/>
                <w:szCs w:val="20"/>
                <w:color w:val="auto"/>
              </w:rPr>
            </w:pPr>
            <w:r>
              <w:rPr>
                <w:rFonts w:ascii="Times New Roman" w:cs="Times New Roman" w:eastAsia="Times New Roman" w:hAnsi="Times New Roman"/>
                <w:sz w:val="18"/>
                <w:szCs w:val="18"/>
                <w:color w:val="0000FF"/>
              </w:rPr>
              <w:t>Potential Payments Upon Termination or Change in Control</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94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CEO Pay Ratio Disclosure</w:t>
            </w:r>
          </w:p>
        </w:tc>
        <w:tc>
          <w:tcPr>
            <w:tcW w:w="2380" w:type="dxa"/>
            <w:vAlign w:val="bottom"/>
            <w:tcBorders>
              <w:top w:val="single" w:sz="8" w:color="0000FF"/>
            </w:tcBorders>
            <w:gridSpan w:val="20"/>
          </w:tcPr>
          <w:p>
            <w:pPr>
              <w:spacing w:after="0"/>
              <w:rPr>
                <w:sz w:val="18"/>
                <w:szCs w:val="18"/>
                <w:color w:val="auto"/>
              </w:rPr>
            </w:pPr>
          </w:p>
        </w:tc>
        <w:tc>
          <w:tcPr>
            <w:tcW w:w="5100" w:type="dxa"/>
            <w:vAlign w:val="bottom"/>
            <w:gridSpan w:val="15"/>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96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Compensation of Directors</w:t>
            </w:r>
          </w:p>
        </w:tc>
        <w:tc>
          <w:tcPr>
            <w:tcW w:w="7460" w:type="dxa"/>
            <w:vAlign w:val="bottom"/>
            <w:gridSpan w:val="34"/>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420" w:type="dxa"/>
            <w:vAlign w:val="bottom"/>
            <w:gridSpan w:val="45"/>
          </w:tcPr>
          <w:p>
            <w:pPr>
              <w:ind w:left="20"/>
              <w:spacing w:after="0"/>
              <w:rPr>
                <w:sz w:val="20"/>
                <w:szCs w:val="20"/>
                <w:color w:val="auto"/>
              </w:rPr>
            </w:pPr>
            <w:r>
              <w:rPr>
                <w:rFonts w:ascii="Times New Roman" w:cs="Times New Roman" w:eastAsia="Times New Roman" w:hAnsi="Times New Roman"/>
                <w:sz w:val="18"/>
                <w:szCs w:val="18"/>
                <w:color w:val="0000FF"/>
              </w:rPr>
              <w:t>Director Compensation Table — Fiscal 2022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0000FF"/>
            </w:tcBorders>
            <w:gridSpan w:val="44"/>
          </w:tcPr>
          <w:p>
            <w:pPr>
              <w:spacing w:after="0"/>
              <w:rPr>
                <w:sz w:val="20"/>
                <w:szCs w:val="20"/>
                <w:color w:val="auto"/>
              </w:rPr>
            </w:pPr>
            <w:r>
              <w:rPr>
                <w:rFonts w:ascii="Times New Roman" w:cs="Times New Roman" w:eastAsia="Times New Roman" w:hAnsi="Times New Roman"/>
                <w:sz w:val="18"/>
                <w:szCs w:val="18"/>
                <w:color w:val="0000FF"/>
              </w:rPr>
              <w:t>Item 13. Certain Relationships, Related Transactions, and Director Independence</w:t>
            </w:r>
          </w:p>
        </w:tc>
        <w:tc>
          <w:tcPr>
            <w:tcW w:w="180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3900" w:type="dxa"/>
            <w:vAlign w:val="bottom"/>
            <w:gridSpan w:val="6"/>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18"/>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2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700" w:type="dxa"/>
            <w:vAlign w:val="bottom"/>
            <w:tcBorders>
              <w:top w:val="single" w:sz="8" w:color="auto"/>
            </w:tcBorders>
            <w:gridSpan w:val="9"/>
          </w:tcPr>
          <w:p>
            <w:pPr>
              <w:spacing w:after="0"/>
              <w:rPr>
                <w:sz w:val="18"/>
                <w:szCs w:val="18"/>
                <w:color w:val="auto"/>
              </w:rPr>
            </w:pPr>
          </w:p>
        </w:tc>
        <w:tc>
          <w:tcPr>
            <w:tcW w:w="4520" w:type="dxa"/>
            <w:vAlign w:val="bottom"/>
            <w:gridSpan w:val="9"/>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600" w:type="dxa"/>
            <w:vAlign w:val="bottom"/>
            <w:tcBorders>
              <w:top w:val="single" w:sz="8" w:color="0000FF"/>
            </w:tcBorders>
            <w:gridSpan w:val="12"/>
          </w:tcPr>
          <w:p>
            <w:pPr>
              <w:spacing w:after="0"/>
              <w:rPr>
                <w:sz w:val="18"/>
                <w:szCs w:val="18"/>
                <w:color w:val="auto"/>
              </w:rPr>
            </w:pPr>
          </w:p>
        </w:tc>
        <w:tc>
          <w:tcPr>
            <w:tcW w:w="5940" w:type="dxa"/>
            <w:vAlign w:val="bottom"/>
            <w:gridSpan w:val="24"/>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for Brady Corporation ("Brady," "Company," "we," "us,"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labor and freight as well as raw material shortages and supply chain disruptions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the novel coronavirus ("COVID-19") pandemic or other pandemics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its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this Annual Report on Form 10-K.</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Development of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was incorporated under the laws of the state of Wisconsin in 1914. The Company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08"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 Technologically-advanced, internally-developed proprietary products that drive revenue growth and sustain gross profit margins.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 Understanding customer needs and providing a high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leadership position in niche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expertise.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 Continuous productivity improvement, automation, and product customization capabilities.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Brady's long-term sales growth and profitability will depend not only on the overall economic environment and our ability to successfully navigate changes in the macro environment, but also on our ability to develop and market innovative new products, deliver a high level of customer service, advance our digital capabilities, and continuously improve the efficiency of our global operations. In our Identification Solutions ("ID Solutions" or "IDS") business, our strategy for growth includes an increased focus on certain industries and products, a focus on improving the customer buying experience, and the development of technologically advanced, innovative and proprietary products. In our Workplace Safety ("WPS") business, our strategy for growth includes a focus on workplace safety critical industries, streamlining our product offerings, compliance expertise, customization expertise, improving the overall customer experience, and improving our digital capabilities.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were key initiatives supporting the strategy in fiscal 2022:</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supply chain disruptions and inflationary pressures while ensuring prices are market competitive.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acquisitions that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and managed on a global basis within two reportable segments: Identification Solutions and Workplace Safety.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IDS segment includes high-performance and innovative safety, identification and healthcare products manufactured under multiple brands, including the Brady brand. Industrial identification products are sold through distribution to a broad range of maintenance, repair, and operations ("MRO") and original equipment manufacturing customers and through other channels, including direct sales and digital. Healthcare identification products are sold directly to customers and through distribution and group purchasing organizations.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WPS segment includes workplace safety, identification and compliance products sold under multiple brand names primarily through catalog and digital channels to a broad range of MRO customers. Approximately 40% of the WPS business is derived from internally manufactured products and 60% is from externally sourced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sales by reportable segment during the years ended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IDS</w:t>
            </w:r>
          </w:p>
        </w:tc>
        <w:tc>
          <w:tcPr>
            <w:tcW w:w="10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WPS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 Solutions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Within the ID Solutions segment, the primary product categories include:</w:t>
      </w:r>
    </w:p>
    <w:p>
      <w:pPr>
        <w:spacing w:after="0" w:line="171"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RFID and bar code scanners for product identification, brand protection labeling, work in process labeling, finished product identification, and industrial track and trace applications.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safety and identification and protection, which includes safety signs, floor-marking tape, pipe markers, labeling systems, spill control products, lockout/tagout devices, and software and services for safety compliance auditing, procedure writing and training.</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rigid-card printing systems, and access control software.</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identification, which includes wristbands, labels, printing systems, and other products used in hospitals, laboratories, and other healthcare settings for tracking and improving the safety of patients.</w:t>
      </w:r>
    </w:p>
    <w:p>
      <w:pPr>
        <w:spacing w:after="0" w:line="1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Approximately 65% of ID Solutions products are sold under the Brady brand, with other primary brands including identification products for the utility industry which are marketed under the Electromark brand and security and identification badges and systems which are marketed under the IDenticard, PromoVision, Brady People ID, BIG, and MAGiCARD brands. Spill control products are marketed under the SPC brand, lockout/tagout products are offered under the Scafftag brand, RFID products are marketed under the Nordic ID brand, and barcode scanners are marketed under the Code brand. Identification and patient safety products in the healthcare industry are available under the PDC Healthcare brand and custom wristbands for the leisure and entertainment industry are available under the PDC brand.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ID Solutions segment offers high-quality products with rapid response and superior service to provide solutions to customers. IDS markets and sells products through multiple channels including distribution, a direct sales force, and digital channels. The ID Solutions sales force partners with end-users and distributors by providing technical application and product expertise.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IDS manufactures differentiated, proprietary products, most of which have been internally developed. These internally developed products include materials; printing, identification and tracking systems; and software. IDS competes for business on several factors, including product innovation, customer service, breadth of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ID Solutions serves customers in many industries, which include industrial manufacturing, electronic manufacturing, healthcare, chemical, oil, gas, automotive, aerospace, governments, mass transit, electrical contractors, education, leisure and entertainment and telecommunications, among others.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Within the Workplace Safety segment, the primary product categories include:</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compliance signs, tags, labels, and markings.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Informational signage and markings.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tracking labels.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safety and personal protection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First-aid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law and other compliance posters.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Products within the Workplace Safety segment are sold under a variety of brands including: safety and facility identification products offered under the Seton, Emedco, Signals, Safety Signs, SafetyShop, Signs &amp; Labels, and Pervaco brands; first aid supplies under the Accidental Health and Safety, Trafalgar, and Securimed brands; wire identification products marketed under the Carroll brand; and labor law and compliance posters under the Personnel Concepts and Clement Communications brands.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Many of our competitors extensively utilize e-commerce to promote the sale of their products. A consequence of e-commerce is price transparency, as prices on non-proprietary products can be easily compared. Therefore, to compete effectively, we focus on pricing our products competitively, we continue to build out our e-commerce capabilities, we focus on developing unique or customized solutions, enhancing the customer experience, and providing compliance expertise as these factors are critical to retain existing customers and convert new customers. Workplace Safety primarily sells to businesses and serves many industries, including manufacturers, process industries, government, education, construction, and utilities.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focuses its research and development ("R&amp;D") efforts on track and trace applications, pressure sensitive materials, identification and printing systems, software, and the development of other workplace safety-related products. The Company spent $58.5 million, $44.6 million, and $40.7 million on its R&amp;D activities during the years ended July 31,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2021, and 2020, respectively. The majority of R&amp;D spend supports the IDS segment including the recent acquisitions of Code, Magicard, and Nordic ID in fiscal 2021. Material development involves the application of surface chemistry concepts for top coatings and adhesives applied to a variety of base materials. The design of our identification and printing systems integrates materials, embedded software, a variety of printing technologies and product scanning and identification technologies to form a complete solution for customer applications. In addition, the R&amp;D team supports production and marketing efforts by providing application and technical expertise.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generally valid ten years from the date of registration, and are typically renewed on an ongoing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molded parts, electronic components, chips, and sub-assemblies for identification and printing systems. The Company operates coating facilities that manufacture bulk rolls of label stock for internal and external customers. In addition, the Company purchases finished products for resale.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Average time to fulfill customer orders varies from same-day to one month, depending on the type of product, customer request, and whether the product is stock or custom-designed and manufactured. Normal and customary payment terms primarily range from net 10 to 90 days from date of invoice and vary by geography.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broad customer base, and no individual customer represents 10% or more of total net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the Company employed approximately 5,700 individuals worldwide, of which approximately 1,650 were employed in the United States and approximately 4,050 were employed outside the United States.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Vice President of Human Resources is responsible for developing the Company’s human capital strategy, which includes the attraction, acquisition, development, engagement and retention of talent to deliver on the Company’s strategy as well as the design of employee compensation and benefits programs. Management is responsible for executing the Company's human capital strategy. The Vice President of Human Resources is also responsible for leading the Company’s diversity, equity, and inclusion initiatives. The Company’s Board of Directors and its committees receive regular updates on the operation and status of these initiatives and human capital trends and activities from the Vice President of Human Resources, the CEO and others within senior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areas of focus with respect to human capital include:</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Health and Safety</w:t>
      </w:r>
      <w:r>
        <w:rPr>
          <w:rFonts w:ascii="Times New Roman" w:cs="Times New Roman" w:eastAsia="Times New Roman" w:hAnsi="Times New Roman"/>
          <w:sz w:val="18"/>
          <w:szCs w:val="18"/>
          <w:color w:val="auto"/>
        </w:rPr>
        <w:t>: The Company’s health and safety programs are designed around global standards with appropriate variations addressing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jurisdictions and regulations, specific hazards and unique working environments of the Company’s manufacturing, distribution and headquarter operations. The Company requires each of its locations to perform regular safety audits to ensure proper safety policies, program procedures, analyses and trainings are in place. The Company utilizes a mixture of leading and lagging indicators to assess the health and safety performance of its operations. Lagging indicators include the OSHA Total Recordable Incident Rate (“TRIR”) and the Lost Time Case Rate (“LTCR”) based upon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number of incidents per 100 employees. Leading indicators include reporting and closure of all near miss events. The Company also utilizes trainings such as Environmental, Health and Safety (“EHS”) coaching and engagement conversations as preventative measure. During the year ended July 31, 2022, the Company had a TRIR of 0.53, a LTCR of 0.32 and no work-related fatalities.</w:t>
      </w:r>
    </w:p>
    <w:p>
      <w:pPr>
        <w:spacing w:after="0" w:line="12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Fostering a culture of diversity, equity and inclusion in the workplace means employees are and believe that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and listened to, and the Company has made this a top priority. The Company believes that its culture of diversity, equity and inclusion enables it to create, develop and fully leverage the strengths of its workforce to exceed customer expectations and successfully pursue its growth objectives. To this end, the Company engages employees through various employee resource groups staffed by employees with diverse backgrounds, experiences and characteristics who share a common interest in professional development, improving corporate culture and delivering improved business results. Each employee resource group is sponsored and supported by senior leaders throughout the organization.</w:t>
      </w:r>
    </w:p>
    <w:p>
      <w:pPr>
        <w:spacing w:after="0" w:line="13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implemented several steps to drive accountability for increasing diversity, equity and inclusion throughout the global organization. The CEO and other senior leaders have diversity, equity and inclusion objectives embedded in their annual performance goals. The Company also strives to build a diverse talent pipeline by partnering with its business units in their workforce planning to develop initiatives and goals to recruit diverse talent across defined organizational levels and skill areas. The Company trains its recruiting workforce in diversity sourcing strategies and partners with external organizations that develop and supply diverse talent. The Company has also expanded its university outreach programs to access diverse organizations, has implemented interview guides to mitigate bias in interviewing, has implemented a Company-wide recruiting policy to drive change and ensure manager accountability, has implemented mentoring programs to increase employee engagement and retention and has implemented required training for all managers on diversity, equity and inclusion compliance and unconscious bias. As of July 31, 2022, 40% of the members of the Company’s Board of Directors were women and 60% of committee chairs of the Company’s Board of Directors were women.</w:t>
      </w:r>
    </w:p>
    <w:p>
      <w:pPr>
        <w:spacing w:after="0" w:line="13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Training and Talent Development</w:t>
      </w:r>
      <w:r>
        <w:rPr>
          <w:rFonts w:ascii="Times New Roman" w:cs="Times New Roman" w:eastAsia="Times New Roman" w:hAnsi="Times New Roman"/>
          <w:sz w:val="18"/>
          <w:szCs w:val="18"/>
          <w:color w:val="auto"/>
        </w:rPr>
        <w:t>: The Company is committed to the continued development of its people. Strategic talent reviews and succession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occur on a planned cadence annually. The CEO and the Vice President of Human Resources convene meetings with senior Company leadership and the Board of Directors to review top enterprise talent and discuss succession planning for key leadership roles.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technical training to employees, customers and suppliers who work for or with the Company’s products. Training is provided in a variety of formats to accommodate the respective learner’s style, pace, location, technical knowledge and access.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The Company values its people and strives to deliver compensation and benefit programs and plans that are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external market. The Company provides subsidized health and welfare benefits, as well as postretirement, incentive and equity-based compensation plans and programs to eligible employees. Refer to the Compensation Discussion &amp; Analysis for additional information regarding the Company’s compensation and benefits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Corporate Internet address is www.bradyid.com. The Company makes available, free of charge, on or through its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Raw material and other cost inflation as well as product shortages could adversely affect our business and financial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certain parts and components of our products and therefore require raw materials from suppliers, which could be interrupted for a variety of reasons, including availability and pricing. Prices and lead times for raw materials and other components necessary for production have fluctuated in the past, including increased raw production costs, increased wage rates, and extended lead times. Significant increases could adversely affect our profit margins and results of operations. Changes in trade policies; shortages due to the COVID-19 pandemic, other pandemics, or any other reason; the imposition of duties and tariffs and potential retaliatory countermeasures could adversely impact the price or availability of raw materials. In addition, labor shortages or an increase in the cost of labor could adversely affect our profit margins and results of operations. Due to competitive pressures or other factors, the Company may not be able to pass along increased raw material and component part costs to its customers in the form of price increases or our ability to do so could be delayed, which could adversely impact our business and financial results.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costs of certain raw materials, components, transportation and energy necessary for our operations and the production and distribution of our products have increased significantly. While we have implemented certain cost containment measures and selective price increases, as well as taken other actions to offset these inflationary pressures in our supply chain, we may not be able to offset all of the increases in our operational costs, which could adversely impact our business and financial results.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continues to pose risks to our operations and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has disrupted the global economy and adversely impacted our businesses, including demand for our products across multiple end-markets as well as our supply chain and operations. While we have experienced sequentially improving activity in most markets and geographies, the public health situation, global response measures and corresponding impacts on various markets remain fluid and uncertain and may lead to sudden changes in trajectory and outlook. The COVID-19 pandemic has impacted our business most recently related to supply chain disruptions, labor constraints, inflation, and government-mandated lockdowns. The duration and extent of the impact of the COVID-19 pandemic on our business, operations and financial results depends on factors that cannot be accurately predicted at this time, such as the severity and transmission rate of COVID-19, the emergence of new variants of the virus, the extent and effectiveness of containment actions, the extent to which vaccines or other medical treatments are developed and made available to and accepted by the public, and the impact of these and other factors on our stakeholders.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actions that we have taken in response to the COVID-19 pandemic include enabling remote working arrangements, which may create increased vulnerability to cybersecurity incidents, including breaches of information systems security, which could damage our reputation and commercial relationships, disrupt operations, increase costs or decrease revenues, and expose us to claims from customers, suppliers, financial institutions, regulators, payment card associations, employees and others. While we attempt to maintain sufficient inventory levels in order to meet rapidly shifting customer demand patterns and supplier lead time requirements, we cannot be certain we will be able to accurately predict demand or lead times, which may cause us to be unable to service customer demand or expose us to risks of product shortages, or result in excess inventory, which could lead to additional inventory carrying costs and inventory obsolescence.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conditions caused by COVID-19 have affected, and may continue to affect, the overall demand environment for our products. The level of demand for certain product components has resulted in, and may continue to result in, lengthened lead times and higher input costs, including freight. Additionally, our financial results may be adversely impacted by challenges in the macroeconomic environment, including rapid cost inflation.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our current accounting estimates contemplate current and expected future conditions, as applicable, it is reasonably possible that actual conditions could differ from our expectations, which could materially affect our results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 As a result, our accounting estimates and assumptions may change over time in response to COVID-19. Such changes could result in future impairments of goodwill, intangible assets, long-lived assets, incremental credit losses on accounts receivable, excess and obsolete inventories, or a decrease in the carrying amount of our deferred tax assets. Any of these events could amplify the other risks and uncertainties described in this Annual Report on Form 10-K for the year ended July 31, 2022 and could have an adverse effect on our business and financial results.</w:t>
      </w:r>
    </w:p>
    <w:p>
      <w:pPr>
        <w:spacing w:after="0" w:line="12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Numerous factors may affect the demand for our products,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economic conditions in major markets served.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Ongoing economic and operational impact of the COVID-19 or other pandemics.</w:t>
      </w:r>
    </w:p>
    <w:p>
      <w:pPr>
        <w:spacing w:after="0" w:line="9"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operational impact of the war between Russia and Ukraine or other wars.</w:t>
      </w:r>
    </w:p>
    <w:p>
      <w:pPr>
        <w:spacing w:after="0" w:line="1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Consolidation in the marketplace allowing competitors to be more efficient and more price competitive.</w:t>
      </w:r>
    </w:p>
    <w:p>
      <w:pPr>
        <w:spacing w:after="0" w:line="9"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Competitors entering the marketplace.</w:t>
      </w:r>
    </w:p>
    <w:p>
      <w:pPr>
        <w:spacing w:after="0" w:line="10"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Decreasing product life cycles.</w:t>
      </w:r>
    </w:p>
    <w:p>
      <w:pPr>
        <w:spacing w:after="0" w:line="13"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customer preferences.</w:t>
      </w:r>
    </w:p>
    <w:p>
      <w:pPr>
        <w:spacing w:after="0" w:line="10" w:lineRule="exact"/>
        <w:rPr>
          <w:rFonts w:ascii="Arial" w:cs="Arial" w:eastAsia="Arial" w:hAnsi="Arial"/>
          <w:sz w:val="20"/>
          <w:szCs w:val="20"/>
          <w:color w:val="auto"/>
        </w:rPr>
      </w:pPr>
    </w:p>
    <w:p>
      <w:pPr>
        <w:ind w:left="660" w:hanging="328"/>
        <w:spacing w:after="0" w:line="269" w:lineRule="auto"/>
        <w:tabs>
          <w:tab w:leader="none" w:pos="64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Ability to achieve strong operational performance, including the manufacture and sale of high-quality products and the ability to meet customer delivery expectations.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these factors occur, the demand for our products could suffer, and this could adversely impact our business and financial results.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effectively or to successfully execute our strategy may have a negative impact on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in an environment in which business models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throughout our global business, distributors and customers may not accept our price increases or may seek lower cost sourcing opportunities, which could result in a loss of business that may adversely impact our business and financial results.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advertising and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we may not realize its expected benefits due to increased competition and pricing pressure brought about by the internet. Our failure to successfully implement our strategy could adversely impact our business and financial results.</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or acquire technologically advanced products that meet customer demands, including price expectations, could adversely impact our business and financial results.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properly identify, integrate and grow acquired companies, and to manage contingent liabilities from divested businesses could adversely affect our business and financial results.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historical growth has included acquisitions and our future growth strategy includes acquisitions. We completed the acquisitions of Code, Magicard and Nordic ID in fiscal 2021 for a total purchase price of $244.0 million. Acquisitions place significant demands on management, operational, and financial resources. Recent and future acquisitions will require integration of operations, sales and marketing, information technology, finance,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sales, results of operations, cash flow, and liquidity could be adversely affected if we do not successfully integrate the newly acquired businesses, including realizing synergies, or if our other businesses suffer due to the increased focus on the acquired businesses.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specific assets, we may be unable to do so on satisfactory terms or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 We have retained responsibility for and have agreed to indemnify buyers against certain contingent liabilities related to several businesses that we have sold. The resolution of these contingencies has not had a material adverse impact on our financial results, but we cannot be certain that this favorable pattern will continue.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Operating Risks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employees and the loss of these individuals could have an adverse effect on our business and financial results.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results could be adversely affected by increased competition for employees, difficulty in recruiting employees, higher employee turnover or increased compensation and benefit costs. Our employees are important to our success and we are dependent on our ability to retain the services of our employees in key roles. We have built our business on a set of core values, and we attempt to hire and retain employees who are committed to these values and our culture of providing exceptional service to our customers. In order to compete and to continue to grow, we must attract, retain and motivate our employees. We need qualified managers and skilled employees with technical and industry experience to operate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successfully. If we are unable to attract and retain qualified individuals, or if our costs to do so increase significantly, or if internal realignment of responsibilities are not executed properly, our business and financial results could be adversely affected.</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Approximately 50% of our sales are derived outside of the United States. Our operations are subject to the risks of doing business domestically and globally, including the following:</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product deliveries and payments in connection with international manufacturing and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resulting from political and economic instability and disruptions.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changes in existing duties, tariffs and trade agreements, which could have a direct or indirect impact on our ability to manufacture products, on our customers' demand for our products, or on our suppliers' ability to deliver raw materials.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and economic sanction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governmental policies, regulatory, and business environments.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from competing against companies from countries that are not subject to U.S. laws and regulations including the Foreign Corrupt Practices Act.</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climate change, air emissions, wastewater discharges, handling and disposal of hazardous materials and wastes.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product content, health, safety and the protection of the environment.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trade or travel restrictions as a result of the COVID-19 or other pandemics.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country regulations where our products are manufactured or sold.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compliance with data protection and privacy laws throughout our global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these laws and regulations are constantly evolving and it is difficult to accurately predict the effect they may have upon our business and financial results.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that could adversely impact our business, financial results, and reputation.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We face an inherent business risk of exposure to product liability claims in the event that the use of our products is alleged to have resulted in injury or other damage.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Security Ownership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global nature of our business exposes us to foreign currency fluctuations that could adversely affect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Approximately 50%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further strengthening of the U.S. dollar could result in unfavorable translation effects, which occurred during fiscal years 2020 and 2022.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execute our strategies could result in impairment of goodwill or other intangible assets, which may negatively impact income and profitability</w:t>
      </w:r>
      <w:r>
        <w:rPr>
          <w:rFonts w:ascii="Times New Roman" w:cs="Times New Roman" w:eastAsia="Times New Roman" w:hAnsi="Times New Roman"/>
          <w:sz w:val="18"/>
          <w:szCs w:val="18"/>
          <w:b w:val="1"/>
          <w:bCs w:val="1"/>
          <w:color w:val="auto"/>
        </w:rPr>
        <w:t>.</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goodwill of $586.8 million and other intangible assets of $74.0 million as of July 31, 2022, which represents 48.3% of our total assets, and we have recognized impairment charges in the past.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net income in such period. Indicators of other-than-temporary impairment were present in our equity investment in React Mobile, Inc., an employee safety software and hardware company, and we recognized an other-than-temporary impairment charge of $5.0 million in fiscal 2021.</w:t>
      </w:r>
    </w:p>
    <w:p>
      <w:pPr>
        <w:spacing w:after="0" w:line="13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 At any point in time, there are a number of tax proposals at various stages of legislation throughout the globe. While it is impossible for us to predict whether some or all of these proposals will be enacted, many will likely have an impact on our business and financial results.</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private investors, mutual funds and index sponsors have implemented rules restricting ownership, or excluding from indices, companies with non-voting publicly traded shares.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operates 38 manufacturing and distribution facilities across the globe and are split by reporting segment as follows:</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IDS: </w:t>
      </w:r>
      <w:r>
        <w:rPr>
          <w:rFonts w:ascii="Times New Roman" w:cs="Times New Roman" w:eastAsia="Times New Roman" w:hAnsi="Times New Roman"/>
          <w:sz w:val="18"/>
          <w:szCs w:val="18"/>
          <w:color w:val="auto"/>
        </w:rPr>
        <w:t>Twenty-nine manufacturing and distribution facilities are used for our IDS business. Six facilities are located in the United States; four each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Belgium and China; three in the United Kingdom; two each in Brazil and Mexico; and one each in Canada, India, Japan, Malaysia, Singapore, South Africa, Thailand, and Turkey.</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WPS: </w:t>
      </w:r>
      <w:r>
        <w:rPr>
          <w:rFonts w:ascii="Times New Roman" w:cs="Times New Roman" w:eastAsia="Times New Roman" w:hAnsi="Times New Roman"/>
          <w:sz w:val="18"/>
          <w:szCs w:val="18"/>
          <w:color w:val="auto"/>
        </w:rPr>
        <w:t>Nine manufacturing and distribution facilities are used for our WPS business. Three facilities are located in France; two are located in Australia;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one each in Germany, Norway, the United Kingdom, and the United States.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believes that its equipment and facilities are modern, well maintained, and adequate for present needs.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Market Information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Brady Corporation Class A Nonvoting Common Stock trades on the New York Stock Exchange ("NYSE") under the symbol BRC. There is no trading market for the Company’s Class B Voting Common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August 30, 2022, there were approximately 1,100 Class A Common Stock shareholders of record and approximately 10,000 beneficial shareholders. There are three Class B Common Stock shareholders.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Dividends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two most recent years ended July 31 and for the first quarter of fiscal 2023, the Company declared the following dividends per share on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B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0.2200</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0.2200</w:t>
            </w:r>
          </w:p>
        </w:tc>
      </w:tr>
    </w:tbl>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Issuer Purchases of Equity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May 24, 2022, the Company's Board of Directors authorized an increase in the Company's share repurchase program, authorizing the repurchase of up to $100.0 million of the Company's Class A Nonvoting Common Stock. As of July 31, 2022, there were $85.0 million worth of shares authorized to purchase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July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20" w:type="dxa"/>
            <w:vAlign w:val="bottom"/>
          </w:tcPr>
          <w:p>
            <w:pPr>
              <w:spacing w:after="0"/>
              <w:rPr>
                <w:sz w:val="14"/>
                <w:szCs w:val="14"/>
                <w:color w:val="auto"/>
              </w:rPr>
            </w:pPr>
          </w:p>
        </w:tc>
        <w:tc>
          <w:tcPr>
            <w:tcW w:w="1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Under the</w:t>
            </w:r>
          </w:p>
        </w:tc>
        <w:tc>
          <w:tcPr>
            <w:tcW w:w="0" w:type="dxa"/>
            <w:vAlign w:val="bottom"/>
          </w:tcPr>
          <w:p>
            <w:pPr>
              <w:spacing w:after="0"/>
              <w:rPr>
                <w:sz w:val="1"/>
                <w:szCs w:val="1"/>
                <w:color w:val="auto"/>
              </w:rPr>
            </w:pPr>
          </w:p>
        </w:tc>
      </w:tr>
      <w:tr>
        <w:trPr>
          <w:trHeight w:val="162"/>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Plan</w:t>
            </w:r>
          </w:p>
        </w:tc>
        <w:tc>
          <w:tcPr>
            <w:tcW w:w="0" w:type="dxa"/>
            <w:vAlign w:val="bottom"/>
          </w:tcPr>
          <w:p>
            <w:pPr>
              <w:spacing w:after="0"/>
              <w:rPr>
                <w:sz w:val="1"/>
                <w:szCs w:val="1"/>
                <w:color w:val="auto"/>
              </w:rPr>
            </w:pPr>
          </w:p>
        </w:tc>
      </w:tr>
      <w:tr>
        <w:trPr>
          <w:trHeight w:val="214"/>
        </w:trPr>
        <w:tc>
          <w:tcPr>
            <w:tcW w:w="356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6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May 1, 2022 - May 31, 2022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2022 - June 30, 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85,202</w:t>
            </w:r>
          </w:p>
        </w:tc>
        <w:tc>
          <w:tcPr>
            <w:tcW w:w="0" w:type="dxa"/>
            <w:vAlign w:val="bottom"/>
          </w:tcPr>
          <w:p>
            <w:pPr>
              <w:spacing w:after="0"/>
              <w:rPr>
                <w:sz w:val="1"/>
                <w:szCs w:val="1"/>
                <w:color w:val="auto"/>
              </w:rPr>
            </w:pP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2022 - July 31, 2022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85,010</w:t>
            </w:r>
          </w:p>
        </w:tc>
        <w:tc>
          <w:tcPr>
            <w:tcW w:w="0" w:type="dxa"/>
            <w:vAlign w:val="bottom"/>
          </w:tcPr>
          <w:p>
            <w:pPr>
              <w:spacing w:after="0"/>
              <w:rPr>
                <w:sz w:val="1"/>
                <w:szCs w:val="1"/>
                <w:color w:val="auto"/>
              </w:rPr>
            </w:pPr>
          </w:p>
        </w:tc>
      </w:tr>
      <w:tr>
        <w:trPr>
          <w:trHeight w:val="207"/>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535,108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535,108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85,010</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2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of the current share repurchase program on May 24, 2022, 203,664 shares were purchased for an aggregate purchase price of $9.3 million under the Company's previous program, which fully exhausted the previous repurchase authorization.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Common Stock Price Performance Graph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of the cumulative return over the last five fiscal years had $100 been invested at the close of business on July 31, 2017, in each of Brady Corporation Class A Common Stock, the Standard &amp; Poor’s ("S&amp;P") 500 Index,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863590" cy="3745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158.31</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182.85</w:t>
            </w: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SmallCap 600 Index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141.03</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(C) 2022, Standard &amp; Poor’s, Inc. and Russell Investments. All rights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376" w:lineRule="exact"/>
        <w:rPr>
          <w:sz w:val="20"/>
          <w:szCs w:val="20"/>
          <w:color w:val="auto"/>
        </w:rPr>
      </w:pPr>
    </w:p>
    <w:p>
      <w:pPr>
        <w:ind w:right="3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identification and compliance products. Approximately 50% of our total sales are derived outside of the United States. Foreign sales within the IDS and WPS segments are approximately 40% and 75%,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Impact </w:t>
      </w:r>
      <w:r>
        <w:rPr>
          <w:rFonts w:ascii="Times New Roman" w:cs="Times New Roman" w:eastAsia="Times New Roman" w:hAnsi="Times New Roman"/>
          <w:sz w:val="18"/>
          <w:szCs w:val="18"/>
          <w:u w:val="single" w:color="auto"/>
          <w:color w:val="auto"/>
          <w:highlight w:val="white"/>
        </w:rPr>
        <w:t>of the COVID-19 Pandemic and other Global Geopolitical Events on Our Business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increased freight and input material cost inflation as a result of disruptions caused by COVID-19 and government-mandated actions in response to COVID-19, the conflict in the Ukraine, as well as labor shortages. The Company has taken and will continue to take actions to mitigate inflation issues, but thus far has not fully offset the impact of these trends partially due to advance notice requirements of certain distributors related to any pricing changes. As a result, these trends have negatively impacted the Company's gross profit margin during fiscal 2022.</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the financial strength to continue to invest in organic sales growth opportunities including sales, marketing, and research and development ("R&amp;D") and inorganic sales opportunities including acquisitions, while continuing to drive sustainable efficiencies and automation in our operations and selling, general and administrative ("SG&amp;A") functions. At July 31, 2022, we had cash of $114.1 million, as well as a credit facility with $103.4 million available for future borrowing, which can be increased up to $303.4 million at the Company's option and subject to certain conditions, for total available liquidity of $417.5 million.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remaining undrawn amount of the credit facility and our ability to increase that credit line as necessary are sufficient to manage the continuing impact of geopolitical events including supply chain disruptions as a result of the conflict in the Ukraine as well as the lasting impacts of the COVID-19 pandemic, including the spread of variants that could result in additional government actions around the world to contain the virus or prevent further spread which may result in reduced sales, reduced net income, and reduced cash provided by operating activities. Refer to Risk Factors, included in Part I, Item 1A of this Annual Report on Form 10-K for the year ended July 31, 2022, for further discussion of the possible impact of the COVID-19 pandemic and other global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comparability of the operating results for the year ended July 31, 2022 to the years ended July 31, 2021 and July 31, 2020 has been impacted by the following acquisitions: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Completed</w:t>
            </w:r>
          </w:p>
        </w:tc>
      </w:tr>
      <w:tr>
        <w:trPr>
          <w:trHeight w:val="229"/>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Magicard Holdings Limited ("Magicard")</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IDS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2021</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Nordic ID Oyj ("Nordic ID")</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IDS</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2021</w:t>
            </w:r>
          </w:p>
        </w:tc>
      </w:tr>
      <w:tr>
        <w:trPr>
          <w:trHeight w:val="23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Code Corporation ("Code")</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IDS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2021</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years ended July 31, 2022, 2021, and 2020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36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1,144,698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631,552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561,446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528,565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48.9 %</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r>
      <w:tr>
        <w:trPr>
          <w:trHeight w:val="213"/>
        </w:trPr>
        <w:tc>
          <w:tcPr>
            <w:tcW w:w="3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charges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2"/>
        </w:trPr>
        <w:tc>
          <w:tcPr>
            <w:tcW w:w="338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438,540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394,319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390,542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r>
      <w:tr>
        <w:trPr>
          <w:trHeight w:val="20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193,012</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167,127</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3"/>
        </w:trPr>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our audited consolidated financial statements and the notes to those statements (Item 8) in this Annual Report on Form 10-K. The following discussion is intended to help the reader understand the results of operations and financial condition of the Company for the year ended July 31, 2022 compared to the year ended July 31, 2021.</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fiscal 2021 compared to fiscal 2020 can be found under Item 7 in our Annual Report on Form 10-K for the year ended July 31, 2021, filed with the SEC on September 2, 2021, which is available on the SEC's website at www.sec.gov and our corporate website at www.bradyid.com/corporate/investors and such information is incorporated by reference herein. References in this Annual Report on Form 10-K to “organic sales” refer to sales calculated in accordance with U.S. GAAP, excluding the impact of foreign currency translation and sales recorded from acquired companies prior to the first anniversary date of their acquisition which, for the periods reported in this Form 10-K, includes each of Magicard, Nordic ID and Code.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increased 13.7% to $1,302.1 million in fiscal 2022, compared to $1,144.7 million in fiscal 2021, which consisted of organic sales growth of 9.4% and growth from acquisitions of 6.9%, partially offset by a decrease from foreign currency translation of 2.6%. Organic sales grew 12.8% in the IDS segment and were flat at 0.0% in the WPS segment.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COVID-19 pandemic had a significant impact on organic sales with the impact varying between the IDS and WPS segments. In the first quarter of fiscal 2021, the IDS business began to recover from a decline in sales due to the impacts of both the COVID-19 pandemic and the overall global economy, while the WPS segment realized strong organic sales growth due to increased sales of personal protective equipment and other pandemic-related products. As a result, the recovery from the COVID-19 pandemic had a significant impact on organic sales through fiscal 2022, with the impact varying between the IDS and WPS businesses due to sales patterns realized during the height of the pandemic in fiscal 2021.</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margin increased 12.5% to $631.6 million in fiscal 2022, compared to $561.4 million in fiscal 2021. As a percentage of net sales, gross margin decreased to 48.5% in fiscal 2022, compared to 49.0% in fiscal 2021. The decrease in gross margin as a percentage of net sales was primarily due to an increase in the cost of materials, labor and freight, which was partially mitigated by our ongoing efforts to increase prices, streamline manufacturing processes and drive sustainable operational efficiencies.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R&amp;D expenses increased 31.4% to $58.5 million in fiscal 2022, compared to $44.6 million in fiscal 2021. As a percentage of net sales, R&amp;D expenses increased to 4.5% in fiscal 2022, compared to 3.9% in fiscal 2021. The increase in R&amp;D spending in fiscal 2022 was primarily due to the acquisitions of Code and Nordic ID, as these companies operate with a greater amount of R&amp;D spend as a percentage of net sales compared to Brady's organic business. In addition, the R&amp;D headcount increased in the IDS business. The Company remains committed to investing in new product development to increase sales within our IDS and WPS businesses. Investments in new printing systems, materials and the build out of a comprehensive industrial track and trace solution were the primary focus of R&amp;D expenditures in fiscal 2022.</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increased 8.6% to $380.0 million in fiscal 2022 compared to $349.8 million in fiscal 2021. As a percentage of net sales, SG&amp;A expense decreased to 29.2% in fiscal 2022, compared to 30.6% in fiscal 2021. The increase in SG&amp;A expenses in fiscal 2022 was primarily due to the acquisitions of Code, Magicard and Nordic ID, and to a lesser extent an increase in sales personnel in the IDS business, which was partially offset by a decrease due to foreign currency translation. The decrease in SG&amp;A expense as a percentage of net sales from the prior year was due to ongoing efficiency activities throughout SG&amp;A.</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increased 15.5% to $193.0 million in fiscal 2022, compared to $167.1 million in fiscal 2021. The increase in operating income in fiscal 2022 was primarily due to the increase in segment profit in the IDS segment as a result of organic sales growth and to a lesser extent, positive earnings from the acquisitions completed in the fourth quarter of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167,127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4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losses of unconsolidated affiliate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losses of unconsolidated affiliate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135,413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Investment and other income was $0.2 million in fiscal 2022 compared to $4.3 million in fiscal 2021. The decrease in investment and other income in fiscal 2022 was primarily due to a decrease in the market value of securities held in deferred compensation plans.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to $1.3 million in fiscal 2022 compared to $0.4 million in fiscal 2021. The increase in interest expense in fiscal 2022 was due to increased borrowing on our credit facility and an increase in interest rates compared to fiscal 2021.</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21.9% in fiscal 2022. Refer to Note 11, "Income Taxes" for additional information on the Company's income tax rates.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Equity in losses of unconsolidated affiliate represented the Company's 23% equity interest in React Mobile, Inc. ("React Mobile"), an employee safety software and hardware company based in the United States. During fiscal 2021, React Mobile's financial position deteriorated due to a decline in the hospitality industry from the COVID-19 pandemic, which represents its entire customer base, and increased competitive pressures from new entrants in the marketplace. As a result, management performed an analysis to determine whether the loss in value of the investment was other than temporary and recognized an other-than-temporary impairment charge of $5.0 million. The Company's equity interest in React Mobile's losses was $0.8 million in fiscal 2021 and $0.2 million in fiscal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Impairment charges, interest expense, investment and other income, income tax expense, equity in losses of unconsolidated affiliate, and certain corporate administrative expenses are excluded when evaluating segment 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segment information for the years ended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gridSpan w:val="2"/>
          </w:tcPr>
          <w:p>
            <w:pPr>
              <w:ind w:left="752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ID Solutions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Workplace Safety</w:t>
            </w: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4"/>
        </w:trPr>
        <w:tc>
          <w:tcPr>
            <w:tcW w:w="7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ID Solutions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13"/>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Workplace Safety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35"/>
        </w:trPr>
        <w:tc>
          <w:tcPr>
            <w:tcW w:w="7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Solutions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IDS net sales increased 20.1% to $1,010.9 million in fiscal 2022, compared to $841.5 million in fiscal 2021. The net sales increase consisted of organic sales growth of 12.8%, growth from acquisitions of 9.4% and a decrease from foreign currency translation of 2.1%.</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grew in all three regions in fiscal 2022. Organic sales in the Americas and Asia increased nearly 12% and organic sales in Europe grew approximately 15%. Organic sales grew in all major product lines with the strongest growth in the wire identification and product identification product lines. Approximately one-third of the organic sales growth in IDS was driven by price increases with the remainder of the growth resulting from volume.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increased to $197.1 million in fiscal 2022 from $169.2 million in fiscal 2021, an increase of $27.9 million or 16.5%. The increase in segment profit was primarily due to organic sales growth in fiscal 2022. As a percent of net sales, segment profit decreased to 19.5% in fiscal 2022 compared to 20.1% in fiscal 2021. The decrease in segment profit as a percentage of net sales was primarily due to gross margin compression resulting from an increase in the cost of materials, labor and freight, as well as incremental amortization expense of $7.9 million in fiscal 2022, which was partially offset by pricing 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Workplace Safety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WPS sales decreased 4.0% to $291.2 million in fiscal 2022 compared to $303.2 million in fiscal 2021, all of which was due to foreign currency translation. The WPS business realized organic sales growth during the height of the pandemic at the end of fiscal 2020 and the beginning of fiscal 2021 due to increased sales of personal protective equipment and other pandemic-related products, which resulted in challenging comparable results during the first half of fiscal 2022. Sales of core safety and identification products continued to recover through fiscal 2022 but were offset by a decline in sales of COVID-19 related products in the first half of the year, resulting in an organic sales decline which was offset by organic sales growth in the second half of the year, finishing the year with flat organic sales in the WPS business. Organic sales consisted of a low-single digit decrease in catalog channel sales and low single-digit growth in digital sales in fiscal 2022 compared to fiscal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Organic sales in Europe and Australia increased slightly, while organic sales in North America decreased in the low-single digits in fiscal 2022 compared to fiscal 2021. The trend noted above was applicable to each region within the WPS business with challenging comparable results during the first half of fiscal 2022 due to decreased demand for pandemic-related products, which was offset by an increase in sales of core safety and identification products. Digital sales increased in the mid-single digits in both North America and Europe and increased in the low-single digits in Australia. This growth was offset by a mid-single digit decline in catalog sales in North America, while catalog sales were essentially flat in Europe and Australia in fiscal 2022 compared to fiscal 2021.</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increased to $23.2 million in fiscal 2022 compared to $22.8 million in fiscal 2021, an increase of $0.5 million or 2.1%. As a percentage of net sales, segment profit increased to 8.0% in fiscal 2022 compared to 7.5% in fiscal 2021. The increase in segment profit was primarily due to actions taken during the third quarter of the fiscal year to reduce the cost structure, including reductions in headcount and advertising expenses. As a result, the entire increase in segment profit occurred during the second half of fiscal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&amp; Capital Resources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July 31, 2022, approximately 94%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$114.1 million at July 31, 2022, a reduction of $33.3 million from July 31, 2021. The following summarizes the cash flow statement for the years ended July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205,665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140,977</w:t>
            </w: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(36,119)</w:t>
            </w: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(163,520)</w:t>
            </w: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(61,429)</w:t>
            </w: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$118.4 million during fiscal 2022, compared to $205.7 million in fiscal 2021. The decrease was primarily due to cash outflows for inventory purchases in order to reduce the risk of supply chain disruption. In addition, annual incentive compensation payments were higher in the current fiscal year than they were in the prior year.</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$43.1 million during fiscal 2022, compared to $268.6 million in the prior year. The decrease in cash used in investing activities was primarily due to the acquisitions of Code, Magicard and Nordic ID which were closed during the fourth quarter of fiscal 2021.</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$102.1 million during fiscal 2022, which primarily consisted of share repurchases of $109.2 million and dividend payments of $45.9 million, which was partially offset by $57.0 million of net borrowing on the credit facility. Net cash used in financing activities of $12.3 million during fiscal 2021 primarily consisted of dividend payments of $45.7 million and share repurchases of $3.6 million, which was partially offset by net borrowing on the credit facility of $38.0 million to finance a portion of the purchase price of Code in the fourth quarter of fiscal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credit facilities and lease obligations, each of which are discussed in more detail throughout this section. We believe that net cash provided by operating activities will continue to be adequate to meet our liquidity and capital needs for these items over the short-term in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 A discussion of income taxes is contained in Note 11 of the Notes to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Covenant Compliance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8, Note 6, "Debt" for information regarding the Company's credit facilities and covenant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 Affecting Financial Condition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8, Note 16, "Subsequent Events" for information regarding the Company's subsequent events affecting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Changing Prices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custom products make it impracticable to accurately define the impact of inflation on profit margins.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w:t>
      </w:r>
    </w:p>
    <w:p>
      <w:pPr>
        <w:spacing w:after="0" w:line="1" w:lineRule="exact"/>
        <w:rPr>
          <w:sz w:val="20"/>
          <w:szCs w:val="20"/>
          <w:color w:val="auto"/>
        </w:rPr>
      </w:pPr>
    </w:p>
    <w:p>
      <w:pPr>
        <w:jc w:val="both"/>
        <w:ind w:firstLine="8"/>
        <w:spacing w:after="0" w:line="253" w:lineRule="auto"/>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expiration of the statute of limitations. The liability for unrecognized tax benefits, excluding interest and penalties, was $20.6 million and $21.9 million as of July 31, 2022 and 2021, respectively. If recognized, $17.8 million and $18.7 million of unrecognized tax benefits as of July 31, 2022 and 2021, respectively, would reduce the Company's income tax rate. Accrued interest and penalties related to unrecognized tax benefits were $4.8 million and $4.4 million as of July 31, 2022 and 2021, respectively. The Company recognizes interest and penalties related to unrecognized tax benefits in income tax expense on the Consolidated Statements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The Company believes it is reasonably possible that the amount of gross unrecognized tax benefits could be reduced by up to $3.9 million in 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 of $47.3 million and $51.1 million as of July 31, 2022 and 2021, respectively, which were primarily related to foreign tax credit carryforwards and net operating loss carryforwards in its various tax jurisdictions.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Indefinite-lived Intangible Assets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If the actual results differ from these estimates, it could result in an impairment of intangible assets and goodwill or require acceleration of the amortization expense of finite-lived intangible assets. In addition, goodwill and other indefinite-lived intangible assets must be tested for impairment at least annually.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identified eight reporting units within its two reportable segments, IDS and WPS, with the following goodwill balances as of July 31, 2022: IDS Americas and Europe, $286.9 million; PDC, $93.3 million; WPS Europe, $30.7 million; Code Corporation, $138.6 million; and Magicard, $37.3 million. The IDS Asia, WPS North America, and WPS Australia reporting units each have a goodwill balance of zero. The Company believes that the discounted cash flow model and the market approach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reflecting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U.S. GDP growth, (ii) industry and market factors such as competition and changes in the market for the reporting unit's products, (iii) new product development, (iv) hospital admission rates, (v) competing technologies, (vi) overall financial performance such as cash flows, actual and planned revenue and profitability, and (vii) changes in the strategy of the reporting unit. In the event the fair value of a reporting unit is less than the carrying value, the Company would recognize an impairment charge for the amount by which the carrying amount of the reporting unit exceeds the fair value. If necessary, the Company may consult valuation specialists to assist with the assessment of the estimated fair value of the reporting unit.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 reporting unit’s fair value to be substantially in excess of its carrying value at 20% or greater. The annual impairment testing performed on May 1, 2022, in accordance with ASC 350, “Intangibles - Goodwill and Other” indicated that each of the reporting units had a fair value substantially in excess of its carrying value.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Indefinite-Lived Intangible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which consists of tradenames, are tested for impairment in accordance with the Company's policy outlined above using the income approach.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As a result of the analysis performed on May 1, 2022, all indefinite-lived tradenames had fair value in excess of carrying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objective of the Company’s foreign currency exchange risk management is to minimize the impact of currency movements on non-functional currency transactions. To achieve this objective, the Company hedges a portion of known exposures using forward contracts. As of July 31, 2022, the notional amount of outstanding forward foreign exchange contracts designated as cash flow hedges was $25.3 million. The Company's multi-currency revolving credit facility allows it to borrow up to $200 million in currencies other than U.S. dollars. The Company has periodically borrowed funds in Euros and British Pounds under its revolving credit facility. Debt issued in currencies other than U.S. dollars acts as a natural hedge to the Company's exposure to the associated currency.</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decreased fiscal 2022 net sales by 2.6% compared to fiscal 2021 as the U.S. dollar appreciated, on average, against other major currencies throughout the year.</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for the Company’s foreign subsidiaries reporting in local currencies are generally reported as a component of stockholders’ equity. The Company’s currency translation adjustments recorded during the years ended July 31, 2022, 2021, and 2020, as a separate component of stockholders’ equity, were unfavorable by $53.4 million, favorable by $10.3 million, and favorable by $6.6 million, respectively. As of July 31, 2022 and 2021, the Company’s foreign subsidiaries had net current assets (defined as current assets less current liabilities) subject to foreign currency translation risk of $193.6 million and $184.5 million, respectively. The potential decrease in net current assets as of July 31, 2022, from a hypothetical 10 percent adverse change in quoted foreign currency exchange rates would be approximately $19.4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2022, the Company had no interest rate derivatives and no fixed rate debt outstanding.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BRADY CORPORATION &amp; SUBSIDIARIES</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500" w:type="dxa"/>
            <w:vAlign w:val="bottom"/>
            <w:gridSpan w:val="2"/>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34)</w:t>
            </w:r>
          </w:p>
        </w:tc>
        <w:tc>
          <w:tcPr>
            <w:tcW w:w="3820" w:type="dxa"/>
            <w:vAlign w:val="bottom"/>
            <w:gridSpan w:val="6"/>
            <w:vMerge w:val="restart"/>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00" w:type="dxa"/>
            <w:vAlign w:val="bottom"/>
            <w:tcBorders>
              <w:bottom w:val="single" w:sz="8" w:color="0000FF"/>
            </w:tcBorders>
            <w:gridSpan w:val="2"/>
            <w:vMerge w:val="continue"/>
          </w:tcPr>
          <w:p>
            <w:pPr>
              <w:spacing w:after="0"/>
              <w:rPr>
                <w:sz w:val="16"/>
                <w:szCs w:val="16"/>
                <w:color w:val="auto"/>
              </w:rPr>
            </w:pPr>
          </w:p>
        </w:tc>
        <w:tc>
          <w:tcPr>
            <w:tcW w:w="3820" w:type="dxa"/>
            <w:vAlign w:val="bottom"/>
            <w:gridSpan w:val="6"/>
            <w:vMerge w:val="continue"/>
          </w:tcPr>
          <w:p>
            <w:pPr>
              <w:spacing w:after="0"/>
              <w:rPr>
                <w:sz w:val="16"/>
                <w:szCs w:val="16"/>
                <w:color w:val="auto"/>
              </w:rPr>
            </w:pPr>
          </w:p>
        </w:tc>
        <w:tc>
          <w:tcPr>
            <w:tcW w:w="1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 July 31, 2022 and 2021</w:t>
            </w:r>
          </w:p>
        </w:tc>
        <w:tc>
          <w:tcPr>
            <w:tcW w:w="18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 Years Ended July 31, 2022, 2021, and 2020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 Years Ended July 31, 2022, 2021, and 2020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 Years Ended July 31, 2022, 2021, and 2020</w:t>
            </w:r>
          </w:p>
        </w:tc>
        <w:tc>
          <w:tcPr>
            <w:tcW w:w="180" w:type="dxa"/>
            <w:vAlign w:val="bottom"/>
            <w:tcBorders>
              <w:top w:val="single" w:sz="8" w:color="0000FF"/>
            </w:tcBorders>
          </w:tcPr>
          <w:p>
            <w:pPr>
              <w:spacing w:after="0"/>
              <w:rPr>
                <w:sz w:val="18"/>
                <w:szCs w:val="18"/>
                <w:color w:val="auto"/>
              </w:rPr>
            </w:pPr>
          </w:p>
        </w:tc>
        <w:tc>
          <w:tcPr>
            <w:tcW w:w="2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Years Ended July 31, 2022, 2021, and 2020</w:t>
            </w:r>
          </w:p>
        </w:tc>
        <w:tc>
          <w:tcPr>
            <w:tcW w:w="3040" w:type="dxa"/>
            <w:vAlign w:val="bottom"/>
            <w:gridSpan w:val="4"/>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 Years Ended July 31, 2022, 2021, and 2020</w:t>
            </w:r>
          </w:p>
        </w:tc>
        <w:tc>
          <w:tcPr>
            <w:tcW w:w="2760" w:type="dxa"/>
            <w:vAlign w:val="bottom"/>
            <w:gridSpan w:val="3"/>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Brady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Brady Corporation and subsidiaries (the "Company") as of July 31, 2022 and 2021, the related consolidated statements of income, comprehensive income, stockholders' equity, and cash flows, for each of the three years in the period ended July 31, 2022, and the related notes and the schedule listed in the Index at Item 15 (collectively referred to as the "financial statements"). In our opinion, the financial statements present fairly, in all material respects, the financial position of the Company as of July 31, 2022 and 2021, and the results of its operations and its cash flows for each of the three years in the period ended July 31, 2022,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July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1, 2022,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 Valuation Allowances — Refer to Notes 1 and 11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$47.3 million as of July 31, 2022.</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determination of the valuation allowance involves estimates. Management’s primary estimate in determining whether a valuation allowance should be established is the projection of future sources of taxable income. Auditing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management’s estimate of future sources of taxable income, which affects the recorded valuation allowances, required a high degree of auditor judgment and an increased extent of effort, including the need to involve our income tax specialists.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estimated future sources of taxable income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estimates of future sources of taxable income.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considered relevant tax laws and regulations in evaluating the appropriateness of management’s estimates of future sources of taxable income.</w:t>
      </w:r>
    </w:p>
    <w:p>
      <w:pPr>
        <w:jc w:val="both"/>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minutes of the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 whether the estimated future sources of taxable income were of the appropriate character to utilize the deferred tax assets under tax law.</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the net deferred tax assets.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at least since 1981; however, an earlier year cannot be reliably determined.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147,335</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$7,355 and $7,306, respectively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170,579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465,104</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121,741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614,137</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16,343</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26,217</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1,377,756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0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82,152</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81,173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59,623</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257,584</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90,797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414,728</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 — Issued 51,261,487 shares, and outstanding 46,370,708 and 48,528,245 shares,</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 (aggregate liquidation preference of $42,716)</w:t>
            </w: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 — Issued and outstanding 3,538,628 shares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339,125</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788,369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 4,890,779 and 2,733,242 shares, respectively, of Class A nonvoting common stock, at cost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(109,061)</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963,028</w:t>
            </w:r>
          </w:p>
        </w:tc>
        <w:tc>
          <w:tcPr>
            <w:tcW w:w="0" w:type="dxa"/>
            <w:vAlign w:val="bottom"/>
          </w:tcPr>
          <w:p>
            <w:pPr>
              <w:spacing w:after="0"/>
              <w:rPr>
                <w:sz w:val="1"/>
                <w:szCs w:val="1"/>
                <w:color w:val="auto"/>
              </w:rPr>
            </w:pP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1,377,756</w:t>
            </w:r>
          </w:p>
        </w:tc>
        <w:tc>
          <w:tcPr>
            <w:tcW w:w="0" w:type="dxa"/>
            <w:vAlign w:val="bottom"/>
          </w:tcPr>
          <w:p>
            <w:pPr>
              <w:spacing w:after="0"/>
              <w:rPr>
                <w:sz w:val="1"/>
                <w:szCs w:val="1"/>
                <w:color w:val="auto"/>
              </w:rPr>
            </w:pPr>
          </w:p>
        </w:tc>
      </w:tr>
      <w:tr>
        <w:trPr>
          <w:trHeight w:val="26"/>
        </w:trPr>
        <w:tc>
          <w:tcPr>
            <w:tcW w:w="8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8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-5481955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Years Ended July 31, 2022, 2021 and 2020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670,510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583,252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552,734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528,565</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40,662</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336,059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charges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438,540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394,319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390,542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losses of unconsolidated affiliate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losses of unconsolidated affiliate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112,615</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37"/>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52,763</w:t>
            </w: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-3630295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-3630295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r>
      <w:tr>
        <w:trPr>
          <w:trHeight w:val="256"/>
        </w:trPr>
        <w:tc>
          <w:tcPr>
            <w:tcW w:w="6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6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(loss) income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6"/>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09"/>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(loss) income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6"/>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actuarial gain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09"/>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59"/>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4,777</w:t>
            </w: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117,146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-2459355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-2459355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60" w:type="dxa"/>
            <w:vAlign w:val="bottom"/>
            <w:gridSpan w:val="3"/>
            <w:vMerge w:val="continue"/>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329,969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(71,254)</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$0.87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$0.85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331,762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704,456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(66,477)</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$0.88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$0.86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339,125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(53,124)</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$0.90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$0.88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-4962525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-4962525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-4962525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-4962525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112,369</w:t>
            </w: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23,437</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w:t>
            </w: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Impairment charges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w:t>
            </w: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in losses of unconsolidated affiliate</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acquisitions):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13,902</w:t>
            </w:r>
          </w:p>
        </w:tc>
      </w:tr>
      <w:tr>
        <w:trPr>
          <w:trHeight w:val="213"/>
        </w:trPr>
        <w:tc>
          <w:tcPr>
            <w:tcW w:w="74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(13,917)</w:t>
            </w:r>
          </w:p>
        </w:tc>
      </w:tr>
      <w:tr>
        <w:trPr>
          <w:trHeight w:val="219"/>
        </w:trPr>
        <w:tc>
          <w:tcPr>
            <w:tcW w:w="7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r>
      <w:tr>
        <w:trPr>
          <w:trHeight w:val="213"/>
        </w:trPr>
        <w:tc>
          <w:tcPr>
            <w:tcW w:w="74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(26,128)</w:t>
            </w:r>
          </w:p>
        </w:tc>
      </w:tr>
      <w:tr>
        <w:trPr>
          <w:trHeight w:val="219"/>
        </w:trPr>
        <w:tc>
          <w:tcPr>
            <w:tcW w:w="7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r>
      <w:tr>
        <w:trPr>
          <w:trHeight w:val="207"/>
        </w:trPr>
        <w:tc>
          <w:tcPr>
            <w:tcW w:w="74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140,977</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(27,277)</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w:t>
            </w:r>
          </w:p>
        </w:tc>
      </w:tr>
      <w:tr>
        <w:trPr>
          <w:trHeight w:val="212"/>
        </w:trPr>
        <w:tc>
          <w:tcPr>
            <w:tcW w:w="74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(36,119)</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(45,756)</w:t>
            </w: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w:t>
            </w: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(64,514)</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facilities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20,697</w:t>
            </w:r>
          </w:p>
        </w:tc>
      </w:tr>
      <w:tr>
        <w:trPr>
          <w:trHeight w:val="213"/>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facilities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(21,855)</w:t>
            </w: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(48,672)</w:t>
            </w:r>
          </w:p>
        </w:tc>
      </w:tr>
      <w:tr>
        <w:trPr>
          <w:trHeight w:val="213"/>
        </w:trPr>
        <w:tc>
          <w:tcPr>
            <w:tcW w:w="7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2"/>
        </w:trPr>
        <w:tc>
          <w:tcPr>
            <w:tcW w:w="74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(61,429)</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217,643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279,072</w:t>
            </w:r>
          </w:p>
        </w:tc>
      </w:tr>
      <w:tr>
        <w:trPr>
          <w:trHeight w:val="235"/>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10"/>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-5567680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-5567680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 </w:t>
      </w: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Brady Corporation and its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and transactions between consolidated subsidiaries have been eliminated in consolidation.</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The Company recognizes assets acquired, liabilities assumed, contractual contingencies and contingent consideration at their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acquisition date. The operating results of the acquired companies are included in the Company’s consolidated financial statements from the date of acquisition. Acquisition-related costs are expensed as incurred and changes in deferred tax asset valuation allowances and income tax uncertainties after the measurement period are recorded in income tax expense.</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The Company considers all highly-liquid investments purchased with original maturities of three months or less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The Company places temporary cash investments with global financial institutions of high credit quality.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Receivables — </w:t>
      </w:r>
      <w:r>
        <w:rPr>
          <w:rFonts w:ascii="Times New Roman" w:cs="Times New Roman" w:eastAsia="Times New Roman" w:hAnsi="Times New Roman"/>
          <w:sz w:val="18"/>
          <w:szCs w:val="18"/>
          <w:color w:val="auto"/>
        </w:rPr>
        <w:t>The Company's policy for estimating the allowance for credit losses on accounts receivables considers several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historical loss experience, the age of delinquent receivable balances due, and economic conditions. Specific customer reserves are made during review of significant outstanding balances due, in which customer creditworthiness and current economic trends may indicate that it is probable the receivable will not be recovered. Accounts receivables are written off after collection efforts occur and the receivable is deemed uncollectible. Adjustments to the allowance for credit losses are recorded in SG&amp;A expense.</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 — </w:t>
      </w:r>
      <w:r>
        <w:rPr>
          <w:rFonts w:ascii="Times New Roman" w:cs="Times New Roman" w:eastAsia="Times New Roman" w:hAnsi="Times New Roman"/>
          <w:sz w:val="18"/>
          <w:szCs w:val="18"/>
          <w:color w:val="auto"/>
        </w:rPr>
        <w:t>The equity method of accounting is applied to investments in which the Company has significant influence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decisions of the investee. The Company evaluates its equity method investments each reporting period for evidence of a loss in value that is other than a temporary decline. Evidence of a loss in value might include, but would not necessarily be limited to, absence of an ability to recover the carrying amount of the investment or the inability of the investee to sustain an earnings capacity that would justify the carrying amount of the investment. The Company performed this analysis and concluded that its investment in React Mobile, Inc. was other-than-temporarily impaired and recognized an impairment charge of $4,994 for the Company's remaining equity interest in React Mobile, Inc. during the year ended July 31, 2021.</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Inventories are stated at the lower of cost or net realizable value and include material, labor, and overhead. Cost has been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last-in, first-out (“LIFO”) method for certain inventories in the U.S. (13.3% of total inventories at July 31, 2022, and 12.5% of total inventories at July 31, 2021) and the first-in, first-out (“FIFO”) or average cost methods for all other inventories. Had all inventories been accounted for on a FIFO basis instead of on a LIFO basis, the carrying value of inventories would have increased by $9,900 and $7,707 as of July 31, 2022 and 2021,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as of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87,489</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20,189</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28,429</w:t>
            </w:r>
          </w:p>
        </w:tc>
      </w:tr>
      <w:tr>
        <w:trPr>
          <w:trHeight w:val="207"/>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190,023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136,107</w:t>
            </w:r>
          </w:p>
        </w:tc>
      </w:tr>
      <w:tr>
        <w:trPr>
          <w:trHeight w:val="2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are stated at cost, less accumulated depreciation. Depreciation is computed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estimated useful lives of the related assets. Leasehold improvements are depreciated over the shorter of the lease term or the estimated useful life of the respective asset. The estimated useful lives range from 3 to 33 years as shown below.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Range of Useful Lives</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10 to 33 Years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108,801</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3 to 10 Years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276,994</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4,991</w:t>
            </w:r>
          </w:p>
        </w:tc>
      </w:tr>
      <w:tr>
        <w:trPr>
          <w:trHeight w:val="212"/>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equipment—gross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398,987</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(277,246)</w:t>
            </w:r>
          </w:p>
        </w:tc>
      </w:tr>
      <w:tr>
        <w:trPr>
          <w:trHeight w:val="234"/>
        </w:trPr>
        <w:tc>
          <w:tcPr>
            <w:tcW w:w="6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2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121,741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$19,216, $18,406, and $18,218 for the years ended July 31, 2022, 2021 and 2020, respectively.</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The Company evaluates the carrying amount of goodwill annually or more frequently if events or changes in circumstances have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indicate the goodwill might be impaired. The Company completes impairment reviews for its reporting units using a fair-value method based on management's judgments and assumptions. When performing its annual impairment assessment, the Company evaluates the recoverability of goodwill assigned to each of its reporting units by comparing the estimated fair value of the respective reporting unit to the carrying value, including goodwill. The Company estimates fair value utilizing the income approach and the market approach. The income approach requires management to make a number of assumptions and estimates for each reporting unit, including projected future operating results, economic projections, anticipated future cash flows, working capital levels, income tax rates, and a weighted-average cost of capital reflecting the specific risk profile of the respective reporting unit. The market approach estimates fair value using performance multiples of comparable publicly-traded companies. In the event the fair value of a reporting unit is less than the carrying value, including goodwill, an impairment loss, if any, is recognized for the difference between the implied fair value and the carrying value of the reporting unit's goodwill. The annual impairment testing performed on May 1, 2022, indicated that all reporting units with goodwill had a fair value substantially in excess of its carrying value. No goodwill impairment charges were recognized during the year ended July 31, 2022.</w:t>
      </w:r>
    </w:p>
    <w:p>
      <w:pPr>
        <w:spacing w:after="0" w:line="13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Intangible and Long-Lived Assets — </w:t>
      </w:r>
      <w:r>
        <w:rPr>
          <w:rFonts w:ascii="Times New Roman" w:cs="Times New Roman" w:eastAsia="Times New Roman" w:hAnsi="Times New Roman"/>
          <w:sz w:val="18"/>
          <w:szCs w:val="18"/>
          <w:color w:val="auto"/>
        </w:rPr>
        <w:t>Intangible assets with definite lives are amortized on a straight-line basis over their estimated useful lives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fiscal 2022, long-lived and other intangible assets were analyzed for potential impairment. As a result of the analysis, no impairment charges were recorded. Refer to Note 3, "Other Intangible Assets and Long-Lived Assets" for further information regarding the impairment charges recorded in fiscal 2020.</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accounts for leases in accordance with Accounting Standards Codification ("ASC") 842 "Leases." The Company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 arrangement contains a lease at contract inception based on whether the arrangement provides the Company with the right to direct the use of and the right to obtain substantially all of the economic benefits from an identified asset in exchange for consideration. The Company recognizes a right-of-use ("ROU") asset and lease liability for its lease commitments with initial terms greater than one year.</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 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elected to account for as a single lease component.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July 31, 2022,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No impairment charges were recognized related to operating lease assets during the year ended July 31, 2022. Refer to Note 3, "Other Intangible and Long-Lived Assets" for additional information regarding the impairment charges recognized during fiscal 2020.</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majority of the Company’s revenue relates to the sale of identification solutions and workplace safety products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 Company accounts for revenue in accordance with ASC Topic 606 "Revenue from Contracts with Customers." Revenue is recognized when control of the product or service transfers to the customer in an amount that represents the consideration expected to be received in exchange for those products and services. The Company considers control to have transferred when legal title, physical possession, and the significant risks and rewards of ownership of the asset have transferred to the customer and the collection of the transaction price is reasonably assured, most of which occur upon shipment or delivery of goods to customers. Given the nature of the Company’s business, revenue recognition practices do not contain estimates that materially affect the results of operations, with the exception of estimated customer returns and credit memos. The Company records an allowance for estimated product returns and credit memos using the expected value method based on historical experience, which is recognized as a deduction from net sales at the time of sale. As of July 31, 2022 and 2021, the Company had a reserve for estimated product returns and credit memos of $4,415 and $5,510, respectively.</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Incentives — </w:t>
      </w:r>
      <w:r>
        <w:rPr>
          <w:rFonts w:ascii="Times New Roman" w:cs="Times New Roman" w:eastAsia="Times New Roman" w:hAnsi="Times New Roman"/>
          <w:sz w:val="18"/>
          <w:szCs w:val="18"/>
          <w:color w:val="auto"/>
        </w:rPr>
        <w:t>The Company accounts for cash consideration (such as sales incentives, rebates, and cash discounts) given to its customers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resellers as a reduction of revenue. Sales incentives for the years ended July 31, 2022, 2021, and 2020 were $50,265, $38,876, and $38,476, respectively.</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 </w:t>
      </w:r>
      <w:r>
        <w:rPr>
          <w:rFonts w:ascii="Times New Roman" w:cs="Times New Roman" w:eastAsia="Times New Roman" w:hAnsi="Times New Roman"/>
          <w:sz w:val="18"/>
          <w:szCs w:val="18"/>
          <w:color w:val="auto"/>
        </w:rPr>
        <w:t>Shipping and handling fees billed to a customer in a sale transaction are reported as net sales and the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for shipping and handling are reported in cost of goods sold.</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as incurred. Advertising expense for the years ended July 31, 2022, 2021, and 2020 was $55,568,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$54,370, and $63,482, respectively.</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The Company measures and recognizes the compensation expense for all share-based awards made to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determined that it is unlikely the award will vest, the expense recognized to date for the award is generally reversed in the period in which this is evident and the remaining expense is not recorded.</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Note 7, “Stockholders' Equity” for more information regarding the Company’s incentive stock plans.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 </w:t>
      </w:r>
      <w:r>
        <w:rPr>
          <w:rFonts w:ascii="Times New Roman" w:cs="Times New Roman" w:eastAsia="Times New Roman" w:hAnsi="Times New Roman"/>
          <w:sz w:val="18"/>
          <w:szCs w:val="18"/>
          <w:color w:val="auto"/>
        </w:rPr>
        <w:t>Amounts expended for research and development are expensed as incurred.</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w:t>
      </w:r>
      <w:r>
        <w:rPr>
          <w:rFonts w:ascii="Times New Roman" w:cs="Times New Roman" w:eastAsia="Times New Roman" w:hAnsi="Times New Roman"/>
          <w:sz w:val="18"/>
          <w:szCs w:val="18"/>
          <w:color w:val="auto"/>
        </w:rPr>
        <w:t>Other comprehensive income consists of net unrealized gains and losses from cash flow hedges, the unamortized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defined-benefit pension plans net of their related tax effects, and foreign currency translation adjustments, which includes the impact of foreign currency translations and the settlements of net investment hedges.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assets and liabilities of subsidiaries whose functional currency is a currency other than the U.S. dollar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translated into U.S. dollars at end of period rates of exchange, and income and expense accounts are translated at the average rates of exchange for the period. Resulting foreign currency translation adjustments are included in other comprehensive income.</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The Company accounts for income taxes in accordance with ASC 740 "Income Taxes." Deferred income tax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 </w:t>
      </w:r>
      <w:r>
        <w:rPr>
          <w:rFonts w:ascii="Times New Roman" w:cs="Times New Roman" w:eastAsia="Times New Roman" w:hAnsi="Times New Roman"/>
          <w:sz w:val="18"/>
          <w:szCs w:val="18"/>
          <w:color w:val="auto"/>
        </w:rPr>
        <w:t>The Company believes that the carrying amount of its financial instruments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accounts payable, and other current liabilities) approximates fair value due to the short-term nature of these instruments. Refer to Note 6, "Debt" for more information regarding the fair value of long-term debt and Note 13, "Fair Value Measurements" for information regarding fair value measurements.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Hedging — </w:t>
      </w:r>
      <w:r>
        <w:rPr>
          <w:rFonts w:ascii="Times New Roman" w:cs="Times New Roman" w:eastAsia="Times New Roman" w:hAnsi="Times New Roman"/>
          <w:sz w:val="18"/>
          <w:szCs w:val="18"/>
          <w:color w:val="auto"/>
        </w:rPr>
        <w:t>The objective of the Company’s foreign currency exchange risk management is to minimize the impact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ASU 2019-12, "Income Taxes - Simplifying the Accounting for Income Taxes (Topic 740)." This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effective tax rate computation in the interim period that includes the enactment date. The Company adopted ASC 2019-12 effective August 1, 2021, which did not have a material impact on its consolidated financial statements or disclosures.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Subject to meeting certain criteria, this guidance provides optional expedients and exceptions to applying contract modification accounting under existing U.S. GAAP, to address the expected phase out of the London Inter-bank Offered Rate ("LIBOR"). This guidance was effective upon issuance and allowed application to contract changes as early as January 1, 2020. The adoption of this update did not have a material impact on the Company's consolidated financial statements.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requires contract assets and contract liabilities (e.g. deferred revenue) acquired in a business combination to be recognized and measured by the acquirer on the acquisition date in accordance with ASC 606, “Revenue from Contracts with Customers.” The guidance is effective for fiscal years beginning after December 15, 2022. The Company does not currently expect a material impact to its consolidated financial statements or disclosures from the adoption of this standard.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July 31, 2022 and 2021,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IDS</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WPS</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5"/>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2020</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416,034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Current year acquisitions</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tcBorders>
              <w:top w:val="single" w:sz="8" w:color="CCEEFF"/>
            </w:tcBorders>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195,166</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195,166</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0" w:type="dxa"/>
            <w:vAlign w:val="bottom"/>
          </w:tcPr>
          <w:p>
            <w:pPr>
              <w:spacing w:after="0"/>
              <w:rPr>
                <w:sz w:val="1"/>
                <w:szCs w:val="1"/>
                <w:color w:val="auto"/>
              </w:rPr>
            </w:pPr>
          </w:p>
        </w:tc>
      </w:tr>
      <w:tr>
        <w:trPr>
          <w:trHeight w:val="20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July 31, 2021</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578,935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614,137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3"/>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(26,612)</w:t>
            </w:r>
          </w:p>
        </w:tc>
        <w:tc>
          <w:tcPr>
            <w:tcW w:w="0" w:type="dxa"/>
            <w:vAlign w:val="bottom"/>
          </w:tcPr>
          <w:p>
            <w:pPr>
              <w:spacing w:after="0"/>
              <w:rPr>
                <w:sz w:val="1"/>
                <w:szCs w:val="1"/>
                <w:color w:val="auto"/>
              </w:rPr>
            </w:pP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586,832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declined $27,305 during the year ended July 31, 2022 mainly due to the negative effects of foreign currency translation. In addition, the final working capital adjustment from the acquisition of Code decreased the goodwill balance by $693.</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increased $198,103 during the year ended July 31, 2021. Of the $198,103 increase, $139,347 was due to the acquisition of Code, $43,235 was due to the acquisition of Magicard, $12,584 was due to the acquisition of Nordic ID, and $2,937 was due to the positive effects of foreign currency translation.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annual impairment testing performed on May 1, 2022, in accordance with ASC 350, “Intangibles - Goodwill and Other” indicated that all of the reporting units with goodwill (IDS Americas and Europe, PDC, WPS Europe, Code Corporation and Magicard) had a fair value substantially in excess of its carrying value.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Intangible and Long-Lived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 assets include customer relationships, tradenames, and technology with finite lives being amortized in accordance with the accounting guidance for other intangible assets. The Company also has unamortized indefinite-lived tradenames that are classified as other intangible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July 31, 2022 and 2021,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71,881</w:t>
            </w: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0" w:type="dxa"/>
            <w:vAlign w:val="bottom"/>
          </w:tcPr>
          <w:p>
            <w:pPr>
              <w:spacing w:after="0"/>
              <w:rPr>
                <w:sz w:val="1"/>
                <w:szCs w:val="1"/>
                <w:color w:val="auto"/>
              </w:rPr>
            </w:pPr>
          </w:p>
        </w:tc>
      </w:tr>
      <w:tr>
        <w:trPr>
          <w:trHeight w:val="22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July 31, 2022 compared to July 31, 2021 was primarily due to the effect of currency fluctuations during the during the year ended July 31, 2022.</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on intangible assets during the years ended July 31, 2022, 2021, and 2020 was $14,966, $7,077, and $5,219,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over each of the next five fiscal years is projected to be $11,739, $9,312, $8,987, $8,114, and $7,628 for the fiscal years 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2023, 2024, 2025, 2026, and 2027, respectively.</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July 31, 2020, impairment charges of $8,665 were recognized related to indefinite-lived tradenames. In addition, impairment charges of $2,681 were recognized related to property, plant and equipment; of which $2,353 and $328 related to the IDS and WPS segments, respectively. Impairment charges of $2,475 were recognized related to operating lease assets, of which $2,035 and $440 related to the WPS and IDS segments, respectively. These items resulted in a total impairment charge of $13,821 recognized in "Impairment charges" on the Consolidated Statements of Income for the year ended July 31, 2020.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warehouses and office space, computer equipment, and vehicles accounted for as operating leases. Lease terms typically range from one year to ten years. As of July 31, 2022 and 2021, the Company did not have any finance leases.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Short-term lease expense, variable lease expenses, and sublease income were immaterial to the Consolidated Statements of Income for the year ended July 31, 2022.</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lease expense recognized during the years ended July 31, 2022, 2021 and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Pr>
          <w:p>
            <w:pPr>
              <w:spacing w:after="0"/>
              <w:rPr>
                <w:sz w:val="18"/>
                <w:szCs w:val="18"/>
                <w:color w:val="auto"/>
              </w:rPr>
            </w:pPr>
          </w:p>
        </w:tc>
        <w:tc>
          <w:tcPr>
            <w:tcW w:w="49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Location</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20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July 31, 2020</w:t>
            </w:r>
          </w:p>
        </w:tc>
      </w:tr>
      <w:tr>
        <w:trPr>
          <w:trHeight w:val="21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9,197</w:t>
            </w:r>
          </w:p>
        </w:tc>
      </w:tr>
      <w:tr>
        <w:trPr>
          <w:trHeight w:val="210"/>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8,974</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the Company's lease liabilities as of July 31,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July 31,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Operating Leases</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16,002</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11,317</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w:t>
            </w:r>
          </w:p>
        </w:tc>
      </w:tr>
      <w:tr>
        <w:trPr>
          <w:trHeight w:val="213"/>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interest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w:t>
            </w:r>
          </w:p>
        </w:tc>
      </w:tr>
      <w:tr>
        <w:trPr>
          <w:trHeight w:val="23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Company's operating leases as of July 31, 2022 and 2021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212"/>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bl>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during the years ended July 31, 2022 and 2021,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w:t>
            </w:r>
          </w:p>
        </w:tc>
      </w:tr>
      <w:tr>
        <w:trPr>
          <w:trHeight w:val="28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16,522</w:t>
            </w:r>
          </w:p>
        </w:tc>
      </w:tr>
    </w:tbl>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 Includes new leases and remeasurements or modifications of existing leases.</w:t>
      </w:r>
    </w:p>
    <w:p>
      <w:pPr>
        <w:spacing w:after="0" w:line="1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right-of-use assets for impairment in the same manner as long-lived assets. No impairment charges were recorded during the years ended July 31, 2022 or 2021. Refer to Note 3, "Other Intangible and Long-Lived Assets" for information regarding impairment charges recognized during the year ended July 31, 2020.</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postretirement medical benefits (the “Plan”) for eligible regular full and part-time domestic employees (including spouses) who retired prior to January 1, 2016, as outlined by the Plan. The Plan is unfunded, and the liability, unrecognized gain, and associated income statement impact are immaterial. The current portion and non-current portion of the liabilities for postretirement medical benefits are included in “Other current liabilities” and “Other liabilities," respectively, on the accompanying Consolidated Balance Sheets as of July 31, 2022 and 2021. The unrecognized gain is reported as a component of AOCI.</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has an additional non-qualified deferred compensation plan, the Brady Restoration Plan, which allows an equivalent benefit to the Matched 401(k) Plan and the Funded Retirement Plan for executives' income exceeding the IRS limits for participation in a qualified 401(k) plan. Deferred compensation of $18,043 and $20,144 was included in "Other liabilities" in the accompanying Consolidated Balance Sheets as of July 31, 2022 and 2021, respectively.</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$3,644 and $3,686 were included in "Other current liabilities" in the accompanying Consolidated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 Sheets as of July 31, 2022 and 2021, respectively. The amounts charged to expense for these retirement and profit sharing plans were $15,063, $13,246, and $12,129 during the years ended July 31, 2022, 2021 and 2020, respectively.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revolving loan agreement with a group of five banks. Under this revolving loan agreement, the Company has the option to select either a Eurocurrency rate loan that bears interest at the LIBOR rate plus a margin based 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 certain conditions, the available amount under the revolving loan agreement may be increased from $200 million to $400 million.</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revolving loan agreement, which amends the revolving loan agreement dated August 1, 2019. The amendment amends the revolving loan agreement to, among other things, (a) change the interest rate under the revolving loan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revolving loan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revolving loan agreement did not have a material impact on the interest rate or related balances in the Company's consolidated financial statements.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July 31, 2022, the outstanding balance on the credit facility was $95.0 million. The maximum amount outstanding on the credit facility during the year ended July 31, 2022 was $120.0 million. As of July 31, 2022, there was $103.4 million available for future borrowing under the credit facility, which can be increased to $303.4 million at the Company's option, subject to certain conditions. The revolving loan agreement has a final maturity date of August 1, 2024. As such, borrowings are classified as long-term on the Consolidated Balance Sheets.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revolving loan agreement requires it to maintain certain financial covenants, including a ratio of debt to trailing twelve months EBITDA, as defined in the agreement, of not more than a 3.5 to 1.0 ratio (leverage ratio) and trailing twelve months EBITDA to interest expense of not less than a 3.0 to 1.0 ratio (interest expense coverage ratio). As of July 31, 2022, the Company was in compliance with these financial covenants, with a ratio of debt to EBITDA, as defined by the agreements, equal to 0.37 to 1.0 and the interest expense coverage ratio equal to 190.0 to 1.0.</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2022 and 2021, borrowings on the revolving loan agreement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20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USD-denominated borrowing on revolving loan agreement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38,000</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0.84 %</w:t>
            </w:r>
          </w:p>
        </w:tc>
      </w:tr>
    </w:tbl>
    <w:p>
      <w:pPr>
        <w:spacing w:after="0" w:line="2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variable interest rate pricing of the Company's revolving debt, it is determined that the carrying value of the debt equals the fair value of the debt.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outstanding letters of credit of $1,643 and $2,901 at July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as to the Company’s capital stock as of July 31, 2022 and 2021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3"/>
                <w:szCs w:val="13"/>
                <w:color w:val="auto"/>
              </w:rPr>
            </w:pPr>
          </w:p>
        </w:tc>
        <w:tc>
          <w:tcPr>
            <w:tcW w:w="108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3"/>
                <w:szCs w:val="13"/>
                <w:color w:val="auto"/>
              </w:rPr>
            </w:pPr>
          </w:p>
        </w:tc>
        <w:tc>
          <w:tcPr>
            <w:tcW w:w="108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$.01 par value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Cumulative Preferred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 Cumulative</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1972 Series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1979 Series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$.01 par value: Class A</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Nonvoting</w:t>
            </w: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Class B Voting</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liquidation, dissolution or winding up of the Company, and after distribution of any amounts due to holders of Preferred Stock, if any, holders of the Class A Common Stock are entitled to receive the sum of $0.833 per share before any payment or distribution to holders of the Class B Common Stock. Thereafter, holders of the Class B Common Stock are entitled to receive a payment or distribution of $0.833 per share. Thereafter, holders of the Class A Common Stock and Class B Common Stock share equally in all payments or distributions upon liquidation, dissolution or winding up of the Company.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other activity in stockholders’ equity during the years ended July 31, 2022,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Deferred Compensation</w:t>
            </w:r>
          </w:p>
        </w:tc>
        <w:tc>
          <w:tcPr>
            <w:tcW w:w="140" w:type="dxa"/>
            <w:vAlign w:val="bottom"/>
          </w:tcPr>
          <w:p>
            <w:pPr>
              <w:spacing w:after="0"/>
              <w:rPr>
                <w:sz w:val="16"/>
                <w:szCs w:val="16"/>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 Held in Rabbi</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Trust, at cost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2019</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2019</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285,533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285,533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2020</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2020</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292,329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2021</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2021</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2022</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318,285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July 31, 2022,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2022, the Company has reserved 1,843,889 shares of Class A Nonvoting Common Stock for outstanding stock options and RSUs and 2,605,629 shares of Class A Nonvoting Common Stock remain for future issuance of stock options and restricted and unrestricted shares under the active plans. The Company uses treasury stock or will issue new Class A Nonvoting Common Stock to deliver shares under these plans.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stock-based compensation expense recognized by the Company during the years ended July 31, 2022, 2021, and 2020, was $10,504 ($9,997 net of taxes), $10,098 ($9,543 net of taxes), and $8,843 ($8,048 net of taxes), respectively. As of July 31, 2022, total unrecognized compensation cost related to share-based compensation awards that are expected to vest was $6,371 pre-tax, net of estimated forfeitures, which the Company expects to recognize over a weighted-average period of 1.6 years.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estimated the fair value of its time-based stock option awards granted during the years ended July 31, 2022, 2021, and 2020, using the Black-Scholes option valuation model. The weighted-average assumptions used in the Black-Scholes valuation model are reflected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26.07 %</w:t>
            </w:r>
          </w:p>
        </w:tc>
      </w:tr>
      <w:tr>
        <w:trPr>
          <w:trHeight w:val="21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1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market value of underlying stock at grant date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54.05</w:t>
            </w:r>
          </w:p>
        </w:tc>
      </w:t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exercise price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39.92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54.05</w:t>
            </w:r>
          </w:p>
        </w:tc>
      </w:tr>
      <w:tr>
        <w:trPr>
          <w:trHeight w:val="21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July 31, 2022:</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Option Price</w:t>
            </w:r>
          </w:p>
        </w:tc>
      </w:tr>
      <w:tr>
        <w:trPr>
          <w:trHeight w:val="23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July 31, 2021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$54.05</w:t>
            </w: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New grants</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49.79</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43.98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54.05</w:t>
            </w: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July 31, 2022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09803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0980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09803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c>
          <w:tcPr>
            <w:tcW w:w="0" w:type="dxa"/>
            <w:vAlign w:val="bottom"/>
          </w:tcPr>
          <w:p>
            <w:pPr>
              <w:spacing w:after="0"/>
              <w:rPr>
                <w:sz w:val="1"/>
                <w:szCs w:val="1"/>
                <w:color w:val="auto"/>
              </w:rPr>
            </w:pPr>
          </w:p>
        </w:tc>
      </w:tr>
      <w:tr>
        <w:trPr>
          <w:trHeight w:val="214"/>
        </w:trPr>
        <w:tc>
          <w:tcPr>
            <w:tcW w:w="2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11"/>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1,474,068</w:t>
            </w:r>
          </w:p>
        </w:tc>
        <w:tc>
          <w:tcPr>
            <w:tcW w:w="5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0" w:type="dxa"/>
            <w:vAlign w:val="bottom"/>
          </w:tcPr>
          <w:p>
            <w:pPr>
              <w:spacing w:after="0"/>
              <w:rPr>
                <w:sz w:val="1"/>
                <w:szCs w:val="1"/>
                <w:color w:val="auto"/>
              </w:rPr>
            </w:pPr>
          </w:p>
        </w:tc>
      </w:tr>
      <w:tr>
        <w:trPr>
          <w:trHeight w:val="21"/>
        </w:trPr>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0" w:type="dxa"/>
            <w:vAlign w:val="bottom"/>
          </w:tcPr>
          <w:p>
            <w:pPr>
              <w:spacing w:after="0"/>
              <w:rPr>
                <w:sz w:val="1"/>
                <w:szCs w:val="1"/>
                <w:color w:val="auto"/>
              </w:rPr>
            </w:pPr>
          </w:p>
        </w:tc>
      </w:tr>
      <w:tr>
        <w:trPr>
          <w:trHeight w:val="204"/>
        </w:trPr>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302,225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0" w:type="dxa"/>
            <w:vAlign w:val="bottom"/>
          </w:tcPr>
          <w:p>
            <w:pPr>
              <w:spacing w:after="0"/>
              <w:rPr>
                <w:sz w:val="1"/>
                <w:szCs w:val="1"/>
                <w:color w:val="auto"/>
              </w:rPr>
            </w:pPr>
          </w:p>
        </w:tc>
      </w:tr>
      <w:tr>
        <w:trPr>
          <w:trHeight w:val="219"/>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1,591,525</w:t>
            </w:r>
          </w:p>
        </w:tc>
        <w:tc>
          <w:tcPr>
            <w:tcW w:w="5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40" w:space="120"/>
            <w:col w:w="4180"/>
          </w:cols>
          <w:pgMar w:left="320" w:top="118" w:right="339" w:bottom="1440" w:gutter="0" w:footer="0" w:header="0"/>
        </w:sectPr>
      </w:pPr>
    </w:p>
    <w:p>
      <w:pPr>
        <w:spacing w:after="0" w:line="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July 31, 2022, 2021, and 2020, was $2,446, $2,371, and $2,800, respectively. The total intrinsic value of options exercised during the years ended July 31, 2022, 2021, and 2020, based upon the average market price at the time of the exercise during the period, was $4,269, $1,477, and $14,692, respectively.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1,050,240, 949,668, and 776,273 options exercisable with a weighted average exercise price of $38.90, $34.97, and $31.50 at July 31, 2022, 2021, and 2020, respectively. The cash received from the exercise of stock options during the years ended July 31, 2022, 2021, and 2020, was $1,082, $1,765, and $5,511, respectively. The tax benefit on options exercised during the years ended July 31, 2022, 2021, and 2020, was $1,067, $369, and $3,673, respectively.</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July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Shares Exercisable</w:t>
            </w: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8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380" w:type="dxa"/>
            <w:vAlign w:val="bottom"/>
            <w:gridSpan w:val="3"/>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at July 31, 2022</w:t>
            </w: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0" w:type="dxa"/>
            <w:vAlign w:val="bottom"/>
          </w:tcPr>
          <w:p>
            <w:pPr>
              <w:spacing w:after="0"/>
              <w:rPr>
                <w:sz w:val="17"/>
                <w:szCs w:val="17"/>
                <w:color w:val="auto"/>
              </w:rPr>
            </w:pP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$19.96 - $29.99</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106,913</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106,913</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$30.00 - $39.99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568,451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36.23</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$40.00 - $54.05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735,481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374,876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48.02</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1,591,525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1,050,240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38.90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the aggregate intrinsic value (defined as the amount by which the fair value of the underlying stock exceeds the exercise price of an option) of options outstanding and the options exercisable was $11,627 and $10,169,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fair market value of the underlying stock at the date of grant. Shares issued under the plan are referred to herein as either "time-based" or "performance-based" RSUs. The time-based RSUs issued under the plan generally vest ratably over a three-year period, with one-third becoming exercisable one year after the grant date and one-third additional in each of the succeeding two years. The performance-based RSUs granted under the plan generally vest at the end of a three-year service period indexed to the Company's total shareholder return ("TSR") against a defined peer group. In fiscal 2022, half of the performance-based RSUs granted will vest based on the Company's TSR against a defined peer group and the other half will vest based on revenue performance measured with respect to four performance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summarize the RSU activity during the year ended July 31, 2022:</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Time-Based RSUs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grants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Forfeited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182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9"/>
              <w:spacing w:after="0" w:line="162" w:lineRule="exact"/>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214"/>
        </w:trPr>
        <w:tc>
          <w:tcPr>
            <w:tcW w:w="1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156,466</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204"/>
        </w:trPr>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w:t>
            </w:r>
          </w:p>
        </w:tc>
        <w:tc>
          <w:tcPr>
            <w:tcW w:w="0" w:type="dxa"/>
            <w:vAlign w:val="bottom"/>
          </w:tcPr>
          <w:p>
            <w:pPr>
              <w:spacing w:after="0"/>
              <w:rPr>
                <w:sz w:val="1"/>
                <w:szCs w:val="1"/>
                <w:color w:val="auto"/>
              </w:rPr>
            </w:pPr>
          </w:p>
        </w:tc>
      </w:tr>
      <w:tr>
        <w:trPr>
          <w:trHeight w:val="219"/>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212"/>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173,230</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3760"/>
          </w:cols>
          <w:pgMar w:left="320" w:top="118" w:right="339" w:bottom="1440" w:gutter="0" w:footer="0" w:header="0"/>
        </w:sectPr>
      </w:pPr>
    </w:p>
    <w:p>
      <w:pPr>
        <w:spacing w:after="0" w:line="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time-based RSUs granted during the years ended July 31, 2021 and 2020, had a weighted-average grant-date fair value of $40.82 and $53.38,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RSUs</w:t>
            </w:r>
          </w:p>
        </w:tc>
        <w:tc>
          <w:tcPr>
            <w:tcW w:w="182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9"/>
              <w:spacing w:after="0" w:line="162" w:lineRule="exact"/>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214"/>
        </w:trPr>
        <w:tc>
          <w:tcPr>
            <w:tcW w:w="748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119,281</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New grants </w:t>
            </w:r>
            <w:r>
              <w:rPr>
                <w:rFonts w:ascii="Times New Roman" w:cs="Times New Roman" w:eastAsia="Times New Roman" w:hAnsi="Times New Roman"/>
                <w:sz w:val="21"/>
                <w:szCs w:val="21"/>
                <w:color w:val="auto"/>
                <w:vertAlign w:val="superscript"/>
              </w:rPr>
              <w:t>(1)</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0" w:type="dxa"/>
            <w:vAlign w:val="bottom"/>
          </w:tcPr>
          <w:p>
            <w:pPr>
              <w:spacing w:after="0" w:line="20" w:lineRule="exact"/>
              <w:rPr>
                <w:sz w:val="1"/>
                <w:szCs w:val="1"/>
                <w:color w:val="auto"/>
              </w:rPr>
            </w:pPr>
          </w:p>
        </w:tc>
      </w:tr>
      <w:tr>
        <w:trPr>
          <w:trHeight w:val="190"/>
        </w:trPr>
        <w:tc>
          <w:tcPr>
            <w:tcW w:w="7480" w:type="dxa"/>
            <w:vAlign w:val="bottom"/>
            <w:vMerge w:val="continue"/>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79,134</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32"/>
        <w:spacing w:after="0" w:line="298" w:lineRule="auto"/>
        <w:tabs>
          <w:tab w:leader="none" w:pos="55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32,393 shares resulting from the payout of performance-based RSUs granted in fiscal year 2019 due to the achievement of performance metrics exceeding the target payout.</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during the year ended July 31, 2022, had a fair value determined by a third-party valuation involving the use of a Monte Carlo simulation for the portion of the grant with a market condition and the portion of the grant with a performance condition had a fair value determined by the average of the high and low stock price on the date of grant. The performance-based RSUs granted during the year ended July 31, 2021 and 2020, had a weighted-average grant-date fair value of $60.73 and $75.00, respectively.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fair value of time-based and performance-based RSUs vested during the years ended July 31, 2022, 2021 and 2020, was $7,767, $6,167, and $9,776, respectively. The aggregate intrinsic value of unvested time-based and performance-based RSUs outstanding as of July 31, 2022, 2021, and 2020, and expected to vest, was $11,435, $16,849, and $14,013,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Loss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unrealized gains and losses from cash flow hedges, and the unamortized gain on post-retirement plans, net of their related tax effects.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 (loss)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gain on cash flow</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July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(51,664)</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July 31, 2022, compared to July 31, 2021, was primarily due to the appreciation of the U.S. dollar against certain other currencies during the fiscal year. Of the amounts reclassified from accumulated other comprehensive loss during the years ended July 31, 2022 and 2021, unrealized gains on cash flow hedges were reclassified into "Cost of goods sold" and net unamortized gains on post-retirement plans were reclassified into "Investment and other income" on the Consolidated Statements of Income.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(loss)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 income:</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flow hedges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(148)</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283</w:t>
            </w:r>
          </w:p>
        </w:tc>
      </w:tr>
      <w:tr>
        <w:trPr>
          <w:trHeight w:val="21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(337)</w:t>
            </w: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 income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175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Recognition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Income. See Note 10 “Segment Information” for the Company’s disaggregated revenue disclosure.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 control transfers once a product is shipped or delivered, as this is when the customer is able to direct and obtain substantially all of the remaining benefits associated with use of the asset.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and Variable Consideration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 generally includes discounts, returns, credits, rebates, or other allowances that reduce the transaction price. Certain discounts and price assurances are fixed and known at the time of sale.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retrospectively and typically defined in the master supply or distributor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has elected the practical expedient applicable to such contracts and does not consider the time value of money.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 of contract liabilities associated with service warranty performance obligations was $2,675 and $2,519 as of July 31, 2022 and 2021,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year ended July 31, 2022, the Company recognized revenue of $1,064 that was included in the contract liability balance at the beginning of the period from the amortization of extended service warranties. Of the contract liability balance outstanding at July 31, 2022, the Company expects to recognize 41% by the end of fiscal 2023, an additional 27% by the end of fiscal 2024, and the balance thereafter.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of Obtaining a Contract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("IDS" or "ID Solutions"),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 The Company evaluates short-term segment performance based on segment profit and customer sales. Impairment charges, interest expense, investment and other income, income taxes, equity in losses of unconsolidated affiliate, and certain corporate administrative expenses are excluded when evaluating segment performance.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segment information as of and for the years ended July 31, 2022, 2021 and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532,357</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165,490</w:t>
            </w: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86,860</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1,010,883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841,508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784,707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Workplace Safety:</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92,513</w:t>
            </w: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152,407</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51,672</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296,592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624,870</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317,897</w:t>
            </w: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Asia-Pacific</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138,532</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1,144,698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197,125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150,639</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21,019</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191,992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1,080,194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1,079,331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737,589</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187,234</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217,643</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1,377,756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1,142,466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9,640</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Following is a reconciliation of segment profit to income before income taxes and losses of unconsolidated affiliate for the years ended July 31, 2022, 2021 and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171,658</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(19,814)</w:t>
            </w:r>
          </w:p>
        </w:tc>
      </w:tr>
      <w:tr>
        <w:trPr>
          <w:trHeight w:val="216"/>
        </w:trPr>
        <w:tc>
          <w:tcPr>
            <w:tcW w:w="67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 charges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(13,821)</w:t>
            </w: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r>
      <w:tr>
        <w:trPr>
          <w:trHeight w:val="21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w:t>
            </w:r>
          </w:p>
        </w:tc>
      </w:tr>
      <w:tr>
        <w:trPr>
          <w:trHeight w:val="23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losses of unconsolidated affiliate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 Of the total $13,821 impairment charges recognized in the year ended July 31, 2020, $11,029 related to the WPS segment and $2,792 related to the IDS segment.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3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As of July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3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627,160</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361,005</w:t>
            </w:r>
          </w:p>
        </w:tc>
      </w:tr>
      <w:tr>
        <w:trPr>
          <w:trHeight w:val="219"/>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234,330</w:t>
            </w:r>
          </w:p>
        </w:tc>
      </w:tr>
      <w:tr>
        <w:trPr>
          <w:trHeight w:val="213"/>
        </w:trPr>
        <w:tc>
          <w:tcPr>
            <w:tcW w:w="3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Eliminations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31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831,664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595,335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Revenues are attributed based on country of origin.</w:t>
      </w:r>
    </w:p>
    <w:p>
      <w:pPr>
        <w:spacing w:after="0" w:line="32" w:lineRule="exact"/>
        <w:rPr>
          <w:sz w:val="20"/>
          <w:szCs w:val="20"/>
          <w:color w:val="auto"/>
        </w:rPr>
      </w:pPr>
    </w:p>
    <w:p>
      <w:pPr>
        <w:ind w:left="560" w:hanging="210"/>
        <w:spacing w:after="0"/>
        <w:tabs>
          <w:tab w:leader="none" w:pos="56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consist of property, plant and equipment, goodwill, other intangible assets, and operating lease assets.</w:t>
      </w:r>
    </w:p>
    <w:p>
      <w:pPr>
        <w:spacing w:after="0" w:line="200" w:lineRule="exact"/>
        <w:rPr>
          <w:rFonts w:ascii="Times New Roman" w:cs="Times New Roman" w:eastAsia="Times New Roman" w:hAnsi="Times New Roman"/>
          <w:sz w:val="16"/>
          <w:szCs w:val="16"/>
          <w:color w:val="auto"/>
        </w:rPr>
      </w:pPr>
    </w:p>
    <w:p>
      <w:pPr>
        <w:spacing w:after="0" w:line="29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and losses of unconsolidated affiliate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69,433</w:t>
            </w: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Nations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98,995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71,503</w:t>
            </w: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income before income taxes and losses of unconsolidated affiliate in Other Nations to $98,995 in fiscal 2022 from $111,519 in fiscal 2021 was primarily due to intercompany royalty payments to the United States that occurred in fiscal 2022 which reduced Other Nations income before income taxes and losses of unconsolidated affiliate by $32,857. This was partially offset by improved profitability in Other Nations in fiscal 2022 compared to fiscal 2021.</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income before income taxes and losses of unconsolidated affiliate in Other Nations to $111,519 in fiscal 2021 from $71,503 in fiscal 2020 was primarily due to intercompany royalty payments to the United States that occurred in fiscal 2020 which reduced Other Nations income before income taxes and losses of unconsolidated affiliate by $22,914. In addition, profitability improved in Other Nations in fiscal 2021 compared to fiscal 2020 as our global businesses continued to recover from the COVID-19 pandemic.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w:t>
            </w: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Nations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25,133</w:t>
            </w:r>
          </w:p>
        </w:tc>
      </w:tr>
      <w:tr>
        <w:trPr>
          <w:trHeight w:val="213"/>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States (U.S.)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12"/>
        </w:trPr>
        <w:tc>
          <w:tcPr>
            <w:tcW w:w="6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29,324</w:t>
            </w:r>
          </w:p>
        </w:tc>
      </w:tr>
      <w:tr>
        <w:trPr>
          <w:trHeight w:val="19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Nations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States (U.S.)</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6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3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are as follows as of July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1"/>
        </w:trPr>
        <w:tc>
          <w:tcPr>
            <w:tcW w:w="6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8,058</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(49,236)</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49,006</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(47,276)</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w:t>
            </w:r>
          </w:p>
        </w:tc>
      </w:tr>
      <w:tr>
        <w:trPr>
          <w:trHeight w:val="23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1"/>
        </w:trPr>
        <w:tc>
          <w:tcPr>
            <w:tcW w:w="60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8,570</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(50,991)</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60,238</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(51,069)</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8,416</w:t>
            </w:r>
          </w:p>
        </w:tc>
      </w:tr>
      <w:tr>
        <w:trPr>
          <w:trHeight w:val="23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credit carry-forwards as of July 31, 2022 consist of the following:</w:t>
      </w:r>
    </w:p>
    <w:p>
      <w:pPr>
        <w:spacing w:after="0" w:line="171" w:lineRule="exact"/>
        <w:rPr>
          <w:sz w:val="20"/>
          <w:szCs w:val="20"/>
          <w:color w:val="auto"/>
        </w:rPr>
      </w:pPr>
    </w:p>
    <w:p>
      <w:pPr>
        <w:ind w:left="980" w:hanging="324"/>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net operating loss carry-forwards of $90,331, of which $76,295 have no expiration date and the remainder of which expire from fiscal 2023 to fiscal 2039.</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net operating loss carry-forwards of $22,629, of which $205 have no expiration date and the remainder of which expire in fiscal 2032.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credit carry-forwards of $18,501, which expire from fiscal 2024 to fiscal 2031.</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R&amp;D credit carry-forwards of $11,066, which expire from fiscal 2023 to fiscal 2036.</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rate computed by applying the statutory U.S. federal income tax rate to income before income taxes and losses of unconsolidated affiliate to the total income tax expense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126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statutory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7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International rate differential </w:t>
            </w:r>
            <w:r>
              <w:rPr>
                <w:rFonts w:ascii="Times New Roman" w:cs="Times New Roman" w:eastAsia="Times New Roman" w:hAnsi="Times New Roman"/>
                <w:sz w:val="21"/>
                <w:szCs w:val="21"/>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tax accruals and reserves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against foreign tax credits and foreign net operating loss carry-forwards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and other adjustments,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4"/>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rate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line="282"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foreign income tax rate differential when compared to the U.S. statutory income tax rate for the years ended July 31, 2022, 2021, and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p>
      <w:pPr>
        <w:sectPr>
          <w:pgSz w:w="11900" w:h="16838" w:orient="portrait"/>
          <w:cols w:equalWidth="0" w:num="1">
            <w:col w:w="11240"/>
          </w:cols>
          <w:pgMar w:left="320" w:top="118" w:right="339" w:bottom="1440" w:gutter="0" w:footer="0" w:header="0"/>
        </w:sectPr>
      </w:pP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Additions for tax positions of prior years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2515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2,798</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1,295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(5,087)</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(108)</w:t>
      </w:r>
    </w:p>
    <w:p>
      <w:pPr>
        <w:spacing w:after="0" w:line="4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13,622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2515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4,664</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3,940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(365)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(159)</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210</w:t>
      </w:r>
    </w:p>
    <w:p>
      <w:pPr>
        <w:spacing w:after="0" w:line="4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2515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3,233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435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(3,226)</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(1,129)</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2515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20,564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2515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46355</wp:posOffset>
            </wp:positionV>
            <wp:extent cx="12515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1960"/>
          </w:cols>
          <w:pgMar w:left="320" w:top="118" w:right="339" w:bottom="1440" w:gutter="0" w:footer="0" w:header="0"/>
          <w:type w:val="continuous"/>
        </w:sectPr>
      </w:pP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acquisitions.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$20,564 of unrecognized tax benefits, if recognized, $17,821 would affect the Company's income tax rate. The Company has classified $17,689 and $15,427, excluding interest and penalties, of the reserve for uncertain tax positions in "Other liabilities" on the Consolidated Balance Sheets as of July 31, 2022 and 2021, respectively. The Company has classified $2,875 and $6,485, excluding interest and penalties, as a reduction of long-term deferred income tax assets on the accompanying Consolidated Balance Sheets as of July 31, 2022 and 2021,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interest (expense) and benefits of ($701), ($596), and $372 on the reserve for uncertain tax positions during the years ended July 31, 2022, 2021, and 2020, respectively. The Company also recognized benefits and (expenses) related to penalties of $82, $(595), and $96 during the years ended July 31, 2022, 2021, and 2020, respectively. These amounts are net of reversals due to reductions for tax positions of prior years, statute of limitations, and settlements. At July 31, 2022 and 2021, the Company had $2,878 and $2,297, respectively, accrued for interest on unrecognized tax benefits. Penalties are accrued if the tax position does not meet the minimum statutory threshold to avoid the payment of a penalty. At July 31, 2022 and 2021, the Company had $1,925 and $2,098, respectively, accrued for penalties on unrecognized tax benefits. Interest expense and penalties are recorded as a component of "Income tax expense" in the Consolidated Statements of Income.</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that it is reasonably possible that the unrecognized tax benefits may be reduced by $3,945 during the year ending July 31, 2023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July 31, 2022, the Company recognized $4,106 of tax benefits (including interest and penalties) associated with the lapse of statutes of limitations.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various states, and foreign jurisdictions. The following table summarizes the open tax years for the Company's major jurisdictions: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Open Tax Years</w:t>
            </w:r>
          </w:p>
        </w:tc>
      </w:tr>
      <w:tr>
        <w:trPr>
          <w:trHeight w:val="213"/>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F’19 — F’22</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Common Share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0" w:type="dxa"/>
            <w:vAlign w:val="bottom"/>
          </w:tcPr>
          <w:p>
            <w:pPr>
              <w:spacing w:after="0"/>
              <w:rPr>
                <w:sz w:val="1"/>
                <w:szCs w:val="1"/>
                <w:color w:val="auto"/>
              </w:rPr>
            </w:pP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149,168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52,763</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497,307, 511,189, and 387,382 for the years ended July 31, 2022, 2021, and 2020,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July 31, 2022 and July 31, 2021, according to the valuation techniques the Company used to determine their fair values.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2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r>
      <w:tr>
        <w:trPr>
          <w:trHeight w:val="213"/>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18,037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20,135</w:t>
            </w:r>
          </w:p>
        </w:tc>
        <w:tc>
          <w:tcPr>
            <w:tcW w:w="120" w:type="dxa"/>
            <w:vAlign w:val="bottom"/>
          </w:tcPr>
          <w:p>
            <w:pPr>
              <w:spacing w:after="0"/>
              <w:rPr>
                <w:sz w:val="18"/>
                <w:szCs w:val="18"/>
                <w:color w:val="auto"/>
              </w:rPr>
            </w:pPr>
          </w:p>
        </w:tc>
        <w:tc>
          <w:tcPr>
            <w:tcW w:w="2020" w:type="dxa"/>
            <w:vAlign w:val="bottom"/>
          </w:tcPr>
          <w:p>
            <w:pPr>
              <w:ind w:left="152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Deferred compensation plan assets</w:t>
      </w:r>
      <w:r>
        <w:rPr>
          <w:rFonts w:ascii="Times New Roman" w:cs="Times New Roman" w:eastAsia="Times New Roman" w:hAnsi="Times New Roman"/>
          <w:sz w:val="18"/>
          <w:szCs w:val="18"/>
          <w:color w:val="auto"/>
        </w:rPr>
        <w:t>: 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accompanying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Foreign exchange contracts</w:t>
      </w:r>
      <w:r>
        <w:rPr>
          <w:rFonts w:ascii="Times New Roman" w:cs="Times New Roman" w:eastAsia="Times New Roman" w:hAnsi="Times New Roman"/>
          <w:sz w:val="18"/>
          <w:szCs w:val="18"/>
          <w:color w:val="auto"/>
        </w:rPr>
        <w:t>: 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years ended July 31, 2022 and July 31, 2021.</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information regarding the fair value of the Company's long-term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Derivatives and Hedging Activities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 as of July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21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25,276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30,724</w:t>
            </w: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3,580</w:t>
            </w:r>
          </w:p>
        </w:tc>
      </w:tr>
      <w:tr>
        <w:trPr>
          <w:trHeight w:val="237"/>
        </w:trPr>
        <w:tc>
          <w:tcPr>
            <w:tcW w:w="7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2022 and 2021, unrealized gains of $1,040 and $770 have been included in AOCI, respectively.</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cash flow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300" w:type="dxa"/>
            <w:vAlign w:val="bottom"/>
          </w:tcPr>
          <w:p>
            <w:pPr>
              <w:spacing w:after="0"/>
              <w:rPr>
                <w:sz w:val="18"/>
                <w:szCs w:val="18"/>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July 31, 2020</w:t>
            </w:r>
          </w:p>
        </w:tc>
      </w:tr>
      <w:tr>
        <w:trPr>
          <w:trHeight w:val="213"/>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recognized in OCI</w:t>
            </w: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reclassified from OCI into cost of goods sold</w:t>
            </w:r>
          </w:p>
        </w:tc>
        <w:tc>
          <w:tcPr>
            <w:tcW w:w="1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bl>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and hedging instruments in the accompanying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3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w:t>
            </w:r>
          </w:p>
        </w:tc>
        <w:tc>
          <w:tcPr>
            <w:tcW w:w="100" w:type="dxa"/>
            <w:vAlign w:val="bottom"/>
          </w:tcPr>
          <w:p>
            <w:pPr>
              <w:spacing w:after="0"/>
              <w:rPr>
                <w:sz w:val="13"/>
                <w:szCs w:val="13"/>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9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(non-designated hedges)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complete any business acquisitions during the years ended July 31, 2022 and 2020 and completed three business acquisitions during the year ended July 31, 2021. All of these transactions were accounted for using business combination accounting; therefore, the results of the acquired operations are included in the accompanying consolidated financial statements only since their acquisition 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21, 2021, the Company acquired all of the outstanding shares of Magicard Holdings Limited (“Magicard”), based in Weymouth, United Kingdom, for $56,694, net of cash received. Magicard is a manufacturer of identification card printers with high-resolution, full-color image capabilities, built-in security features and the ability to encode smart cards. The intangible assets consist of a customer relationship of $18,303, which is being amortized over eight years, technology of $2,837, which is being amortized over five years and a tradename of $567, which is being amortized over two years. The goodwill acquired of $43,235 is not tax-deductible. Magicard has a complementary product offering that allows the Company to offer new printing and encoding capabilities to both new and existing customers and is included in the Company’s IDS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15, 2021, the Company launched an all-cash tender offer in Finland to acquire all of the outstanding, publicly-held shares of Nordic ID Oyj, a Finnish corporation (“Nordic ID”) based in Salo, Finland. Nordic ID specializes in RFID readers, scanners, and the associated software to power track-and-trace applications in industrial manufacturing. On May 21, 2021, the Company acquired the shares validly tendered as part of the tender offer for $9,804 plus the assumption of debt of $4,668. The intangible assets consist of a customer relationship of $3,803, which is being amortized over ten years and technology of $600, which is being amortized over six years. The goodwill acquired of $12,584 is not tax-deductible. On December 23, 2021, Brady finalized the squeeze-out process and acquired all remaining outstanding shares and completed the delisting procedures from the Nasdaq First North Growth Market Finland. Nordic ID is included in the Company's IDS segment.</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16, 2021, the Company acquired all of the outstanding shares of The Code Corporation (“Code”), based in Salt Lake City, Utah, for $172,815, net of cash received. Code specializes in high-quality barcode scanners and the associated software to power track and trace applications in a variety of industries. Initial financing for this acquisition consisted of $75,000 from the Company’s revolving loan agreement and the balance from cash on hand. The intangible assets consist of a customer relationship of $44,500, which is being amortized over nine years, technology of $6,200, which is being amortized over five years and a tradename of $600, which is being amortized over three years. The goodwill acquired of $139,347 is not tax-deductible and was reduced by $693 subsequent to the acquisition due to customary working capital adjustments. The final purchase price allocation is subject to post-closing adjustments pursuant to the terms of the merger agreement. Code has a complementary product offering that allows the Company to expand in the industrial track and trace market and is included in the Company’s IDS segment.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combined fair values of the assets acquired and liabilities assumed at the date of the acquisitions: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15,401</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195,166</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77,410</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(11,348)</w:t>
            </w:r>
          </w:p>
        </w:tc>
      </w:t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(14,836)</w:t>
            </w:r>
          </w:p>
        </w:tc>
      </w:tr>
      <w:tr>
        <w:trPr>
          <w:trHeight w:val="209"/>
        </w:trPr>
        <w:tc>
          <w:tcPr>
            <w:tcW w:w="99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251,496</w:t>
            </w:r>
          </w:p>
        </w:tc>
      </w:t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w:t>
            </w:r>
          </w:p>
        </w:tc>
      </w:tr>
      <w:tr>
        <w:trPr>
          <w:trHeight w:val="239"/>
        </w:trPr>
        <w:tc>
          <w:tcPr>
            <w:tcW w:w="9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total consideration</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243,983</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operations of the acquired businesses have been included since the date of acquisition in the accompanying consolidated financial statements. Acquisition-related expenses of $3,164 were recognized in SG&amp;A during the year ended July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31, 2022, the Company announced an increase in the annual dividend to shareholders of the Company's Class A Common Stock, from $0.90 to $0.92 per share. A quarterly dividend of $0.23 will be paid on October 28, 2022, to shareholders of record at the close of business on October 7, 2022. This dividend represents an increase of 2.2% and is the 37th consecutive annual increase in dividends.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With the participation of the President and Chief Executive Officer and Chief Financial Officer and Treasurer, management conducted an evaluation of the effectiveness of our internal control over financial reporting as of July 31, 2022, based on the framework and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issued by the Committee of Sponsoring Organizations of the Treadway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assessment,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as of July 31, 2022, the Company’s internal control over financial reporting is effective based on those criteria.</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July 31, 2022, has been audited by Deloitte &amp; Touche LLP, an independent registered public accounting firm, as stated in their report, which is included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Brady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Brady Corporation and subsidiaries (the “Company”) as of July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July 31, 2022, of the Company and our report dated September 1, 2022,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8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4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CEO and Director</w:t>
            </w: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Bentley N. Curran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V.P. - Digital Business and Chief Information Officer</w:t>
            </w: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Pascal Deman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General Manager - Workplace Safety</w:t>
            </w: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Russell R. Shaller – </w:t>
      </w:r>
      <w:r>
        <w:rPr>
          <w:rFonts w:ascii="Times New Roman" w:cs="Times New Roman" w:eastAsia="Times New Roman" w:hAnsi="Times New Roman"/>
          <w:sz w:val="18"/>
          <w:szCs w:val="18"/>
          <w:color w:val="auto"/>
        </w:rPr>
        <w:t>Mr. Shaller joined the Company in 2015 and has served on the Company’s Board of Directors and as the Company’s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since April 2022. Prior to Mr. Shaller’s promotion to the Company’s President and CEO, Mr. Shaller served as the Company’s Senior Vice President and President - Identification Solutions from 2015 to 2022. From 2008 to 2015, 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Aaron J. Pearce </w:t>
      </w:r>
      <w:r>
        <w:rPr>
          <w:rFonts w:ascii="Times New Roman" w:cs="Times New Roman" w:eastAsia="Times New Roman" w:hAnsi="Times New Roman"/>
          <w:sz w:val="18"/>
          <w:szCs w:val="18"/>
          <w:color w:val="auto"/>
        </w:rPr>
        <w:t>- Mr. Pearce joined the Company in 2004 as Director of Internal Audit and currently serves as Chief Financial Officer and Treasurer.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Pearce was appointed Senior Vice President and Chief Financial Officer in September 2014, and Chief Accounting Officer in July 2015. From 2006 to 2008, he served as Finance Director for the Company’s Asia-Pacific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Identification Solutions businesses, financial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planning and analysis, and investor relations. Prior to joining the Company, Mr. Pearce was an auditor with Deloitte &amp; Touche LLP. He holds a bachelor’s degree in business administration from the University of Wisconsin-Milwaukee and is a certified public accountant.</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Bentley N. Curran - </w:t>
      </w:r>
      <w:r>
        <w:rPr>
          <w:rFonts w:ascii="Times New Roman" w:cs="Times New Roman" w:eastAsia="Times New Roman" w:hAnsi="Times New Roman"/>
          <w:sz w:val="18"/>
          <w:szCs w:val="18"/>
          <w:color w:val="auto"/>
        </w:rPr>
        <w:t>Mr. Curran joined the Company in 1999 and has served as Vice President of Digital Business and Chief Information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He has also served as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Pascal Deman - </w:t>
      </w:r>
      <w:r>
        <w:rPr>
          <w:rFonts w:ascii="Times New Roman" w:cs="Times New Roman" w:eastAsia="Times New Roman" w:hAnsi="Times New Roman"/>
          <w:sz w:val="18"/>
          <w:szCs w:val="18"/>
          <w:color w:val="auto"/>
        </w:rPr>
        <w:t>Mr. Deman joined the Company in 2014 and has served as Vice President and General Manager of Workplace Safety since 2020.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the Company, Mr. Deman worked at Nisbets Plc., as Executive Adviser and General Manager, Europe and North America. Prior to working at Nisbets, Mr. Deman worked for the Company from 1998 through 2012, holding numerous positions of increasing responsibilities and scope. He holds a degree in marketing from Hogeschool in Antwerp, Belgium.</w:t>
      </w:r>
    </w:p>
    <w:p>
      <w:pPr>
        <w:spacing w:after="0" w:line="12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Andrew T. Gorman - </w:t>
      </w:r>
      <w:r>
        <w:rPr>
          <w:rFonts w:ascii="Times New Roman" w:cs="Times New Roman" w:eastAsia="Times New Roman" w:hAnsi="Times New Roman"/>
          <w:sz w:val="18"/>
          <w:szCs w:val="18"/>
          <w:color w:val="auto"/>
        </w:rPr>
        <w:t>Mr. Gorman joined the Company as General Counsel and Corporate Secretary in April 2020. Prior to joining the Company,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 accountant</w:t>
      </w:r>
      <w:r>
        <w:rPr>
          <w:rFonts w:ascii="Times New Roman" w:cs="Times New Roman" w:eastAsia="Times New Roman" w:hAnsi="Times New Roman"/>
          <w:sz w:val="18"/>
          <w:szCs w:val="18"/>
          <w:i w:val="1"/>
          <w:iCs w:val="1"/>
          <w:color w:val="auto"/>
        </w:rPr>
        <w:t>.</w:t>
      </w:r>
    </w:p>
    <w:p>
      <w:pPr>
        <w:spacing w:after="0" w:line="1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 E. Thornton - </w:t>
      </w:r>
      <w:r>
        <w:rPr>
          <w:rFonts w:ascii="Times New Roman" w:cs="Times New Roman" w:eastAsia="Times New Roman" w:hAnsi="Times New Roman"/>
          <w:sz w:val="18"/>
          <w:szCs w:val="18"/>
          <w:color w:val="auto"/>
        </w:rPr>
        <w:t>Ms. Thornton joined the Company in 2009 and has served as Chief Accounting Officer since 2016 and as Corporate Controller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Wisconsin-Madison and is a certified public accountant.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Patrick W. Allender - </w:t>
      </w:r>
      <w:r>
        <w:rPr>
          <w:rFonts w:ascii="Times New Roman" w:cs="Times New Roman" w:eastAsia="Times New Roman" w:hAnsi="Times New Roman"/>
          <w:sz w:val="18"/>
          <w:szCs w:val="18"/>
          <w:color w:val="auto"/>
        </w:rPr>
        <w:t>Mr. Allender was elected to the Board of Directors in 2007. He serves as the Chair of the Finance Committee and as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and Corporate Governance Committees. He served as Executive Vice President and CFO of Danaher Corporation from 1998 to 2005 and Executive Vice President from 2005 to 2007. He served as a director of Colfax Corporation (NYSE: CFX) from 2008 to 2022, when ESAB Corporation separated from Colfax Corporation. Mr. Allender joined ESAB Corporation’s (NYSE: ESAB) board in 2022, and currently serves as a director. Mr. Allender previously served as a director of Diebold Nixdorf, Inc. (NYSE: DBD)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 Bem, Ph.D - </w:t>
      </w:r>
      <w:r>
        <w:rPr>
          <w:rFonts w:ascii="Times New Roman" w:cs="Times New Roman" w:eastAsia="Times New Roman" w:hAnsi="Times New Roman"/>
          <w:sz w:val="18"/>
          <w:szCs w:val="18"/>
          <w:color w:val="auto"/>
        </w:rPr>
        <w:t>Dr. Bem was elected to the Board of Directors in 2019. He serves as a member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Audit and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Elizabeth P. Bruno, Ph.D - </w:t>
      </w:r>
      <w:r>
        <w:rPr>
          <w:rFonts w:ascii="Times New Roman" w:cs="Times New Roman" w:eastAsia="Times New Roman" w:hAnsi="Times New Roman"/>
          <w:sz w:val="18"/>
          <w:szCs w:val="18"/>
          <w:color w:val="auto"/>
        </w:rPr>
        <w:t>Dr. Bruno was elected to the Board of Directors in 2003. She serves as the Chair of the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a member of the Finance and Technology Committees. Dr. Bruno is the President of the Brady Education Foundation in Chapel Hill, North Carolina.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2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Joanne Collins Smee - </w:t>
      </w:r>
      <w:r>
        <w:rPr>
          <w:rFonts w:ascii="Times New Roman" w:cs="Times New Roman" w:eastAsia="Times New Roman" w:hAnsi="Times New Roman"/>
          <w:sz w:val="18"/>
          <w:szCs w:val="18"/>
          <w:color w:val="auto"/>
        </w:rPr>
        <w:t>Ms. Collins Smee was elected to the Board of Directors in 2022 and she serves as a member of the Technology Committee.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Collins Smee is Executive Vice President and President, Americas, for Xerox Corporation and has been in this role since June 2022. She is also an Executive Vice President of Xerox Holdings Corporation. Previously, she was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Chief Commercial, SMB and Channels Officer for Xerox and was in that role since February 2020. Ms. Collins Smee joined Xerox in September 2018 as Senior Vice President and Chief Commercial Officer. Before Xerox, she led Technology Transformation Services for the U.S. Federal Government and spent more than two decades at IBM in global executive roles spanning client sales and delivery of technical products and services. Ms. Collins Smee has a bachelor’s degree of arts from Boston College, a master of business administration degree from New York University and a master of arts degree from Columbia University. Ms. Collins Smee’s extensive experience in high-technology global business and strong leadership skills, provides the Board with important expertise in product and services innovation.</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Nancy L. Gioia - </w:t>
      </w:r>
      <w:r>
        <w:rPr>
          <w:rFonts w:ascii="Times New Roman" w:cs="Times New Roman" w:eastAsia="Times New Roman" w:hAnsi="Times New Roman"/>
          <w:sz w:val="18"/>
          <w:szCs w:val="18"/>
          <w:color w:val="auto"/>
        </w:rPr>
        <w:t>Ms. Gioia was elected to the Board of Directors in 2013. She serves as the Chair of the Management Development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is a member of the Technology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has served as a director of Meggitt PLC (LSE: MGGT) since 2017 and previously served as director of Exelon Corporation (NYSE: EXC) and as the Executive Director of Blue Current. In 2021, Ms. Gioia was elected to the Board of Directors of Lucid Group, Inc. (NASDAQ: LCID). Ms. Gioia has a bachelor’s degree in electrical engineering from the University of Michigan and a master of manufacturing systems engineering degree from Stanford University. Ms. Gioia's extensive experience in strategy, technology and engineering solutions, as well as in electrified vehicles, provides the Board with important expertise in product development and operations, and environmental sustainability for products and processes.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Frank W. Harris, Ph.D - </w:t>
      </w:r>
      <w:r>
        <w:rPr>
          <w:rFonts w:ascii="Times New Roman" w:cs="Times New Roman" w:eastAsia="Times New Roman" w:hAnsi="Times New Roman"/>
          <w:sz w:val="18"/>
          <w:szCs w:val="18"/>
          <w:color w:val="auto"/>
        </w:rPr>
        <w:t>Dr. Harris was elected to the Board of Directors in 1991. He serves as a member of the Technology 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Compensation Committees. He is the founder of several technology-based companies including Akron Polymer Systems, where he serves as Chair of the Board of Directors. Dr. Harris is the inventor of several commercialized products. He is an Emeritus Distinguished Professor of Polymer Science and Biomedical Engineering at The University of Akron, where he previously served as Director of the Maurice Morton Institute of Polymer Science. Dr. Harris has a bachelor’s degree in chemistry from the University of Missouri, and a master of organic chemistry and doctorate in organic chemistry from the University of Iowa. Dr. Harris’ extensive experience in technology and engineering solutions provides the Board with important expertise in new product development.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Vineet Nargolwala </w:t>
      </w:r>
      <w:r>
        <w:rPr>
          <w:rFonts w:ascii="Times New Roman" w:cs="Times New Roman" w:eastAsia="Times New Roman" w:hAnsi="Times New Roman"/>
          <w:sz w:val="18"/>
          <w:szCs w:val="18"/>
          <w:color w:val="auto"/>
        </w:rPr>
        <w:t>- Mr. Nargolwala was elected to the Board of Directors in 2022. He serves as a member of the Finance Committee. Mr. Nargolwala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President, Chief Executive Officer and Director of Allegro MicroSystems, Inc. (NASDAQ: ALGM) and has been in these roles since June 2022. Prior to joining Allegro, Mr. Nargolwala was with Sensata Technologies from 2013 to June 2022, most recently serving as the Executive Vice President, Sensing Solutions, from March 2020 to June 2022. Before joining Sensata, he was with Honeywell International, Inc., in business strategy and leadership roles of increasing responsibility. Mr. Nargolwala has a bachelor’s degree in electrical engineering from Maharaja Sayajirao University, a master of science in electrical engineering from the University of Texas-Arlington and a master in business administration from Cornell University. Mr. Nargolwala’s extensive experience in high-technology global business and strong leadership skills, provides the Board with important expertise in product and services innovation.</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Bradley C. Richardson - </w:t>
      </w:r>
      <w:r>
        <w:rPr>
          <w:rFonts w:ascii="Times New Roman" w:cs="Times New Roman" w:eastAsia="Times New Roman" w:hAnsi="Times New Roman"/>
          <w:sz w:val="18"/>
          <w:szCs w:val="18"/>
          <w:color w:val="auto"/>
        </w:rPr>
        <w:t>Mr. Richardson was elected to the Board of Directors in 2007 and became Chairman of the Board in May 2021. He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 of the Board of Directors and the Chair of the Audit Committee and is a member of the Corporate Governance, Finance and Management Development and Compensation Committees. He served as the Executive Vice President and CFO of Avient Corporation from 2013 through 2020.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Mr. Richardson has a bachelor’s degree in finance and economics from Miami University and a master of business administration in accounting and finance from Indiana University. He brings to the Company extensive knowledge and global experience in the areas of operations, strategy, accounting, tax accounting and finance, which are areas of critical importance to the Company as a global company.</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Michelle E. Williams, Ph.D - </w:t>
      </w:r>
      <w:r>
        <w:rPr>
          <w:rFonts w:ascii="Times New Roman" w:cs="Times New Roman" w:eastAsia="Times New Roman" w:hAnsi="Times New Roman"/>
          <w:sz w:val="18"/>
          <w:szCs w:val="18"/>
          <w:color w:val="auto"/>
        </w:rPr>
        <w:t>Dr. Williams was elected to the Board of Directors in 2019. She serves as the Chair of the Technology Committee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Management Development and Compensation Committee. Dr. Williams served as Global Group President of Altuglas International, a subsidiary of Arkema S.A., through May 2021. Prior to joining Arkema in 2011, she spent 23 years with Rohm and Haas Company and Dow Chemical in manufacturing, commercial, strategy and general management positions. She was General Manager, Chemical Mechanical Polishing Technologies, and later, General Manager, Adhesives and Sealants.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directors are elected to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 </w:t>
      </w:r>
      <w:r>
        <w:rPr>
          <w:rFonts w:ascii="Times New Roman" w:cs="Times New Roman" w:eastAsia="Times New Roman" w:hAnsi="Times New Roman"/>
          <w:sz w:val="18"/>
          <w:szCs w:val="18"/>
          <w:color w:val="auto"/>
        </w:rPr>
        <w:t>The Board does not have a formal policy regarding the separation of the roles of Chief Executive Officer and Chair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as the Board believes it is in the best interest of the Company to make that determination based on the position and direction of the Company and the membership of the Board. Since September 2015, the Board’s leadership structure has included a non-executive Chair of the Board of Directors. Mr. Richardson, an independent director, currently serves in the position of non-executive Chair of the Board. The duties of the non-executive Chair include, among others: chairing meetings of the Board and executive sessions of the non-management directors; meeting periodically with the Chief Executive Officer and consulting as necessary with management on issues facing the Company; facilitating effective communication among the Chief Executive Officer and all members of the Board; and overseeing the Board's shareholder communication policies and procedures.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 Following Mr. Shaller’s appointment as President and Chief Executive Officer, the Board determined that it continued to be in the best interest of the Company and its shareholders for Mr. Richardson to continue in the separate role of Chairman due to his deep understanding of Brady's business and governance structure, to provide continuity in Board leadership and to allow Mr. Shaller the ability to more fully integrate into and focus on his new executive leadership role.</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Risk Oversight - </w:t>
      </w:r>
      <w:r>
        <w:rPr>
          <w:rFonts w:ascii="Times New Roman" w:cs="Times New Roman" w:eastAsia="Times New Roman" w:hAnsi="Times New Roman"/>
          <w:sz w:val="18"/>
          <w:szCs w:val="18"/>
          <w:color w:val="auto"/>
        </w:rPr>
        <w:t>The Board oversees the Company's risk management processes directly and through its committees. In general, the Board oversees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respective committee's areas of responsibility. Specifically, cybersecurity is a critical part of risk management for the Company. The Audit Committee is aware of the rapidly evolving nature of threats presented by cybersecurity incidents and is committed to the prevention, timely detection, and mitigation of the effects of any such incidents on the Company. With respect to cybersecurity, the Audit Committee receives regular reports from management, including updates on the internal and external cybersecurity threat landscape, incident response, assessment and training activities, and relevant regulatory and technical developments. Additionally, the Audit Committee, Corporate Governance Committee, Management Development and Compensation Committee and the Technology Committee, each review certain risks, exposures and opportunities relating to the Company’s Environmental, Social, and Governance ("ESG") strategies, initiatives, policies and practices. The Company's management is responsible for reporting significant risks to executive management as a part of the disclosure process. The significance of the risk is assessed by executive management and escalated to the respective board committee or the Board of Directors as deemed appropriate. The Company reviews its risk assessment with the Audit Committee annually.</w:t>
      </w:r>
    </w:p>
    <w:p>
      <w:pPr>
        <w:spacing w:after="0" w:line="13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Financial Expert - </w:t>
      </w:r>
      <w:r>
        <w:rPr>
          <w:rFonts w:ascii="Times New Roman" w:cs="Times New Roman" w:eastAsia="Times New Roman" w:hAnsi="Times New Roman"/>
          <w:sz w:val="18"/>
          <w:szCs w:val="18"/>
          <w:color w:val="auto"/>
        </w:rPr>
        <w:t>The Board of Directors has determined that at least one Audit Committee financial expert is serving on its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Messrs. Richardson, Chair of the Audit Committee, and Allender, member of the Audit Committee, are financial experts and are independent under the rules of the SEC and the NYSE.</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 </w:t>
      </w:r>
      <w:r>
        <w:rPr>
          <w:rFonts w:ascii="Times New Roman" w:cs="Times New Roman" w:eastAsia="Times New Roman" w:hAnsi="Times New Roman"/>
          <w:sz w:val="18"/>
          <w:szCs w:val="18"/>
          <w:color w:val="auto"/>
        </w:rPr>
        <w:t>A majority of the directors must meet the criteria for independence established by the Board in accordance with the rules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Shaller, President and CEO, and Mr. Nauman (the Company’s former President and CEO),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After consideration of these factors, the Board concluded that the commercial relationships were not material and did not prevent the Company’s directors from being considered independent. Based on application of the NYSE independence criteria, all directors, with the exception of Messrs. Shaller and Mr. Nauman, are deemed independent. All members of the Audit, Management Development and Compensation, and Corporate Governance Committees are deemed independent.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Meetings of Non-management Directors - </w:t>
      </w:r>
      <w:r>
        <w:rPr>
          <w:rFonts w:ascii="Times New Roman" w:cs="Times New Roman" w:eastAsia="Times New Roman" w:hAnsi="Times New Roman"/>
          <w:sz w:val="18"/>
          <w:szCs w:val="18"/>
          <w:color w:val="auto"/>
        </w:rPr>
        <w:t>The non-management directors of the Board regularly meet without any members of management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 of the Board, Mr. Richardson, is the presiding director at these sessions. In fiscal 2022, executive sessions were conducted at all regularly scheduled Board meetings. Interested parties can raise concerns to be addressed at these meetings by calling the confidential Brady hotline at 1-800-368-3613.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Members - </w:t>
      </w:r>
      <w:r>
        <w:rPr>
          <w:rFonts w:ascii="Times New Roman" w:cs="Times New Roman" w:eastAsia="Times New Roman" w:hAnsi="Times New Roman"/>
          <w:sz w:val="18"/>
          <w:szCs w:val="18"/>
          <w:color w:val="auto"/>
        </w:rPr>
        <w:t>The Audit Committee, which is a separately-designated standing committee of the Board of Directors, is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Richardson (Chair), Allender and Bem. Each member of the Audit Committee has been determined by the Board to be independent under the rules of the SEC and NYSE.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Code of Ethics - </w:t>
      </w:r>
      <w:r>
        <w:rPr>
          <w:rFonts w:ascii="Times New Roman" w:cs="Times New Roman" w:eastAsia="Times New Roman" w:hAnsi="Times New Roman"/>
          <w:sz w:val="18"/>
          <w:szCs w:val="18"/>
          <w:color w:val="auto"/>
        </w:rPr>
        <w:t>The Company has a code of ethics. This code of ethics applies to all of the Company's employees, officers and directors. The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can be viewed at the Company's corporate website, www.bradyid.com,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website.</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Governance Guidelines - </w:t>
      </w:r>
      <w:r>
        <w:rPr>
          <w:rFonts w:ascii="Times New Roman" w:cs="Times New Roman" w:eastAsia="Times New Roman" w:hAnsi="Times New Roman"/>
          <w:sz w:val="18"/>
          <w:szCs w:val="18"/>
          <w:color w:val="auto"/>
        </w:rPr>
        <w:t>Brady's Corporate Governance Principles, as well as the charters of the Audit, Corporate Governance,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Development and Compensation, and Technology Committees, are available on the Company's Corporate website, www.bradyid.com. Shareholders may request printed copies of these documents from Brady Corporation, Investor Relations, P.O. Box 571, Milwaukee, WI 53201.</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 </w:t>
      </w:r>
      <w:r>
        <w:rPr>
          <w:rFonts w:ascii="Times New Roman" w:cs="Times New Roman" w:eastAsia="Times New Roman" w:hAnsi="Times New Roman"/>
          <w:sz w:val="18"/>
          <w:szCs w:val="18"/>
          <w:color w:val="auto"/>
        </w:rPr>
        <w:t>Brady's Corporate Governance Committee reviews the individual skills and characteristics of the directors,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Company’s knowledge, based solely on a review of the Section 16(a) filings and written representations that no other reports were required, during the fiscal year ended July 31, 2022, all Section 16(a) filing requirements were complied with applicable to the Company's officers, directors and greater than 10 percent beneficial owners.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Compensation Discussion and Analysis describes the Company's executive compensation pay-for-performance philosophy and practices, the elements of our executive compensation programs, and the compensation decisions the Management Development and Compensation Committee (the "Committee") has made under those programs and the factors considered in making those decisions. The Compensation Discussion and Analysis also analyzes the total compensation of Brady’s Chief Executive Officer (principal executive officer), Chief Financial Officer (principal financial officer), and the three other most highly compensated executive officers that were serving as executive officers as of July 31, 2022. Brady's former President, Chief Executive Officer and Director who retired from Brady effective April 1, 2022, and Brady's former Senior Vice President, Human Resources who retired effective April 8, 2022 would have been included if they continued to serve as executive officers through July 31, 2022, thus are included in this Compensation Discussion and Analysis.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2022, the following named executive officers' (the "NEOs") compensation is disclosed and discussed in this section:</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R. Shaller, President, Chief Executive Officer and Director;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J. Pearce, Chief Financial Officer and Treasurer;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N. Curran, Vice President, Digital Business and Chief Information Officer;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Pascal Deman, Vice President, General Manager - Workplace Safety;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T. Gorman, General Counsel and Secretary;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Michael Nauman, Former President, Chief Executive Officer and Director (retired on April 1, 2022);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Helena R. Nelligan, Former Senior Vice President, Human Resources (retired on April 8, 2022).</w:t>
      </w:r>
    </w:p>
    <w:p>
      <w:pPr>
        <w:spacing w:after="0" w:line="14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Retirement of J. Michael Nauman: </w:t>
      </w:r>
      <w:r>
        <w:rPr>
          <w:rFonts w:ascii="Times New Roman" w:cs="Times New Roman" w:eastAsia="Times New Roman" w:hAnsi="Times New Roman"/>
          <w:sz w:val="18"/>
          <w:szCs w:val="18"/>
          <w:color w:val="auto"/>
        </w:rPr>
        <w:t>Mr. Nauman retired as the Company’s President and Chief Executive Officer, effective April 1, 2022.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Nauman remained employed by the Company through June 17, 2022, during which time he was available in a consultative position to assist with respect to the transition. The Company entered into a written agreement with Mr. Nauman in connection with his retirement that provided for payment of his salary and benefits through June 17, 2022, and an annual cash incentive award equivalent to Mr. Nauman’s base salary paid from August 1, 2021 through April 1, 2022 multiplied by the actual percentage achievement of the Company’s annual cash incentive award performance goals for fiscal year 2022.</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Appointment of Russell R. Shaller: </w:t>
      </w:r>
      <w:r>
        <w:rPr>
          <w:rFonts w:ascii="Times New Roman" w:cs="Times New Roman" w:eastAsia="Times New Roman" w:hAnsi="Times New Roman"/>
          <w:sz w:val="18"/>
          <w:szCs w:val="18"/>
          <w:color w:val="auto"/>
        </w:rPr>
        <w:t>The Board of Directors appointed Russell R. Shaller as President, Chief Executive Officer and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effective April 1, 2022. Prior to April 1, Mr. Shaller served as Senior Vice President, President - Identification Solutions for the Company.</w:t>
      </w:r>
    </w:p>
    <w:p>
      <w:pPr>
        <w:spacing w:after="0" w:line="10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Retirement of Helena R. Nelligan</w:t>
      </w:r>
      <w:r>
        <w:rPr>
          <w:rFonts w:ascii="Times New Roman" w:cs="Times New Roman" w:eastAsia="Times New Roman" w:hAnsi="Times New Roman"/>
          <w:sz w:val="18"/>
          <w:szCs w:val="18"/>
          <w:color w:val="auto"/>
        </w:rPr>
        <w:t>: On April 5, 2022, Ms. Nelligan, Senior Vice President, Human Resources provided notice to the Company of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to retire with an effective date of April 8, 2022. The Company entered into a written retirement agreement with Ms. Nelligan to assist in the transition of her duties and be otherwise available on a consultative basis through September 30, 2022, serving in the role of Special Advisor to the Vice President of Human Resources. The agreement provided for Ms. Nelligan to continue receiving her salary, vesting of equity awards and fringe benefits through the term of the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Business Highlights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1 "General Development of Business" for a business overview and key initiatives during fiscal 2022. Highlights for fiscal 2022 include:</w:t>
      </w:r>
    </w:p>
    <w:p>
      <w:pPr>
        <w:spacing w:after="0" w:line="171" w:lineRule="exact"/>
        <w:rPr>
          <w:sz w:val="20"/>
          <w:szCs w:val="20"/>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Class A Nonvoting Common Share was an all-time record high of $2.90 for the year ended July 31, 2022, an increase of 17.4% from fiscal 2021 Net income per diluted Class A Nonvoting Common Share of $2.47.</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and losses of unconsolidated affiliate was $192.0 million for the year ended July 31, 2022, an increase of $21.0 million (12.3%) from fiscal 2021 income before income taxes and losses of unconsolidated affiliate of $171.0 million.</w:t>
      </w:r>
    </w:p>
    <w:p>
      <w:pPr>
        <w:ind w:left="660" w:right="2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$1,302.1 million in fiscal 2022 compared to $1,144.7 million in fiscal 2021, an increase of 13.7%. Organic sales increased sales 9.4% and acquisitions increased sales 6.9%, while foreign currency translation decreased sales 2.6%.</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438" w:lineRule="auto"/>
        <w:rPr>
          <w:sz w:val="20"/>
          <w:szCs w:val="20"/>
          <w:color w:val="auto"/>
        </w:rPr>
      </w:pPr>
      <w:r>
        <w:rPr>
          <w:rFonts w:ascii="Times New Roman" w:cs="Times New Roman" w:eastAsia="Times New Roman" w:hAnsi="Times New Roman"/>
          <w:sz w:val="18"/>
          <w:szCs w:val="18"/>
          <w:color w:val="auto"/>
        </w:rPr>
        <w:t xml:space="preserve">Refer to Item 7 "Management's Discussion and Analysis of Financial Condition and Results of Operations" for further discussion of fiscal 2022 results. </w:t>
      </w:r>
      <w:r>
        <w:rPr>
          <w:rFonts w:ascii="Times New Roman" w:cs="Times New Roman" w:eastAsia="Times New Roman" w:hAnsi="Times New Roman"/>
          <w:sz w:val="18"/>
          <w:szCs w:val="18"/>
          <w:b w:val="1"/>
          <w:bCs w:val="1"/>
          <w:i w:val="1"/>
          <w:iCs w:val="1"/>
          <w:color w:val="auto"/>
        </w:rPr>
        <w:t>Fiscal 2022 Executive Summary</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fiscal 2022, the Board of Directors approved a 4.2% increase in base salary for Mr. Nauman (the Company’s former President and CEO). In addition, Mr. Nauman recommended and the Committee approved increases in base salary for Messrs. Pearce, Curran, Deman, Gorman, Shaller, and Ms. Nelligan. All increases were made to recognize the performance, current scope of responsibilities and peer company data for each executive and, with regard to Messrs. Pearce and Shaller, to better align their base salary with individuals holding comparable positions at peer companies. On March 11, 2022, the Board of Directors appointed Russell R. Shaller as President, Chief Executive Officer and Director of the Company. As part of his appointment, the Board of Directors approved a 62.4% increase in base salary for Mr. Shaller as well as additional equity grants as described in the Summary Compensation Table.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fiscal 2022 equity grants consisted of 30% stock options, 30% time-based restricted stock units ("RSUs") and 40% performance-based restricted stock units ("PRSUs"). The stock options vest equally over a three-year period and are inherently performance-based since they have value only to the extent that the price of the Company's stock increases. The RSUs vest equally over three years and are intended to facilitate retention and align with the creation of long-term shareholder value. The PRSUs reinforce the Company's pay-for-performance philosophy because award payout increases and decreases based on Company performance. Specifically, the PRSU awards granted in fiscal 2022 have a three-year performance period with 50% of vesting determined by the Company's total shareholder return ("TSR") relative to the S&amp;P 600 SmallCap Industrials Index, and 50% of vesting determined by the achievement of organic revenue growth targets over four performance periods as set forth in the below table:</w:t>
      </w:r>
    </w:p>
    <w:p>
      <w:pPr>
        <w:spacing w:after="0" w:line="180"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Weighting</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2021 through July 31, 2022</w:t>
            </w:r>
          </w:p>
        </w:tc>
        <w:tc>
          <w:tcPr>
            <w:tcW w:w="24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2022 through July 31, 2023</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2023 through July 31, 2024</w:t>
            </w:r>
          </w:p>
        </w:tc>
        <w:tc>
          <w:tcPr>
            <w:tcW w:w="24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2021 through July 31, 2024</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Payout opportunities will range from 0% to 200% of the target award at the end of the three-year performance period.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the Company's pay-for-performance philosophy, the Company's compensation program includes several features that maintain alignment with shareholders: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Emphasis on Variable Compensation</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significant portion of each NEO's total compensation opportunity is tied to Company performance, which is</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intended to drive shareholder value.</w:t>
            </w:r>
          </w:p>
        </w:tc>
      </w:tr>
      <w:tr>
        <w:trPr>
          <w:trHeight w:val="29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Requirements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believes that the interests of shareholders and executives are aligned when executives are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shareholders in possession of a meaningful amount of Company stock. Furthermore, stock ownership</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requirements encourage positive performance behaviors and discourage executive officers from taking</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excessive risk. In order to encourage our executive officers and directors to acquire and retain ownership of a</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significant number of shares of the Company's stock, stock ownership requirements have been established and</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are equal to a specified multiple of the executive officer's base salary. Our NEOs are expected to obtain the</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required ownership levels within five years of becoming an executive officer. Refer to the heading "Stock</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w w:val="99"/>
              </w:rPr>
              <w:t>Ownership Requirements" for further discussion of the stock ownership requirements established for each NEO</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the actions that the Company may take when an executive is not in compliance with his or her respective</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ownership requirement.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Clawback Provisions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 is a recoupment policy under which incentive compensation payments and/or awards may be recouped</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by the Company if such payments and/or awards were based on erroneous results. The recoupment policy</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applies to executive officers and other key executives who participate in any of the Company's incentive plans</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and i) have engaged in intentional misconduct that results in a material inaccuracy in the Company's financial</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statements, ii) have engaged in fraudulent or other willful and deliberate conduct that is detrimental to the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Company or iii) there is a material, negative revision of a performance measure for which incentive</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compensation was paid or awarded. Under the policy, the Committee may take a variety of actions including,</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among others, seeking repayment of incentive compensation (cash and/or equity) that is greater than what</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would have been awarded if the compensation had been based on accurate results and the forfeiture of</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incentive compensation. As this policy suggests, the Committee believes that any incentive compensation</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should be based only on accurate and reliable financial and operational information, and, thus, any</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inappropriately paid incentive compensation should be returned to the Company for the benefit of shareholders.</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The Committee believes that this policy enhances the Company's compensation risk mitigation efforts. While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policy affords the Committee discretion regarding the application and enforcement of the policy, the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Company and the Committee will conform the policy to any requirements that may be promulgated by the</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national stock exchanges, as mandated by the Dodd-Frank Wall Street Reform and Consumer Protection Act.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Thresholds and Caps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Excessive risk-taking is mitigated by utilizing caps on incentive plan payouts, multiple performance metrics,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and different performance metrics for our annual cash incentive program and PRSUs. Our cash incentive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awards are determined based on financial results for organic revenue, income before income taxes, division</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organic revenue and division operating income, which aggregate to a maximum payout of 200% of target.</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Executive officers then receive a performance rating that results in a multiplier ranging from 0% to 150%,</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resulting in a maximum payout of 300% of target.</w:t>
            </w:r>
          </w:p>
        </w:tc>
      </w:tr>
      <w:tr>
        <w:trPr>
          <w:trHeight w:val="297"/>
        </w:trPr>
        <w:tc>
          <w:tcPr>
            <w:tcW w:w="30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grant  equity  compensation  to  executive  officers  that  promotes  long-term  financial  and  operating</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performance by delivering incremental value to the extent that our stock price increases over time.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Performance-based RSUs incorporate Company performance relative to a benchmark over a three-year period</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have a maximum payout of 200% of target.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Insider  Trading  and  Anti-Hedging</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Insider Trading Policy prohibits executive officers from trading during certain periods each quarter until</w:t>
            </w:r>
          </w:p>
        </w:tc>
      </w:tr>
      <w:tr>
        <w:trPr>
          <w:trHeight w:val="184"/>
        </w:trPr>
        <w:tc>
          <w:tcPr>
            <w:tcW w:w="3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Policy</w:t>
            </w: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after we publicly disclose our financial and operating results. We may impose additional restricted trading</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periods at any time if we believe trading by executives would be inappropriate because of developments that</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are, or could be, material and which have not been publicly disclosed. The Insider Trading Policy also prohibits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pledging of Company stock as collateral for loans, holding Company securities in a margin account by</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directors or employees, and the hedging of Company securities.</w:t>
            </w:r>
          </w:p>
        </w:tc>
      </w:tr>
      <w:tr>
        <w:trPr>
          <w:trHeight w:val="28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Risk Reviews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conducts an annual compensation-related risk review and presents findings and suggested risk</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actions to both the Audit and Management Development and Compensation Committees.</w:t>
            </w:r>
          </w:p>
        </w:tc>
      </w:tr>
      <w:tr>
        <w:trPr>
          <w:trHeight w:val="873"/>
        </w:trPr>
        <w:tc>
          <w:tcPr>
            <w:tcW w:w="3020" w:type="dxa"/>
            <w:vAlign w:val="bottom"/>
          </w:tcPr>
          <w:p>
            <w:pPr>
              <w:spacing w:after="0"/>
              <w:rPr>
                <w:sz w:val="24"/>
                <w:szCs w:val="24"/>
                <w:color w:val="auto"/>
              </w:rPr>
            </w:pPr>
          </w:p>
        </w:tc>
        <w:tc>
          <w:tcPr>
            <w:tcW w:w="82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64</w:t>
            </w:r>
          </w:p>
        </w:tc>
      </w:tr>
      <w:tr>
        <w:trPr>
          <w:trHeight w:val="115"/>
        </w:trPr>
        <w:tc>
          <w:tcPr>
            <w:tcW w:w="302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compensation programs also maintain alignment with shareholders by not including certain features:</w:t>
      </w:r>
    </w:p>
    <w:p>
      <w:pPr>
        <w:spacing w:after="0" w:line="200"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color w:val="auto"/>
        </w:rPr>
        <w:t>No Excessive Change of Control</w:t>
      </w:r>
      <w:r>
        <w:rPr>
          <w:sz w:val="20"/>
          <w:szCs w:val="20"/>
          <w:color w:val="auto"/>
        </w:rPr>
        <w:tab/>
      </w:r>
      <w:r>
        <w:rPr>
          <w:rFonts w:ascii="Times New Roman" w:cs="Times New Roman" w:eastAsia="Times New Roman" w:hAnsi="Times New Roman"/>
          <w:sz w:val="18"/>
          <w:szCs w:val="18"/>
          <w:color w:val="auto"/>
        </w:rPr>
        <w:t>Mr. Shaller's maximum cash benefit is equal to two times his base salary and two times his target annual cash</w:t>
      </w:r>
    </w:p>
    <w:p>
      <w:pPr>
        <w:ind w:left="20"/>
        <w:spacing w:after="0" w:line="219" w:lineRule="auto"/>
        <w:tabs>
          <w:tab w:leader="none" w:pos="3120" w:val="left"/>
        </w:tabs>
        <w:rPr>
          <w:sz w:val="20"/>
          <w:szCs w:val="20"/>
          <w:color w:val="auto"/>
        </w:rPr>
      </w:pPr>
      <w:r>
        <w:rPr>
          <w:rFonts w:ascii="Times New Roman" w:cs="Times New Roman" w:eastAsia="Times New Roman" w:hAnsi="Times New Roman"/>
          <w:sz w:val="18"/>
          <w:szCs w:val="18"/>
          <w:color w:val="auto"/>
        </w:rPr>
        <w:t>Payments</w:t>
      </w:r>
      <w:r>
        <w:rPr>
          <w:sz w:val="20"/>
          <w:szCs w:val="20"/>
          <w:color w:val="auto"/>
        </w:rPr>
        <w:tab/>
      </w:r>
      <w:r>
        <w:rPr>
          <w:rFonts w:ascii="Times New Roman" w:cs="Times New Roman" w:eastAsia="Times New Roman" w:hAnsi="Times New Roman"/>
          <w:sz w:val="18"/>
          <w:szCs w:val="18"/>
          <w:color w:val="auto"/>
        </w:rPr>
        <w:t>incentive in the year in which the termination occurs. For all other NEOs, their maximum cash benefit is equal</w:t>
      </w:r>
    </w:p>
    <w:p>
      <w:pPr>
        <w:ind w:left="3140"/>
        <w:spacing w:after="0" w:line="203" w:lineRule="auto"/>
        <w:rPr>
          <w:sz w:val="20"/>
          <w:szCs w:val="20"/>
          <w:color w:val="auto"/>
        </w:rPr>
      </w:pPr>
      <w:r>
        <w:rPr>
          <w:rFonts w:ascii="Times New Roman" w:cs="Times New Roman" w:eastAsia="Times New Roman" w:hAnsi="Times New Roman"/>
          <w:sz w:val="18"/>
          <w:szCs w:val="18"/>
          <w:color w:val="auto"/>
        </w:rPr>
        <w:t>to two times salary and two times the average annual cash incentive payment received in the three years</w:t>
      </w:r>
    </w:p>
    <w:p>
      <w:pPr>
        <w:ind w:left="3140"/>
        <w:spacing w:after="0" w:line="204" w:lineRule="auto"/>
        <w:rPr>
          <w:sz w:val="20"/>
          <w:szCs w:val="20"/>
          <w:color w:val="auto"/>
        </w:rPr>
      </w:pPr>
      <w:r>
        <w:rPr>
          <w:rFonts w:ascii="Times New Roman" w:cs="Times New Roman" w:eastAsia="Times New Roman" w:hAnsi="Times New Roman"/>
          <w:sz w:val="18"/>
          <w:szCs w:val="18"/>
          <w:color w:val="auto"/>
        </w:rPr>
        <w:t>immediately prior to the date the change of control occurs. In the event of a change of control, unexercised</w:t>
      </w:r>
    </w:p>
    <w:p>
      <w:pPr>
        <w:ind w:left="3140"/>
        <w:spacing w:after="0" w:line="219" w:lineRule="auto"/>
        <w:rPr>
          <w:sz w:val="20"/>
          <w:szCs w:val="20"/>
          <w:color w:val="auto"/>
        </w:rPr>
      </w:pPr>
      <w:r>
        <w:rPr>
          <w:rFonts w:ascii="Times New Roman" w:cs="Times New Roman" w:eastAsia="Times New Roman" w:hAnsi="Times New Roman"/>
          <w:sz w:val="18"/>
          <w:szCs w:val="18"/>
          <w:color w:val="auto"/>
        </w:rPr>
        <w:t>stock options become fully exercisable or, if canceled, each named executive officer shall be given cash or</w:t>
      </w:r>
    </w:p>
    <w:p>
      <w:pPr>
        <w:ind w:left="3140" w:right="20"/>
        <w:spacing w:after="0" w:line="226" w:lineRule="auto"/>
        <w:rPr>
          <w:sz w:val="20"/>
          <w:szCs w:val="20"/>
          <w:color w:val="auto"/>
        </w:rPr>
      </w:pPr>
      <w:r>
        <w:rPr>
          <w:rFonts w:ascii="Times New Roman" w:cs="Times New Roman" w:eastAsia="Times New Roman" w:hAnsi="Times New Roman"/>
          <w:sz w:val="18"/>
          <w:szCs w:val="18"/>
          <w:color w:val="auto"/>
        </w:rPr>
        <w:t>stock equal to the in-the-money value of the canceled stock options. In the event of a change of control, PRSUs and RSUs become fully vested at target.</w:t>
      </w:r>
    </w:p>
    <w:p>
      <w:pPr>
        <w:sectPr>
          <w:pgSz w:w="11900" w:h="16838" w:orient="portrait"/>
          <w:cols w:equalWidth="0" w:num="1">
            <w:col w:w="11240"/>
          </w:cols>
          <w:pgMar w:left="320" w:top="118" w:right="339" w:bottom="1440" w:gutter="0" w:footer="0" w:header="0"/>
        </w:sectPr>
      </w:pPr>
    </w:p>
    <w:p>
      <w:pPr>
        <w:spacing w:after="0" w:line="103"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Stock 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2520" w:space="620"/>
            <w:col w:w="8100"/>
          </w:cols>
          <w:pgMar w:left="320" w:top="118"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 to attract, retain, motivate, develop and reward talented executives;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appropriate balance between base salary and short-term and long-term incentive opportunities;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compensation programs aligned to the Company’s annual and long-term financial goals and realized performance in order to reward the successful creation of long-term shareholder value;</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pay-for-performance philosophy where the level of rewards is aligned to Company performance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Development &amp; Compensation Committee’s Role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Committee is responsible for fulfilling the following responsibilities and duties:</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monitor the compensation of the Company's CEO and executive officers.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the CEO and executive officers and evaluate CEO and executive officer performance in light of those goals and objectives.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executive compensation, benefits, policies and strategies to support corporate objectives.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development plan process of key executives.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compensation programs, policies and practices for potential risk and to ensure they do not foster excessive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incentive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management regarding executive compensation.</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an annual basis with respect to executive officers, the Committee approves base salary adjustments, long-term equity incentive awards, the annual cash incentives paid for the achievement of performance metrics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 executive officer is hired, the Committee is involved in reviewing and approving base salary, annual incentive target, sign-on incentives, annual equity awards, and other aspects of the executive's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 Role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has historically utilized the services of an executive compensation consulting firm to assist with the review and evaluation of compensation levels and policies on a periodic basis, as well as to provide advice with respect to new or modified compensation programs. In fiscal 2022, the Committee utilized the services of Pay Governance LLC and Compensation Strategies as compensation consultants, which was determined to be independent by the Corporate Governance Committee.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aid in determining compensation for fiscal 2022, management obtained compensation data on peer group executive officer compensation through a subscription with Equilar, Inc. and published survey data from various third parties. For fiscal 2022, our former CEO, Mr. Nauman, used this data to make recommendations to the Committee concerning compensation for each executive officer other than himself. Mr. Nauman made no recommendation with respect to his own compensation. In setting compensation for each executive officer, the Committee takes into consideration these recommendations, along with Company results during the fiscal year, the level of responsibility and demonstrated leadership capability, third-party market compensation data, and the results of annual performance reviews which, for our former CEO, included a self-assessment and feedback from his direct reports and each member of the Board of Directors. The Committee also took into consideration the recommendations of Pay Governance LLC with respect to compensation elements for the CEO. Mr. Nauman did not attend the portion of any meeting during which the Committee discussed matters related specifically to his compensation. The Committee also took into consideration the recommendations of Pay Governance LLC when establishing the compensation package for the appointment of Mr. Shaller to the position of President, Chief Executive Officer and Director of the Company in fiscal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total compensation program includes five elements: base salary, annual cash incentives, long-term equity incentives, employee benefits, and perquisites. We use these elements of compensation to attract, retain, motivate, develop and reward our executives.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philosophy is to allocate a significant portion of total compensation to long-term compensation (equity incentive awards) in order to align the achievement of performance goals for our executives with shareholder interests. For fiscal 2022, equity incentive awards comprised 65% of Mr. Shaller’s total target compensation in his role as President, Chief Executive Officer and Director of the Company and on average, 37% of the total target compensation of the other NEOs.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general, we target each NEO's total of base salary, annual cash incentive, and long-term equity incentive compensation elements to be at or near the market median (50th percentile) with an opportunity for above market median pay (generally up to the 75th percentile) if performance goals for annual and long-term incentives are achieved above target.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p>
      <w:pPr>
        <w:sectPr>
          <w:pgSz w:w="11900" w:h="16838" w:orient="portrait"/>
          <w:cols w:equalWidth="0" w:num="1">
            <w:col w:w="11240"/>
          </w:cols>
          <w:pgMar w:left="320" w:top="118" w:right="339" w:bottom="1440" w:gutter="0" w:footer="0" w:header="0"/>
        </w:sectPr>
      </w:pPr>
    </w:p>
    <w:p>
      <w:pPr>
        <w:spacing w:after="0" w:line="166" w:lineRule="exact"/>
        <w:rPr>
          <w:sz w:val="20"/>
          <w:szCs w:val="20"/>
          <w:color w:val="auto"/>
        </w:rPr>
      </w:pPr>
    </w:p>
    <w:p>
      <w:pPr>
        <w:ind w:left="20" w:right="80" w:firstLine="226"/>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Compensation Element </w:t>
      </w:r>
      <w:r>
        <w:rPr>
          <w:rFonts w:ascii="Times New Roman" w:cs="Times New Roman" w:eastAsia="Times New Roman" w:hAnsi="Times New Roman"/>
          <w:sz w:val="18"/>
          <w:szCs w:val="18"/>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448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17"/>
          <w:szCs w:val="17"/>
          <w:color w:val="auto"/>
        </w:rPr>
        <w:t>Annual long-term equity incentive awards: time-based</w:t>
      </w:r>
    </w:p>
    <w:p>
      <w:pPr>
        <w:ind w:left="20" w:right="260"/>
        <w:spacing w:after="0" w:line="226" w:lineRule="auto"/>
        <w:rPr>
          <w:sz w:val="20"/>
          <w:szCs w:val="20"/>
          <w:color w:val="auto"/>
        </w:rPr>
      </w:pPr>
      <w:r>
        <w:rPr>
          <w:rFonts w:ascii="Times New Roman" w:cs="Times New Roman" w:eastAsia="Times New Roman" w:hAnsi="Times New Roman"/>
          <w:sz w:val="18"/>
          <w:szCs w:val="18"/>
          <w:color w:val="auto"/>
        </w:rPr>
        <w:t>stock options, time-based RSUs and PRSUs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wp:posOffset>
            </wp:positionV>
            <wp:extent cx="18427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 fixed level of income used to attract and retain executives by compensating</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for the primary functions and responsibilities of the position.</w:t>
      </w:r>
    </w:p>
    <w:p>
      <w:pPr>
        <w:spacing w:after="0" w:line="10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To attract, retain, motivate and reward executives for achieving or exceeding</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annual performance goals at total Company and division levels.</w:t>
      </w:r>
    </w:p>
    <w:p>
      <w:pPr>
        <w:spacing w:after="0" w:line="10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To attract, retain, motivate and reward executives for the successful creation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long-term shareholder value.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3703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Base salary increase depends upon individual performance, job proficiency and market competitiveness.</w:t>
      </w:r>
    </w:p>
    <w:p>
      <w:pPr>
        <w:spacing w:after="0" w:line="200" w:lineRule="exact"/>
        <w:rPr>
          <w:sz w:val="20"/>
          <w:szCs w:val="20"/>
          <w:color w:val="auto"/>
        </w:rPr>
      </w:pPr>
    </w:p>
    <w:p>
      <w:pPr>
        <w:spacing w:after="0" w:line="26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Financial performance and individual performance of each executive determines the amount of the respective executive's annual cash incentive award.</w:t>
      </w:r>
    </w:p>
    <w:p>
      <w:pPr>
        <w:spacing w:after="0" w:line="200" w:lineRule="exact"/>
        <w:rPr>
          <w:sz w:val="20"/>
          <w:szCs w:val="20"/>
          <w:color w:val="auto"/>
        </w:rPr>
      </w:pPr>
    </w:p>
    <w:p>
      <w:pPr>
        <w:spacing w:after="0" w:line="26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An assessment of executive leadership, experience and expected future contribution, combined with market data, are used to determine the amount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granted to each executive.</w:t>
      </w:r>
    </w:p>
    <w:p>
      <w:pPr>
        <w:spacing w:after="0" w:line="12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Time-based stock options are inherently performance-based in that the value is dependent upon the increase in the Company's stock price.</w:t>
      </w:r>
    </w:p>
    <w:p>
      <w:pPr>
        <w:spacing w:after="0" w:line="13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Time-based RSUs are intended to facilitate retention and to align executives with the creation of long-term shareholder value.</w:t>
      </w:r>
    </w:p>
    <w:p>
      <w:pPr>
        <w:spacing w:after="0" w:line="1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PRSUs are intended to align executives with long-term financial goals and the creation of long-term shareholder value.</w:t>
      </w:r>
    </w:p>
    <w:p>
      <w:pPr>
        <w:spacing w:after="0" w:line="200" w:lineRule="exact"/>
        <w:rPr>
          <w:sz w:val="20"/>
          <w:szCs w:val="20"/>
          <w:color w:val="auto"/>
        </w:rPr>
      </w:pPr>
    </w:p>
    <w:p>
      <w:pPr>
        <w:sectPr>
          <w:pgSz w:w="11900" w:h="16838" w:orient="portrait"/>
          <w:cols w:equalWidth="0" w:num="3">
            <w:col w:w="2120" w:space="300"/>
            <w:col w:w="2860" w:space="140"/>
            <w:col w:w="5820"/>
          </w:cols>
          <w:pgMar w:left="320" w:top="118"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Benchmarking Total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uses peer group data to assess the reasonableness and competitiveness of several elements of compensation, including base salaries, annual cash incentives, and long-term equity awards of positions similar to those of our NEOs. The following 18 companies were included in the fiscal 2022 total compensation analysis conducted using publicly available data:</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Apogee Enterprises,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Federal Signal Corp.</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MSA Safety Incorporated</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Balchem Corporation</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GCP Applied Technologies Inc.</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Neenah, Inc.</w:t>
            </w: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Barnes Group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Graco Inc.</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Nordson Corporation</w:t>
            </w: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Enerpac Tool Group Corp.</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IDEX Corporation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Schweitzer-Mauduit International, Inc.</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II-VI Incorporated</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Ingevity Corporation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Watts Water Technologies, Inc.</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Named Executive Officer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base salary for each NEO in effect at the end of each fiscal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23"/>
        </w:trPr>
        <w:tc>
          <w:tcPr>
            <w:tcW w:w="57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Russell R. Shaller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400,151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Bentley N. Curran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5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Pascal Deman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308,541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5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 Michael Nauman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830,180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5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Helena R. Nelligan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25" w:lineRule="exact"/>
        <w:rPr>
          <w:sz w:val="20"/>
          <w:szCs w:val="20"/>
          <w:color w:val="auto"/>
        </w:rPr>
      </w:pPr>
    </w:p>
    <w:p>
      <w:pPr>
        <w:ind w:left="660" w:hanging="328"/>
        <w:spacing w:after="0" w:line="26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2021, Mr. Shaller received a base salary increase to $425,000 at the time annual raises were made to other NEOs. In connection with his appointment to CEO, Mr. Shaller received a base salary increase to $690,000.</w:t>
      </w:r>
    </w:p>
    <w:p>
      <w:pPr>
        <w:jc w:val="both"/>
        <w:ind w:left="660" w:hanging="328"/>
        <w:spacing w:after="0" w:line="25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Deman's compensation is denominated in Euros. The amounts shown in U.S. dollars in the table above were converted from Euros at the average exchange rate for fiscal 2022: 1 EUR = 1.1143 USD and fiscal 2021: 1 EUR = 1.1960 USD. Mr. Deman received a base salary increase of 6.8% in fiscal 2022. The remainder of the difference between fiscal 2022 and 2021 base salaries relates to exchange rate fluctuations.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Nauman retired as President, Chief Executive Officer and Director of the Company, effective April 1, 2022.</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Nelligan retired as Senior Vice President, Human Resources of the Company, effective April 8,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Awards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executives participate in an annual cash incentive plan. The Company is organized and managed on a global basis within three divisions, IDS, WPS, and PDC. Annual cash inventive award payouts to NEOs who oversee a specific division are based on the performance of that division. Payouts to the other NEOs are based on total company performance.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and the Committee annually evaluate the performance metrics of the cash incentive award program, and concluded that the elements of the fiscal 2022 plan represent critical elements of the Company’s performance that when combined, are designed to result in sustainable long-term sales and profit growth. Set forth below is a description of the fiscal 2022 financial performance metrics for the annual cash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604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Pr>
          <w:p>
            <w:pPr>
              <w:spacing w:after="0"/>
              <w:rPr>
                <w:sz w:val="14"/>
                <w:szCs w:val="14"/>
                <w:color w:val="auto"/>
              </w:rPr>
            </w:pPr>
          </w:p>
        </w:tc>
        <w:tc>
          <w:tcPr>
            <w:tcW w:w="59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sales is measured as total net sales calculated in accordance with U.S.</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 xml:space="preserve">Messrs. Shaller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Pearce,</w:t>
            </w:r>
          </w:p>
        </w:tc>
      </w:tr>
      <w:tr>
        <w:trPr>
          <w:trHeight w:val="181"/>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GAAP, excluding the impact of foreign currency translation and any current year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Curran, Gorman, Nauman</w:t>
            </w:r>
          </w:p>
        </w:tc>
      </w:tr>
      <w:tr>
        <w:trPr>
          <w:trHeight w:val="306"/>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or divestitures.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and Ms. Nelligan </w:t>
            </w:r>
            <w:r>
              <w:rPr>
                <w:rFonts w:ascii="Times New Roman" w:cs="Times New Roman" w:eastAsia="Times New Roman" w:hAnsi="Times New Roman"/>
                <w:sz w:val="23"/>
                <w:szCs w:val="23"/>
                <w:color w:val="auto"/>
                <w:w w:val="98"/>
                <w:vertAlign w:val="superscript"/>
              </w:rPr>
              <w:t>(2)</w:t>
            </w:r>
          </w:p>
        </w:tc>
      </w:tr>
      <w:tr>
        <w:trPr>
          <w:trHeight w:val="215"/>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is defined as total net sales minus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18"/>
                <w:szCs w:val="18"/>
                <w:color w:val="auto"/>
              </w:rPr>
            </w:pPr>
          </w:p>
        </w:tc>
        <w:tc>
          <w:tcPr>
            <w:tcW w:w="1960" w:type="dxa"/>
            <w:vAlign w:val="bottom"/>
          </w:tcPr>
          <w:p>
            <w:pPr>
              <w:jc w:val="center"/>
              <w:spacing w:after="0" w:line="214" w:lineRule="exact"/>
              <w:rPr>
                <w:sz w:val="20"/>
                <w:szCs w:val="20"/>
                <w:color w:val="auto"/>
              </w:rPr>
            </w:pPr>
            <w:r>
              <w:rPr>
                <w:rFonts w:ascii="Times New Roman" w:cs="Times New Roman" w:eastAsia="Times New Roman" w:hAnsi="Times New Roman"/>
                <w:sz w:val="18"/>
                <w:szCs w:val="18"/>
                <w:color w:val="auto"/>
                <w:w w:val="98"/>
              </w:rPr>
              <w:t xml:space="preserve">Messrs. Shaller </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18"/>
                <w:szCs w:val="18"/>
                <w:color w:val="auto"/>
                <w:w w:val="98"/>
              </w:rPr>
              <w:t>, Pearce,</w:t>
            </w:r>
          </w:p>
        </w:tc>
      </w:tr>
      <w:tr>
        <w:trPr>
          <w:trHeight w:val="181"/>
        </w:trPr>
        <w:tc>
          <w:tcPr>
            <w:tcW w:w="20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taxes</w:t>
            </w:r>
          </w:p>
        </w:tc>
        <w:tc>
          <w:tcPr>
            <w:tcW w:w="6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expenses before deducting income tax expense calculated in accordance with</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Curran, Gorman, Nauman</w:t>
            </w:r>
          </w:p>
        </w:tc>
      </w:tr>
      <w:tr>
        <w:trPr>
          <w:trHeight w:val="184"/>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U.S. GAAP, excluding the impact of foreign currency translation. Total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 xml:space="preserve">and Ms. Nelligan </w:t>
            </w:r>
            <w:r>
              <w:rPr>
                <w:rFonts w:ascii="Times New Roman" w:cs="Times New Roman" w:eastAsia="Times New Roman" w:hAnsi="Times New Roman"/>
                <w:sz w:val="21"/>
                <w:szCs w:val="21"/>
                <w:color w:val="auto"/>
                <w:vertAlign w:val="superscript"/>
              </w:rPr>
              <w:t>(2)</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before income taxes excludes the impact of any current year acquisitions or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9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sales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sales is measured as division net sales calculated in accordance with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Messrs. Shaller </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18"/>
                <w:szCs w:val="18"/>
                <w:color w:val="auto"/>
                <w:w w:val="97"/>
              </w:rPr>
              <w:t xml:space="preserve"> and</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U.S. GAAP, excluding the impact of foreign currency translation and any current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Deman</w:t>
            </w: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 income is measured as division net sales less cost of goods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Messrs. Shaller </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18"/>
                <w:szCs w:val="18"/>
                <w:color w:val="auto"/>
                <w:w w:val="97"/>
              </w:rPr>
              <w:t xml:space="preserve"> and</w:t>
            </w:r>
          </w:p>
        </w:tc>
      </w:tr>
      <w:tr>
        <w:trPr>
          <w:trHeight w:val="204"/>
        </w:trPr>
        <w:tc>
          <w:tcPr>
            <w:tcW w:w="20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w:t>
            </w:r>
          </w:p>
        </w:tc>
        <w:tc>
          <w:tcPr>
            <w:tcW w:w="60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sold, selling expenses, research and development expenses, and administrative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Deman</w:t>
            </w:r>
          </w:p>
        </w:tc>
      </w:tr>
    </w:tbl>
    <w:p>
      <w:pPr>
        <w:ind w:left="2040" w:right="3300"/>
        <w:spacing w:after="0" w:line="226" w:lineRule="auto"/>
        <w:rPr>
          <w:sz w:val="20"/>
          <w:szCs w:val="20"/>
          <w:color w:val="auto"/>
        </w:rPr>
      </w:pPr>
      <w:r>
        <w:rPr>
          <w:rFonts w:ascii="Times New Roman" w:cs="Times New Roman" w:eastAsia="Times New Roman" w:hAnsi="Times New Roman"/>
          <w:sz w:val="18"/>
          <w:szCs w:val="18"/>
          <w:color w:val="auto"/>
        </w:rPr>
        <w:t>expenses calculated in accordance with U.S. GAAP, excluding the impact of foreign currency translation and any current year acquisitions or divestitures.</w:t>
      </w:r>
    </w:p>
    <w:p>
      <w:pPr>
        <w:spacing w:after="0" w:line="252" w:lineRule="exact"/>
        <w:rPr>
          <w:sz w:val="20"/>
          <w:szCs w:val="20"/>
          <w:color w:val="auto"/>
        </w:rPr>
      </w:pPr>
    </w:p>
    <w:p>
      <w:pPr>
        <w:jc w:val="both"/>
        <w:ind w:left="660" w:hanging="328"/>
        <w:spacing w:after="0" w:line="248"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Mr. Shaller was appointed President, Chief Executive Officer and Director of the Company, effective April 1, 2022. Before April 1, 2022, Mr. Shaller served as Senior Vice President, President - Identification Solutions. As a result, during the period from August 1, 2021 to March 31, 2022, Mr. Shaller's annual incentive compensation was based upon the financial performance of the IDS, and during the period from April 1, 2022 to July 31, 2022, Mr. Shaller's incentive compensation was based upon the financial performance of the total company.</w:t>
      </w:r>
    </w:p>
    <w:p>
      <w:pPr>
        <w:spacing w:after="0" w:line="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no bonus was funded to Ms. Nelligan as a result of her retirement, effective April 8, 2022.</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funding level of the fiscal 2022 annual cash incentive plan was determined based on the level of achievement of the annual sales and profit metrics described above compared to stated thresholds that were established at the beginning of the fiscal year. These thresholds are set forth in the tables below for each NEO. The annual cash incentive plan also includes a minimum profit threshold that must be exceeded in order for any cash incentive amount to be funded, regardless of the achievement of revenue. In addition, plan participants must be employed on the payment date to receive the payout of their annual incentive award.</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 contribution is determined by assessing the level of achievement of each NEO’s individual annual goals combined with his or her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valuing different perspectives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our objective is to set goals that are quantitative and measurable, certain elements of the performance assessment may be subjective. Assessments and rating recommendations for all executive officers, except the CEO, are delivered to the Committee by the CEO in July. The CEO provides the Committee with a self-assessment of his own performance without a rating recommendation and the Committee conducts an annual review and evaluation process to determine the CEO's performance rating.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rating system consists of five performance levels, each with a predetermined multiplier that is applied to the available annual cash incentive that is earned and payable based upon the NEO's contribution to the fiscal year objectives and their individual annual goals: Unsatisfactory - 0%; Needs Improvement - 50%; Fully Meets Objectives - 100%; Exceeds Objectives - 125%; and Outstanding - 150%. The annual cash incentive target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sections detail this calculation for each NEO.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Shaller (while employed as Senior Vice President and President - IDS)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Mr. Shaller was promoted to CEO during the middle of the year, his cash incentive was bifurcated so that a portion was based on IDS performance (to reflect his time as Senior Vice President and President - IDS) and the other portion was based on full company performance (to reflect his time spent as CEO). This section explains the calculation of the portion of the cash incentive payable to Mr. Shaller for fiscal 2022 related to his position as Senior Vice President and President - IDS during the period of August 1, 2021 to March 31, 2022 relating to achievement of IDS division sales and IDS division operating income. The portion of the cash incentive he earned while serving as CEO is described in the next section.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fiscal 2022, a cash incentive was funded for the achievement of the IDS division sales and IDS division operating income based upon the achievement of the financial targets established at the beginning of the fiscal year. The multiplier for individual performance in Mr. Shaller's role as Senior Vice President and President - IDS was applied to the achievement of the two components to arrive at the final cash incentive award achieved.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the portion of the year that Mr. Shaller served as Senior Vice President and President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Fiscal 2022 Actual Results</w:t>
            </w:r>
          </w:p>
        </w:tc>
        <w:tc>
          <w:tcPr>
            <w:tcW w:w="1180" w:type="dxa"/>
            <w:vAlign w:val="bottom"/>
          </w:tcPr>
          <w:p>
            <w:pPr>
              <w:spacing w:after="0"/>
              <w:rPr>
                <w:sz w:val="16"/>
                <w:szCs w:val="16"/>
                <w:color w:val="auto"/>
              </w:rPr>
            </w:pPr>
          </w:p>
        </w:tc>
      </w:tr>
      <w:tr>
        <w:trPr>
          <w:trHeight w:val="23"/>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Achievement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IDS Division Sales (35%)(millions)</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$697.5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$767.3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IDS Division Operating Income (65%)</w:t>
            </w:r>
          </w:p>
        </w:tc>
        <w:tc>
          <w:tcPr>
            <w:tcW w:w="1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$206.4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137"/>
        </w:trPr>
        <w:tc>
          <w:tcPr>
            <w:tcW w:w="32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Fiscal 2022 Annual Cash Incentive Award:</w:t>
            </w:r>
          </w:p>
        </w:tc>
        <w:tc>
          <w:tcPr>
            <w:tcW w:w="122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gridSpan w:val="2"/>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360" w:type="dxa"/>
            <w:vAlign w:val="bottom"/>
            <w:gridSpan w:val="2"/>
            <w:shd w:val="clear" w:color="auto" w:fill="CCEEFF"/>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260" w:type="dxa"/>
            <w:vAlign w:val="bottom"/>
            <w:shd w:val="clear" w:color="auto" w:fill="CCEEFF"/>
          </w:tcPr>
          <w:p>
            <w:pPr>
              <w:jc w:val="right"/>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28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0"/>
        </w:trPr>
        <w:tc>
          <w:tcPr>
            <w:tcW w:w="31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xml:space="preserve">R.R. Shaller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4"/>
                <w:szCs w:val="24"/>
                <w:color w:val="auto"/>
              </w:rPr>
            </w:pPr>
          </w:p>
        </w:tc>
        <w:tc>
          <w:tcPr>
            <w:tcW w:w="12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4"/>
                <w:szCs w:val="2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$353,584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calculation was based upon salary paid from August 1, 2021 to March 31, 2022.</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Shaller's individual performance multiplier was the result of his contribution to several fiscal year objectives and individual annual goals in his role as Senior Vice President and President - IDS as follows:</w:t>
      </w:r>
    </w:p>
    <w:p>
      <w:pPr>
        <w:spacing w:after="0" w:line="108"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IDS organic sales growth - Objective focused on accelerating organic sales growth in the IDS segment. Organic sales within the IDS segment increased by 3.7% in fiscal 2021 and organic sales growth accelerated to 12.8% in fiscal 2022.</w:t>
      </w:r>
    </w:p>
    <w:p>
      <w:pPr>
        <w:jc w:val="both"/>
        <w:ind w:left="66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IDS operating income - Objective focused on improving operating income in the IDS segment while making the investments for sustainable long-term organic sales growth. Operating income within the IDS segment improved from $169.2 million in fiscal 2021 to $197.1 million in fiscal 2022.</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Shaller's performance, the Committee determined that Mr. Shaller's resulting performance level was 150% for his individual performance multiplier as Senior Vice President and President - IDS.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Shaller (while employed as CEO), Pearce, Curran, Gorman and Nauman</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Shaller for the period that he served as CEO during fiscal 2022 and to Messrs. Pearce, Curran, Gorman and Nauman for all of fiscal 2022 was based on total sales and income before income taxes. For fiscal 2022, an annual cash incentive was funded for the achievement of total sales and income before income taxes. The multiplier for individual performance was applied to the two components to arrive at the final cash incentive award achieved.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threshold, target, maximum and actual cash incentive award earned for Messrs. Shaller, Pearce, Curran, Gorman and Nauman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2022 Actual Results</w:t>
            </w:r>
          </w:p>
        </w:tc>
        <w:tc>
          <w:tcPr>
            <w:tcW w:w="1140" w:type="dxa"/>
            <w:vAlign w:val="bottom"/>
          </w:tcPr>
          <w:p>
            <w:pPr>
              <w:spacing w:after="0"/>
              <w:rPr>
                <w:sz w:val="16"/>
                <w:szCs w:val="16"/>
                <w:color w:val="auto"/>
              </w:rPr>
            </w:pPr>
          </w:p>
        </w:tc>
      </w:tr>
      <w:tr>
        <w:trPr>
          <w:trHeight w:val="23"/>
        </w:trPr>
        <w:tc>
          <w:tcPr>
            <w:tcW w:w="29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2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Performance Measure </w:t>
            </w:r>
            <w:r>
              <w:rPr>
                <w:rFonts w:ascii="Times New Roman" w:cs="Times New Roman" w:eastAsia="Times New Roman" w:hAnsi="Times New Roman"/>
                <w:sz w:val="14"/>
                <w:szCs w:val="14"/>
                <w:color w:val="auto"/>
              </w:rPr>
              <w:t>(weighting)</w:t>
            </w:r>
          </w:p>
        </w:tc>
        <w:tc>
          <w:tcPr>
            <w:tcW w:w="6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Achievement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(35%)(millions)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$1,342.0 or more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176"/>
        </w:trPr>
        <w:tc>
          <w:tcPr>
            <w:tcW w:w="35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Before Income Taxes (65%)</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 or more</w:t>
            </w: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c>
          <w:tcPr>
            <w:tcW w:w="0" w:type="dxa"/>
            <w:vAlign w:val="bottom"/>
          </w:tcPr>
          <w:p>
            <w:pPr>
              <w:spacing w:after="0"/>
              <w:rPr>
                <w:sz w:val="1"/>
                <w:szCs w:val="1"/>
                <w:color w:val="auto"/>
              </w:rPr>
            </w:pPr>
          </w:p>
        </w:tc>
      </w:tr>
      <w:tr>
        <w:trPr>
          <w:trHeight w:val="137"/>
        </w:trPr>
        <w:tc>
          <w:tcPr>
            <w:tcW w:w="3560" w:type="dxa"/>
            <w:vAlign w:val="bottom"/>
            <w:gridSpan w:val="2"/>
            <w:shd w:val="clear" w:color="auto" w:fill="CCEEFF"/>
          </w:tcPr>
          <w:p>
            <w:pPr>
              <w:ind w:left="360"/>
              <w:spacing w:after="0" w:line="137" w:lineRule="exact"/>
              <w:rPr>
                <w:sz w:val="20"/>
                <w:szCs w:val="20"/>
                <w:color w:val="auto"/>
              </w:rPr>
            </w:pPr>
            <w:r>
              <w:rPr>
                <w:rFonts w:ascii="Times New Roman" w:cs="Times New Roman" w:eastAsia="Times New Roman" w:hAnsi="Times New Roman"/>
                <w:sz w:val="14"/>
                <w:szCs w:val="14"/>
                <w:b w:val="1"/>
                <w:bCs w:val="1"/>
                <w:color w:val="auto"/>
              </w:rPr>
              <w:t>Fiscal 2022 Annual Cash Incentive</w:t>
            </w: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20" w:type="dxa"/>
            <w:vAlign w:val="bottom"/>
            <w:gridSpan w:val="2"/>
            <w:shd w:val="clear" w:color="auto" w:fill="CCEEFF"/>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60" w:type="dxa"/>
            <w:vAlign w:val="bottom"/>
            <w:gridSpan w:val="2"/>
            <w:shd w:val="clear" w:color="auto" w:fill="CCEEFF"/>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320" w:type="dxa"/>
            <w:vAlign w:val="bottom"/>
            <w:gridSpan w:val="2"/>
            <w:shd w:val="clear" w:color="auto" w:fill="CCEEFF"/>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220" w:type="dxa"/>
            <w:vAlign w:val="bottom"/>
            <w:shd w:val="clear" w:color="auto" w:fill="CCEEFF"/>
          </w:tcPr>
          <w:p>
            <w:pPr>
              <w:jc w:val="right"/>
              <w:ind w:right="74"/>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10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tcPr>
          <w:p>
            <w:pPr>
              <w:ind w:left="560"/>
              <w:spacing w:after="0" w:line="223" w:lineRule="exact"/>
              <w:rPr>
                <w:sz w:val="20"/>
                <w:szCs w:val="20"/>
                <w:color w:val="auto"/>
              </w:rPr>
            </w:pPr>
            <w:r>
              <w:rPr>
                <w:rFonts w:ascii="Times New Roman" w:cs="Times New Roman" w:eastAsia="Times New Roman" w:hAnsi="Times New Roman"/>
                <w:sz w:val="18"/>
                <w:szCs w:val="18"/>
                <w:color w:val="auto"/>
              </w:rPr>
              <w:t xml:space="preserve">R.R. Shaller </w:t>
            </w:r>
            <w:r>
              <w:rPr>
                <w:rFonts w:ascii="Times New Roman" w:cs="Times New Roman" w:eastAsia="Times New Roman" w:hAnsi="Times New Roman"/>
                <w:sz w:val="23"/>
                <w:szCs w:val="23"/>
                <w:color w:val="auto"/>
                <w:vertAlign w:val="superscript"/>
              </w:rPr>
              <w:t>(1)</w:t>
            </w:r>
          </w:p>
        </w:tc>
        <w:tc>
          <w:tcPr>
            <w:tcW w:w="6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$384,244</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A.J. Pearce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$561,733</w:t>
            </w:r>
          </w:p>
        </w:tc>
        <w:tc>
          <w:tcPr>
            <w:tcW w:w="0" w:type="dxa"/>
            <w:vAlign w:val="bottom"/>
          </w:tcPr>
          <w:p>
            <w:pPr>
              <w:spacing w:after="0"/>
              <w:rPr>
                <w:sz w:val="1"/>
                <w:szCs w:val="1"/>
                <w:color w:val="auto"/>
              </w:rPr>
            </w:pPr>
          </w:p>
        </w:tc>
      </w:tr>
      <w:tr>
        <w:trPr>
          <w:trHeight w:val="230"/>
        </w:trPr>
        <w:tc>
          <w:tcPr>
            <w:tcW w:w="3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B.N. Curran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$278,562</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A.T. Gorman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$220,564</w:t>
            </w:r>
          </w:p>
        </w:tc>
        <w:tc>
          <w:tcPr>
            <w:tcW w:w="0" w:type="dxa"/>
            <w:vAlign w:val="bottom"/>
          </w:tcPr>
          <w:p>
            <w:pPr>
              <w:spacing w:after="0"/>
              <w:rPr>
                <w:sz w:val="1"/>
                <w:szCs w:val="1"/>
                <w:color w:val="auto"/>
              </w:rPr>
            </w:pPr>
          </w:p>
        </w:tc>
      </w:tr>
      <w:tr>
        <w:trPr>
          <w:trHeight w:val="306"/>
        </w:trPr>
        <w:tc>
          <w:tcPr>
            <w:tcW w:w="3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J.M. Nauman </w:t>
            </w:r>
            <w:r>
              <w:rPr>
                <w:rFonts w:ascii="Times New Roman" w:cs="Times New Roman" w:eastAsia="Times New Roman" w:hAnsi="Times New Roman"/>
                <w:sz w:val="23"/>
                <w:szCs w:val="23"/>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$846,775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line="247"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As noted above, Mr. Shaller was appointed President, Chief Executive Officer and Director of the Company, effective April 1, 2022. This calculation is based upon salary paid to Mr. Shaller from April 1, 2022 to July 31, 2022.</w:t>
      </w:r>
    </w:p>
    <w:p>
      <w:pPr>
        <w:jc w:val="both"/>
        <w:ind w:left="660" w:hanging="328"/>
        <w:spacing w:after="0" w:line="255"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Nauman retired as President, Chief Executive Officer and Director of the Company, effective April 1, 2022. As provided in Mr. Nauman's retirement agreement, he will receive an annual cash incentive award equivalent to his base salary paid from August 1, 2021 through April 1, 2022 multiplied by the actual percentage achievement of the Company's annual cash incentive award performance goals for fiscal year 2022.</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Shaller's individual performance multiplier for his role as CEO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organic sales growth - Objective focused on accelerating the Company’s organic sales growth. The Company’s organic sales growth rate accelerated from 1.6% in fiscal 2021 to 9.4% in fiscal 2022.</w:t>
      </w: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before income taxes - Objective focused on improving income before income taxes while making the investments for sustainable long-term organic sales growth. Income before income taxes improved from $171.0 million in fiscal 2021 to $192.0 million in fiscal 2022, while investments in R&amp;D increased from $44.6 million in fiscal 2021 to $58.5 million in fiscal 2022.</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Shaller's performance, the Committee determined that Mr. Shaller's resulting performance level was 125% for his individual performance multiplier as CEO during the period April 1, 2022 to July 31, 2022.</w:t>
      </w:r>
    </w:p>
    <w:p>
      <w:pPr>
        <w:spacing w:after="0" w:line="10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Mr. Pearce's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integrations - Objective focused on successfully leading the finance integration of the three acquisitions which were completed during the fourth quarter of fiscal 2021 and achieving planned synergies in the general and administrative cost structures.</w:t>
      </w: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 Objective focused on reducing selling, general and administrative expenses throughout the Company, with a specific focus on reducing general and administrative expenses in a sustainable manner while continuing to invest in sales-generating resources. As a percentage of net sales, SG&amp;A expenses declined from 30.6% in fiscal 2021 to 29.2% in fiscal 2022.</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 Objective focused on improving income before income taxes while making the investments for sustainable long-term organic sales growth. Income before income taxes improved from $171.0 million in fiscal 2021 to $192.0 million in fiscal 2022, while investments in R&amp;D increased from $44.6 million in fiscal 2021 to $58.5 million in fiscal 2022.</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Pearce's performance, the Committee determined that Mr. Pearce's resulting performance level was 125% for his individual performance multiplier.</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Curran's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 Objective focused on continuing to improve Brady's business intelligence capabilities to enable enhanced data-driven decision making across the Company.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 Objective focused on continued advancement of the Company's cybersecurity defense capabilities to reduce risk and protect the Company's critical assets.</w:t>
      </w: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enhancement - Objective focused on improving the Company's digital presence and the use of data-driven marketing automation tools to expand and enhance our sales capabilities across both our Identification Solutions and Workplace Safety business segments.</w:t>
      </w:r>
    </w:p>
    <w:p>
      <w:pPr>
        <w:ind w:left="660" w:right="2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integration - Objective focused on successfully executing the IT integration of the three acquisitions which were completed during the fourth quarter of fiscal 2021.</w:t>
      </w:r>
    </w:p>
    <w:p>
      <w:pPr>
        <w:spacing w:after="0" w:line="1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Curran's performance, the Committee determined that Mr. Curran's resulting performance level was 100% for his individual performance multiplier.</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Mr. Gorman's individual performance multiplier was the result of his contribution to several fiscal year objectives and individual annual goals as follows: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 Objective focused on ensuring continued compliance with domestic and international laws and regulations, as well as maintaining internal compliance programs and successfully implementing compliance programs at the three acquisitions which were completed during the fourth quarter of fiscal 2021.</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 Objective focused on successfully leading and executing numerous Company-wide projects targeting reductions in energy usage as well as reducing Brady's greenhouse gas emissions.</w:t>
      </w:r>
    </w:p>
    <w:p>
      <w:pPr>
        <w:ind w:left="66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structure simplification - Objective focused on simplifying the Company's legal entity structure following the three acquisitions which were completed during the fourth quarter of fiscal 2021.</w:t>
      </w:r>
    </w:p>
    <w:p>
      <w:pPr>
        <w:spacing w:after="0" w:line="12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Gorman's performance, the Committee determined that Mr. Gorman's resulting performance level was 100% for his individual performance multiplier.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Deman</w:t>
      </w:r>
    </w:p>
    <w:p>
      <w:pPr>
        <w:spacing w:after="0" w:line="17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Deman for fiscal 2022 was based on achievement of WPS division organic sales and WPS division operating income. For fiscal 2022, a cash incentive was funded for the achievement of the WPS division organic sales and WPS division operating income based upon the achievement of the financial targets established at the beginning of the fiscal year. The multiplier for individual performance was applied to the achievement of the two components to arrive at the final cash incentive award achieved.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Mr. Deman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Fiscal 2022 Actual Results</w:t>
            </w:r>
          </w:p>
        </w:tc>
        <w:tc>
          <w:tcPr>
            <w:tcW w:w="1200" w:type="dxa"/>
            <w:vAlign w:val="bottom"/>
          </w:tcPr>
          <w:p>
            <w:pPr>
              <w:spacing w:after="0"/>
              <w:rPr>
                <w:sz w:val="16"/>
                <w:szCs w:val="16"/>
                <w:color w:val="auto"/>
              </w:rPr>
            </w:pPr>
          </w:p>
        </w:tc>
      </w:tr>
      <w:tr>
        <w:trPr>
          <w:trHeight w:val="23"/>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Achievement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WPS Division Sales (35%)(millions)</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$303.3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$323.1 or more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WPS Division Operating Income (65%)</w:t>
            </w:r>
          </w:p>
        </w:tc>
        <w:tc>
          <w:tcPr>
            <w:tcW w:w="1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 or more</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137"/>
        </w:trPr>
        <w:tc>
          <w:tcPr>
            <w:tcW w:w="32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Fiscal 2022 Annual Cash Incentive Award:</w:t>
            </w:r>
          </w:p>
        </w:tc>
        <w:tc>
          <w:tcPr>
            <w:tcW w:w="122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00" w:type="dxa"/>
            <w:vAlign w:val="bottom"/>
            <w:gridSpan w:val="2"/>
            <w:shd w:val="clear" w:color="auto" w:fill="CCEEFF"/>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00" w:type="dxa"/>
            <w:vAlign w:val="bottom"/>
            <w:gridSpan w:val="2"/>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360" w:type="dxa"/>
            <w:vAlign w:val="bottom"/>
            <w:gridSpan w:val="2"/>
            <w:shd w:val="clear" w:color="auto" w:fill="CCEEFF"/>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280" w:type="dxa"/>
            <w:vAlign w:val="bottom"/>
            <w:shd w:val="clear" w:color="auto" w:fill="CCEEFF"/>
          </w:tcPr>
          <w:p>
            <w:pPr>
              <w:jc w:val="right"/>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28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8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0"/>
        </w:trPr>
        <w:tc>
          <w:tcPr>
            <w:tcW w:w="31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xml:space="preserve">P. Deman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4"/>
                <w:szCs w:val="24"/>
                <w:color w:val="auto"/>
              </w:rPr>
            </w:pPr>
          </w:p>
        </w:tc>
        <w:tc>
          <w:tcPr>
            <w:tcW w:w="12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4"/>
                <w:szCs w:val="2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line="255"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Mr. Deman's compensation is denominated in Euros. The amounts shown in U.S. dollars in the table above were converted from Euros at the average exchange rate for fiscal 2022: 1 EUR = 1.1143 USD.</w:t>
      </w:r>
    </w:p>
    <w:p>
      <w:pPr>
        <w:spacing w:after="0" w:line="13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Deman's individual performance multiplier was the result of his contribution to several fiscal year objectives and individual annual goals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right="20" w:hanging="328"/>
        <w:spacing w:after="0" w:line="25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WPS sales growth - Objective focused on accelerating sales growth in the WPS segment. Organic sales within the WPS segment decreased by 3.8% in fiscal 2021 and were flat in fiscal 2022, resulting in both years missing the minimum threshold for a payout of the sales component of the annual cash incentive plan.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WPS operating income - Objective focused on improving operating income in the WPS segment while making the investments for sustainable long-term organic sales growth. Operating income within the WPS segment improved slightly from $22.8 million in fiscal 2021 to $23.2 million in fiscal 2022.</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Deman's performance, the Committee determined that Mr. Deman's resulting performance level was 50% for his individual performance multiplier.</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Committee regularly evaluates the impact of unusual events on a case-by-case basis along with compensation policies and practices in light of ongoing developments and best practices in the area of incentive compensation. For fiscal 2022, an adjustment was made to WPS Division Operating Income to exclude the financial impact of certain non-recurring charges incurred primarily to streamline the cost structure of the business, which impacted the annual cash incentive for Mr. Deman. No other adjustments were made to the financial results for unusual and unforeseen events that would have an impact on the Company's annual cash incentive for its NEOs.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fiscal 2022, the Committee reviewed historical award sizes and median levels of equity awarded to similar positions at our peer companies and other relevant market data. The Committee then approved the fiscal 2022 awards consisting of a combination of stock options, RSUs and PRSUs. The Committee uses its discretion in combination with peer group data, analysis of actual pay and performance, and advice from its independent compensation consultant to determine the size and type of equity awards granted to the CEO. For all other executives, the Committee also considers the input from the CEO when determining the size and type of annual equity awards.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Time-Based Stock Options: </w:t>
      </w:r>
      <w:r>
        <w:rPr>
          <w:rFonts w:ascii="Times New Roman" w:cs="Times New Roman" w:eastAsia="Times New Roman" w:hAnsi="Times New Roman"/>
          <w:sz w:val="18"/>
          <w:szCs w:val="18"/>
          <w:color w:val="auto"/>
        </w:rPr>
        <w:t>Stock options generally vest one-third annually for three years and have a ten-year term. The Committee has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vary both the term and vesting schedule for new stock option grants in accordance with the terms of the plan. All stock options are granted to the NEOs during the first quarter of each fiscal year following the Committee's approval, with an exercise price equal to the average of the high and low stock price on the grant date. No dividends are paid or accrued prior to the exercise of options.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Time-Based RSUs: </w:t>
      </w:r>
      <w:r>
        <w:rPr>
          <w:rFonts w:ascii="Times New Roman" w:cs="Times New Roman" w:eastAsia="Times New Roman" w:hAnsi="Times New Roman"/>
          <w:sz w:val="18"/>
          <w:szCs w:val="18"/>
          <w:color w:val="auto"/>
        </w:rPr>
        <w:t>RSUs generally vest one-third annually for three years. The Committee has the ability to vary the vesting schedule for new RSU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of the plan. All RSUs are granted following the Committee's approval, with a fair value equal to the average of the high and low stock price on the grant date.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PRSUs: </w:t>
      </w:r>
      <w:r>
        <w:rPr>
          <w:rFonts w:ascii="Times New Roman" w:cs="Times New Roman" w:eastAsia="Times New Roman" w:hAnsi="Times New Roman"/>
          <w:sz w:val="18"/>
          <w:szCs w:val="18"/>
          <w:color w:val="auto"/>
        </w:rPr>
        <w:t>PRSUs granted in fiscal 2022 include two vesting criteria: 50% of the shares vest determined by the Company's TSR relative to the S&amp;P 600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SmallCap Industrials Index over a three-year performance period, and 50% of the shares vest determined by revenue performance over four separate performance periods as discussed in the Executive Summary. For the TSR metric, if relative TSR is at or below the 25th percentile of the peer group for the performance period then no payout will be earned. Additionally, if absolute TSR is negative for the performance period, the payout will be capped at 100%. For the revenue performance measure, there are four separate equally-weighted performance periods. If threshold performance is not achieved for a particular performance period, then no award will vest relative to that performance period. PRSUs have a fair value determined by a third-party valuation involving a Monte Carlo simulation. PRSUs will vest between 0% and 200% of target depending on the relative three-year TSR performance and the achievement of the revenue growth goals over the respective performance periods.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dividends are paid or accrued on the RSUs or PRSUs prior to the issuance of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long-term equity incentive awards granted to the Company's NEOs during fiscal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Officers</w:t>
            </w:r>
          </w:p>
        </w:tc>
        <w:tc>
          <w:tcPr>
            <w:tcW w:w="260" w:type="dxa"/>
            <w:vAlign w:val="bottom"/>
          </w:tcPr>
          <w:p>
            <w:pPr>
              <w:spacing w:after="0"/>
              <w:rPr>
                <w:sz w:val="17"/>
                <w:szCs w:val="17"/>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Total Grant Date</w:t>
            </w: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Options Grant Date</w:t>
            </w:r>
          </w:p>
        </w:tc>
        <w:tc>
          <w:tcPr>
            <w:tcW w:w="160" w:type="dxa"/>
            <w:vAlign w:val="bottom"/>
          </w:tcPr>
          <w:p>
            <w:pPr>
              <w:spacing w:after="0"/>
              <w:rPr>
                <w:sz w:val="17"/>
                <w:szCs w:val="17"/>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PRSUs (at target)</w:t>
            </w:r>
          </w:p>
        </w:tc>
        <w:tc>
          <w:tcPr>
            <w:tcW w:w="160" w:type="dxa"/>
            <w:vAlign w:val="bottom"/>
          </w:tcPr>
          <w:p>
            <w:pPr>
              <w:spacing w:after="0"/>
              <w:rPr>
                <w:sz w:val="17"/>
                <w:szCs w:val="17"/>
                <w:color w:val="auto"/>
              </w:rPr>
            </w:pPr>
          </w:p>
        </w:tc>
        <w:tc>
          <w:tcPr>
            <w:tcW w:w="20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RSUs</w:t>
            </w:r>
          </w:p>
        </w:tc>
        <w:tc>
          <w:tcPr>
            <w:tcW w:w="0" w:type="dxa"/>
            <w:vAlign w:val="bottom"/>
          </w:tcPr>
          <w:p>
            <w:pPr>
              <w:spacing w:after="0"/>
              <w:rPr>
                <w:sz w:val="1"/>
                <w:szCs w:val="1"/>
                <w:color w:val="auto"/>
              </w:rPr>
            </w:pPr>
          </w:p>
        </w:tc>
      </w:tr>
      <w:tr>
        <w:trPr>
          <w:trHeight w:val="243"/>
        </w:trPr>
        <w:tc>
          <w:tcPr>
            <w:tcW w:w="22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80" w:type="dxa"/>
            <w:vAlign w:val="bottom"/>
          </w:tcPr>
          <w:p>
            <w:pPr>
              <w:spacing w:after="0"/>
              <w:rPr>
                <w:sz w:val="21"/>
                <w:szCs w:val="21"/>
                <w:color w:val="auto"/>
              </w:rPr>
            </w:pP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160" w:type="dxa"/>
            <w:vAlign w:val="bottom"/>
          </w:tcPr>
          <w:p>
            <w:pPr>
              <w:spacing w:after="0"/>
              <w:rPr>
                <w:sz w:val="21"/>
                <w:szCs w:val="21"/>
                <w:color w:val="auto"/>
              </w:rPr>
            </w:pPr>
          </w:p>
        </w:tc>
        <w:tc>
          <w:tcPr>
            <w:tcW w:w="2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R.R. Shaller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2,608,892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1,250,579</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300,035</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 Curran</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60,047</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37,542</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75,780</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3,319,962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951,039</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1"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appointment as President, Chief Executive Officer and Director on April 1, 2022, Mr. Shaller was awarded $760,500 of stock options and $760,500 of RSUs. In addition, Mr. Shaller was awarded a $250,000 one-time RSU award. The units vest in equal annual increments on the first, second and third anniversaries of the grant date with vesting accelerated in the event of death, disability, or termination following a change of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PRSUs Earned for the Fiscal 2020 - 2022 Performance Period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outlines the performance metrics, performance levels and actual performance achievement for the fiscal 2020 - 2022 PRSU cycle: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Threshold (25%)</w:t>
            </w: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Target (100%)</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Payout</w:t>
            </w:r>
          </w:p>
        </w:tc>
        <w:tc>
          <w:tcPr>
            <w:tcW w:w="0" w:type="dxa"/>
            <w:vAlign w:val="bottom"/>
          </w:tcPr>
          <w:p>
            <w:pPr>
              <w:spacing w:after="0"/>
              <w:rPr>
                <w:sz w:val="1"/>
                <w:szCs w:val="1"/>
                <w:color w:val="auto"/>
              </w:rPr>
            </w:pPr>
          </w:p>
        </w:tc>
      </w:tr>
      <w:tr>
        <w:trPr>
          <w:trHeight w:val="243"/>
        </w:trPr>
        <w:tc>
          <w:tcPr>
            <w:tcW w:w="3660" w:type="dxa"/>
            <w:vAlign w:val="bottom"/>
            <w:gridSpan w:val="2"/>
            <w:vMerge w:val="continue"/>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Relative TSR Percentile</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25th</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50th</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75th</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36th</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and Welfare Benefits: </w:t>
      </w:r>
      <w:r>
        <w:rPr>
          <w:rFonts w:ascii="Times New Roman" w:cs="Times New Roman" w:eastAsia="Times New Roman" w:hAnsi="Times New Roman"/>
          <w:sz w:val="18"/>
          <w:szCs w:val="18"/>
          <w:color w:val="auto"/>
        </w:rPr>
        <w:t>We provide subsidized health and welfare benefits which include medical, dental, life and disability insurance and paid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 Executive officers are entitled to participate in our health and welfare plans on generally the same terms and conditions as other employees, subject to limitations under applicable law. In addition, the Company maintains a supplemental disability policy for its U.S. executives. The supplemental disability policy provides for an additional 15% of compensation, up to a maximum additional benefit of $5,000 per month. Brady pays the premiums for these benefits; therefore, these benefits represent taxable benefits to the executive.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Benefits: </w:t>
      </w:r>
      <w:r>
        <w:rPr>
          <w:rFonts w:ascii="Times New Roman" w:cs="Times New Roman" w:eastAsia="Times New Roman" w:hAnsi="Times New Roman"/>
          <w:sz w:val="18"/>
          <w:szCs w:val="18"/>
          <w:color w:val="auto"/>
        </w:rPr>
        <w:t>Brady employees (including NEOs) in the United States and certain expatriate employees working for its international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are eligible to participate in Company sponsored statutory and supplementary defined benefit pension plans that are primarily unfunded and provide an income benefit upon termination or retirement. Mr. Deman is the only NEO who participates in a defined benefit pension plan.</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Arrangements: </w:t>
      </w:r>
      <w:r>
        <w:rPr>
          <w:rFonts w:ascii="Times New Roman" w:cs="Times New Roman" w:eastAsia="Times New Roman" w:hAnsi="Times New Roman"/>
          <w:sz w:val="18"/>
          <w:szCs w:val="18"/>
          <w:color w:val="auto"/>
        </w:rPr>
        <w:t>The Company has two deferred compensation plans, the Executive Deferred Compensation Plan and the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Plan, that allow for compensation to be deferred into either the Company’s Class A Nonvoting Common Stock or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made in cash.</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Brady generally provides executives with the following perquisites:</w:t>
      </w:r>
    </w:p>
    <w:p>
      <w:pPr>
        <w:spacing w:after="0" w:line="17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and tax preparation;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car or car allowance;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examination;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care insurance;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liability insurance.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encourage our executive officers and directors to acquire and retain ownership of a significant number of shares of the Company's stock, stock ownership requirements have been established.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Board of Directors has established the following stock ownership requirements for our NEOs:</w:t>
            </w:r>
          </w:p>
        </w:tc>
        <w:tc>
          <w:tcPr>
            <w:tcW w:w="2600" w:type="dxa"/>
            <w:vAlign w:val="bottom"/>
          </w:tcPr>
          <w:p>
            <w:pPr>
              <w:spacing w:after="0"/>
              <w:rPr>
                <w:sz w:val="20"/>
                <w:szCs w:val="20"/>
                <w:color w:val="auto"/>
              </w:rPr>
            </w:pPr>
          </w:p>
        </w:tc>
      </w:tr>
      <w:tr>
        <w:trPr>
          <w:trHeight w:val="189"/>
        </w:trPr>
        <w:tc>
          <w:tcPr>
            <w:tcW w:w="86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5 times base salary</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 Curran</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2 times base salary</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2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2 times base salary</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5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2 times base salary</w:t>
            </w: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2022.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RSUs, and the value of vested and “in the money” stock options. The fair market value of PRSUs are excluded from the determination of executive ownership levels.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and Anti-Hedging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and Offer Letters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the Company entered into an employment offer letter dated March 11, 2022 with Mr. Shaller (the “Offer Letter”). The Offer Letter provided that Mr. Shaller would receive an annual base salary of $690,000, subject to periodic review and adjustment. The Offer Letter also provided that he will participate in the Company’s annual cash incentive plan in fiscal 2022, with a targeted annual incentive opportunity of 100% of base salary and a maximum annual incentive opportunity of 300% of his base salary effective April 1, 2022. The Offer Letter further provided that Mr. Shaller would receive awards on April 1, 2022 under the Company’s 2017 Omnibus Incentive Stock Plan with a grant date value of $760,500 of time-based stock options and a grant date value of $760,500 of RSUs. In addition, the Offer Letter provided that Mr. Shaller would receive awards with a grant date value of $1,014,000 of PRSUs in August 2022, subject to the discretion of the Management Development and Compensation Committee. Under the terms of the Offer Letter, Mr. Shaller will be required to hold, directly or indirectly, shares of Brady common stock equal to five times his base salary within five years of his appointment. Also pursuant to the terms of the Offer Letter, the Company entered into a Restricted Stock Unit Agreement with Mr. Shaller (the “RSU Agreement”) under which Mr. Shaller received a one-time RSU award valued at $250,000 with a grant date of April 1, 2022. The restricted stock units will vest upon the first, second and third anniversaries of the grant date.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Offer Letter provides that Mr. Shaller will be able to participate in all employee benefit plans and programs generally available to the Company’s executive officers, including perquisites covering a car allowance, financial planning and executive physical program. The Offer Letter also contains 24-month non-competition and non-solicitation provisions, as well as standard confidentiality, waiver and non-disparagement provisions.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also previously entered into an employment agreement with Mr. Deman. Mr. Deman's employment agreement, including the amendment thereto, does not contain any provisions related to specified payments upon termination of employment. The employment agreement does contain 12-month non-competition and non-solicitation provisions (which could entitle Mr. Deman to payment, as described below), and standard confidentiality, waiver and non-disparagement provisions.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Agreements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April 1, 2022, the Company also entered into a Change of Control Agreement with Mr. Shaller (the “Change of Control Agreement”). Under the terms of the Change of Control Agreement, in the event of a qualifying termination within 24 months following a change of control (as such events are defined in the Change of Control Agreement), Mr. Shaller will receive two times his annual base salary and two times his target bonus amount in effect immediately prior to the date that the change of control occurs.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approved change of control agreements for all of the NEOs of the Company. The agreements applicable to the NEOs provide a payment of an amount commensurate to a multiple of their salary and annual cash incentive payment, as specified in their respective agreement, prior to the date the change of control occurs in the event of termination or resignation for good cause upon a change of control. All of the NEO's agreements provide for up to $25,000 of attorney fees to enforce the executive's rights under the agreement. Payments under the agreement will be made over two years.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either accelerated or continuation of vesting of stock options and RSUs upon termination due to retirement, for which the eligibility criteria is 60 years of age and 5 years of service.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Non-Compete/Non-Solicitation/Confidentiality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Equity awards under the Company's 2012 Omnibus Incentive Stock and 2017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amendment to the employment agreement entered into with Mr. Deman on January 7, 2020, contains a 12-month non-compete clause. Under the clause, Mr. Deman agrees not to directly or indirectly carry out any activity that would compete with that of the Company and, in particular, any activity related to manufacturing or marketing of solutions that identify and protect people, products and places for a period of 12 months following termination of his employment agreement. In the event that the non-compete clause is enforced, Mr. Deman would receive monthly compensation during the non-compete period equal to 30% of the monthly gross average base salary paid to him during the last 12 months prior to the termination of his employment agreement. The Company reserves the right to waive the non-compete clause under the agreement, at which point no non-compete compensation would be owed to Mr. Deman.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federal income tax deduction to publicly traded companies for compensation in excess of $1 million per year paid to certain current and former executive officers. Historically, the $1 million deduction limit generally has not applied to compensation that satisfies IRS requirements for qualified performance-based compensation. Effective for tax years beginning after July 31, 2018, the exemption for qualified performance-based compensation from the deduction limitation of Code Section 162(m) has been repealed, unless transition relief for certain compensation arrangements in place as of November 2, 2017 is available.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tax deductible. Moreover, even if we have in the past intended to grant qualifying performance-based compensation for purposes of Section 162(m), we cannot guarantee that such compensation will so qualify or ultimately will be deductible by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fiscal 2022, the Committee was composed of Mses. Gioia, Williams and Messrs. Bem, Harris and Richardson. There are no relationships among the Company's executive officers, members of the Committee or entities whose executives serve on the Board that require disclosure under applicable SEC regulations.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Report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Gioia, Chair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Harris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Richardson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Williams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believes that its compensation policies, practices, and procedures for executive officers and all other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including executive officers, to evaluate and ensure that they did not foster risk-taking beyond that deemed acceptable within the Company's business model.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compensation awarded to, earned by, or paid to the NEOs, who served as executive officers during the year ended July 31, 2022, for services rendered as an executive officer to the Company and its subsidiaries during the years ended July 31, 2022, July 31, 2021 and July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Bonus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2"/>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 President, CEO &amp;</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1,608,387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3,968,554</w:t>
            </w:r>
          </w:p>
        </w:tc>
        <w:tc>
          <w:tcPr>
            <w:tcW w:w="0" w:type="dxa"/>
            <w:vAlign w:val="bottom"/>
          </w:tcPr>
          <w:p>
            <w:pPr>
              <w:spacing w:after="0"/>
              <w:rPr>
                <w:sz w:val="1"/>
                <w:szCs w:val="1"/>
                <w:color w:val="auto"/>
              </w:rPr>
            </w:pPr>
          </w:p>
        </w:tc>
      </w:tr>
      <w:tr>
        <w:trPr>
          <w:trHeight w:val="114"/>
        </w:trPr>
        <w:tc>
          <w:tcPr>
            <w:tcW w:w="21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400,151</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518,416</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225,005</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658,356</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63,909</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1,865,837</w:t>
            </w:r>
          </w:p>
        </w:tc>
        <w:tc>
          <w:tcPr>
            <w:tcW w:w="0" w:type="dxa"/>
            <w:vAlign w:val="bottom"/>
          </w:tcPr>
          <w:p>
            <w:pPr>
              <w:spacing w:after="0"/>
              <w:rPr>
                <w:sz w:val="1"/>
                <w:szCs w:val="1"/>
                <w:color w:val="auto"/>
              </w:rPr>
            </w:pPr>
          </w:p>
        </w:tc>
      </w:tr>
      <w:tr>
        <w:trPr>
          <w:trHeight w:val="143"/>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Director </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1,742,370</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747,388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2,164,792</w:t>
            </w:r>
          </w:p>
        </w:tc>
        <w:tc>
          <w:tcPr>
            <w:tcW w:w="0" w:type="dxa"/>
            <w:vAlign w:val="bottom"/>
          </w:tcPr>
          <w:p>
            <w:pPr>
              <w:spacing w:after="0"/>
              <w:rPr>
                <w:sz w:val="1"/>
                <w:szCs w:val="1"/>
                <w:color w:val="auto"/>
              </w:rPr>
            </w:pPr>
          </w:p>
        </w:tc>
      </w:tr>
      <w:tr>
        <w:trPr>
          <w:trHeight w:val="25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A.J. Pearce, CFO &amp; Treasurer</w:t>
            </w: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2,036,928</w:t>
            </w:r>
          </w:p>
        </w:tc>
        <w:tc>
          <w:tcPr>
            <w:tcW w:w="0" w:type="dxa"/>
            <w:vAlign w:val="bottom"/>
          </w:tcPr>
          <w:p>
            <w:pPr>
              <w:spacing w:after="0"/>
              <w:rPr>
                <w:sz w:val="1"/>
                <w:szCs w:val="1"/>
                <w:color w:val="auto"/>
              </w:rPr>
            </w:pPr>
          </w:p>
        </w:tc>
      </w:tr>
      <w:tr>
        <w:trPr>
          <w:trHeight w:val="259"/>
        </w:trPr>
        <w:tc>
          <w:tcPr>
            <w:tcW w:w="21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717,883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1,520,495</w:t>
            </w:r>
          </w:p>
        </w:tc>
        <w:tc>
          <w:tcPr>
            <w:tcW w:w="0" w:type="dxa"/>
            <w:vAlign w:val="bottom"/>
          </w:tcPr>
          <w:p>
            <w:pPr>
              <w:spacing w:after="0"/>
              <w:rPr>
                <w:sz w:val="1"/>
                <w:szCs w:val="1"/>
                <w:color w:val="auto"/>
              </w:rPr>
            </w:pPr>
          </w:p>
        </w:tc>
      </w:tr>
      <w:tr>
        <w:trPr>
          <w:trHeight w:val="25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B.N. Curran, VP, Digital</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906,658</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and Chief Information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928,741</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644,959</w:t>
            </w:r>
          </w:p>
        </w:tc>
        <w:tc>
          <w:tcPr>
            <w:tcW w:w="0" w:type="dxa"/>
            <w:vAlign w:val="bottom"/>
          </w:tcPr>
          <w:p>
            <w:pPr>
              <w:spacing w:after="0"/>
              <w:rPr>
                <w:sz w:val="1"/>
                <w:szCs w:val="1"/>
                <w:color w:val="auto"/>
              </w:rPr>
            </w:pPr>
          </w:p>
        </w:tc>
      </w:tr>
      <w:tr>
        <w:trPr>
          <w:trHeight w:val="97"/>
        </w:trPr>
        <w:tc>
          <w:tcPr>
            <w:tcW w:w="2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 Deman, Vice President and</w:t>
            </w: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300,456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73,161</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561,703</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Manager, Workplace</w:t>
            </w: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627,686</w:t>
            </w:r>
          </w:p>
        </w:tc>
        <w:tc>
          <w:tcPr>
            <w:tcW w:w="0" w:type="dxa"/>
            <w:vAlign w:val="bottom"/>
          </w:tcPr>
          <w:p>
            <w:pPr>
              <w:spacing w:after="0"/>
              <w:rPr>
                <w:sz w:val="1"/>
                <w:szCs w:val="1"/>
                <w:color w:val="auto"/>
              </w:rPr>
            </w:pPr>
          </w:p>
        </w:tc>
      </w:tr>
      <w:tr>
        <w:trPr>
          <w:trHeight w:val="25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Safety </w:t>
            </w:r>
            <w:r>
              <w:rPr>
                <w:rFonts w:ascii="Times New Roman" w:cs="Times New Roman" w:eastAsia="Times New Roman" w:hAnsi="Times New Roman"/>
                <w:sz w:val="21"/>
                <w:szCs w:val="21"/>
                <w:color w:val="auto"/>
                <w:vertAlign w:val="superscript"/>
              </w:rPr>
              <w:t>(6)</w:t>
            </w:r>
          </w:p>
        </w:tc>
        <w:tc>
          <w:tcPr>
            <w:tcW w:w="7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271,153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176,366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66,510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654,116</w:t>
            </w:r>
          </w:p>
        </w:tc>
        <w:tc>
          <w:tcPr>
            <w:tcW w:w="0" w:type="dxa"/>
            <w:vAlign w:val="bottom"/>
          </w:tcPr>
          <w:p>
            <w:pPr>
              <w:spacing w:after="0"/>
              <w:rPr>
                <w:sz w:val="1"/>
                <w:szCs w:val="1"/>
                <w:color w:val="auto"/>
              </w:rPr>
            </w:pPr>
          </w:p>
        </w:tc>
      </w:tr>
      <w:tr>
        <w:trPr>
          <w:trHeight w:val="51"/>
        </w:trPr>
        <w:tc>
          <w:tcPr>
            <w:tcW w:w="21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gridSpan w:val="2"/>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Gorman, General Counsel</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866,067</w:t>
            </w:r>
          </w:p>
        </w:tc>
        <w:tc>
          <w:tcPr>
            <w:tcW w:w="0" w:type="dxa"/>
            <w:vAlign w:val="bottom"/>
          </w:tcPr>
          <w:p>
            <w:pPr>
              <w:spacing w:after="0"/>
              <w:rPr>
                <w:sz w:val="1"/>
                <w:szCs w:val="1"/>
                <w:color w:val="auto"/>
              </w:rPr>
            </w:pPr>
          </w:p>
        </w:tc>
      </w:tr>
      <w:tr>
        <w:trPr>
          <w:trHeight w:val="100"/>
        </w:trPr>
        <w:tc>
          <w:tcPr>
            <w:tcW w:w="2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176,648</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76,675</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254,135</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46,289</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853,747</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and Secretary </w:t>
            </w:r>
            <w:r>
              <w:rPr>
                <w:rFonts w:ascii="Times New Roman" w:cs="Times New Roman" w:eastAsia="Times New Roman" w:hAnsi="Times New Roman"/>
                <w:sz w:val="21"/>
                <w:szCs w:val="21"/>
                <w:color w:val="auto"/>
                <w:vertAlign w:val="superscript"/>
              </w:rPr>
              <w:t>(7)</w:t>
            </w: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403,460</w:t>
            </w:r>
          </w:p>
        </w:tc>
        <w:tc>
          <w:tcPr>
            <w:tcW w:w="0" w:type="dxa"/>
            <w:vAlign w:val="bottom"/>
          </w:tcPr>
          <w:p>
            <w:pPr>
              <w:spacing w:after="0"/>
              <w:rPr>
                <w:sz w:val="1"/>
                <w:szCs w:val="1"/>
                <w:color w:val="auto"/>
              </w:rPr>
            </w:pPr>
          </w:p>
        </w:tc>
      </w:tr>
      <w:tr>
        <w:trPr>
          <w:trHeight w:val="233"/>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J.M. Nauman, Former</w:t>
            </w: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775,131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2,368,934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951,028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254,147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5,196,015</w:t>
            </w:r>
          </w:p>
        </w:tc>
        <w:tc>
          <w:tcPr>
            <w:tcW w:w="0" w:type="dxa"/>
            <w:vAlign w:val="bottom"/>
          </w:tcPr>
          <w:p>
            <w:pPr>
              <w:spacing w:after="0"/>
              <w:rPr>
                <w:sz w:val="1"/>
                <w:szCs w:val="1"/>
                <w:color w:val="auto"/>
              </w:rPr>
            </w:pPr>
          </w:p>
        </w:tc>
      </w:tr>
      <w:tr>
        <w:trPr>
          <w:trHeight w:val="101"/>
        </w:trPr>
        <w:tc>
          <w:tcPr>
            <w:tcW w:w="2140" w:type="dxa"/>
            <w:vAlign w:val="bottom"/>
            <w:vMerge w:val="continue"/>
          </w:tcPr>
          <w:p>
            <w:pPr>
              <w:spacing w:after="0"/>
              <w:rPr>
                <w:sz w:val="8"/>
                <w:szCs w:val="8"/>
                <w:color w:val="auto"/>
              </w:rPr>
            </w:pPr>
          </w:p>
        </w:tc>
        <w:tc>
          <w:tcPr>
            <w:tcW w:w="7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830,180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2,303,848</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1,758,146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114,006</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6,006,185</w:t>
            </w:r>
          </w:p>
        </w:tc>
        <w:tc>
          <w:tcPr>
            <w:tcW w:w="0" w:type="dxa"/>
            <w:vAlign w:val="bottom"/>
          </w:tcPr>
          <w:p>
            <w:pPr>
              <w:spacing w:after="0"/>
              <w:rPr>
                <w:sz w:val="1"/>
                <w:szCs w:val="1"/>
                <w:color w:val="auto"/>
              </w:rPr>
            </w:pPr>
          </w:p>
        </w:tc>
      </w:tr>
      <w:tr>
        <w:trPr>
          <w:trHeight w:val="156"/>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President, CEO &amp; Director</w:t>
            </w: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tcPr>
          <w:p>
            <w:pPr>
              <w:spacing w:after="0"/>
              <w:rPr>
                <w:sz w:val="4"/>
                <w:szCs w:val="4"/>
                <w:color w:val="auto"/>
              </w:rPr>
            </w:pPr>
          </w:p>
        </w:tc>
        <w:tc>
          <w:tcPr>
            <w:tcW w:w="7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852,810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2,447,083</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1,000,001</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212,049</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4,511,943</w:t>
            </w:r>
          </w:p>
        </w:tc>
        <w:tc>
          <w:tcPr>
            <w:tcW w:w="0" w:type="dxa"/>
            <w:vAlign w:val="bottom"/>
          </w:tcPr>
          <w:p>
            <w:pPr>
              <w:spacing w:after="0"/>
              <w:rPr>
                <w:sz w:val="1"/>
                <w:szCs w:val="1"/>
                <w:color w:val="auto"/>
              </w:rPr>
            </w:pPr>
          </w:p>
        </w:tc>
      </w:tr>
      <w:tr>
        <w:trPr>
          <w:trHeight w:val="205"/>
        </w:trPr>
        <w:tc>
          <w:tcPr>
            <w:tcW w:w="21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H.R. Nelligan, Former Senior</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670,281</w:t>
            </w:r>
          </w:p>
        </w:tc>
        <w:tc>
          <w:tcPr>
            <w:tcW w:w="0" w:type="dxa"/>
            <w:vAlign w:val="bottom"/>
          </w:tcPr>
          <w:p>
            <w:pPr>
              <w:spacing w:after="0"/>
              <w:rPr>
                <w:sz w:val="1"/>
                <w:szCs w:val="1"/>
                <w:color w:val="auto"/>
              </w:rPr>
            </w:pPr>
          </w:p>
        </w:tc>
      </w:tr>
      <w:tr>
        <w:trPr>
          <w:trHeight w:val="100"/>
        </w:trPr>
        <w:tc>
          <w:tcPr>
            <w:tcW w:w="2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326,290</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230,427</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100,004</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276,405</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988,027</w:t>
            </w:r>
          </w:p>
        </w:tc>
        <w:tc>
          <w:tcPr>
            <w:tcW w:w="0" w:type="dxa"/>
            <w:vAlign w:val="bottom"/>
          </w:tcPr>
          <w:p>
            <w:pPr>
              <w:spacing w:after="0"/>
              <w:rPr>
                <w:sz w:val="1"/>
                <w:szCs w:val="1"/>
                <w:color w:val="auto"/>
              </w:rPr>
            </w:pPr>
          </w:p>
        </w:tc>
      </w:tr>
      <w:tr>
        <w:trPr>
          <w:trHeight w:val="156"/>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VP, Human Resources</w:t>
            </w: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335,185</w:t>
            </w: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244,797</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100,004</w:t>
            </w: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751,118</w:t>
            </w:r>
          </w:p>
        </w:tc>
        <w:tc>
          <w:tcPr>
            <w:tcW w:w="0" w:type="dxa"/>
            <w:vAlign w:val="bottom"/>
          </w:tcPr>
          <w:p>
            <w:pPr>
              <w:spacing w:after="0"/>
              <w:rPr>
                <w:sz w:val="1"/>
                <w:szCs w:val="1"/>
                <w:color w:val="auto"/>
              </w:rPr>
            </w:pPr>
          </w:p>
        </w:tc>
      </w:tr>
      <w:tr>
        <w:trPr>
          <w:trHeight w:val="205"/>
        </w:trPr>
        <w:tc>
          <w:tcPr>
            <w:tcW w:w="2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2"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RSUs and PRSUs computed in accordance with accounting guidance for equity grants made or modified in the applicable year. The grant date fair value of RSUs is calculated based on the number of shares of Class A Common Stock underlying the RSUs times the average of the high and low stock price of Class A Common Stock on the date of grant. The grant date fair value of PRSUs with a TSR metric was calculated based on the number of shares of Class A Common Stock underlying the PRSUs (at target), times the fair value per unit derived from a third-party valuation using a Monte Carlo simulation due to the presence of a market condition in the award. The grant date fair value of PRSUs with revenue performance conditions was calculated based on the number of shares of Class A Common Stock underlying the award times the average of the high and low stock price of Class A Common Stock on the date of grant. The actual value of a RSU will depend on the market value of the Class A Common Stock on the date the stock is sold. The table reflects the grant date fair value at target for PRSUs (100%).</w:t>
      </w:r>
    </w:p>
    <w:p>
      <w:pPr>
        <w:spacing w:after="0" w:line="6"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stock options computed in accordance with accounting guidance for equity grants made or modified in the applicable year. The assumptions used to determine the value of the awards, including the use of the Black-Scholes method of valuation by the Company, are discussed in Note 1 of the Notes to Consolidated Financial Statements contained in Item 8 of this Annual Report on Form 10-K, for the year ended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July 31, 2022. The actual value, if any, which an option holder will realize upon the exercise of an option will depend on the excess of the market value of the Class A Common Stock over the exercise price on the date the option is exercised.</w:t>
      </w: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incentives earned during the listed fiscal years, which was paid during the next fiscal year.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'All Other Compensation' column include: matching contributions to the Company’s Matched 401(k) Plan, Funded Retirement Plan and Restoration Plan, the cost of group term life insurance, company car or car allowance, the cost of long-term care insurance, the cost of disability insurance and other perquisites. The perquisites may include annual allowances for financial and tax planning and the cost of personal liability insurance. Refer to the table following these footnotes.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appointment to President, Chief Executive Officer and Director on April 1, 2022, Mr. Shaller was awarded $760,500 of stock options and $760,500 of RSUs. In addition, Mr. Shaller was granted a $250,000 RSU award.</w:t>
      </w:r>
    </w:p>
    <w:p>
      <w:pPr>
        <w:ind w:left="660" w:hanging="328"/>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Deman's compensation is denominated in Euros. The amounts shown in U.S. dollars in the table above were converted from Euro at the average exchange rate for fiscal 2022: 1 EUR = 1.1143 USD, fiscal 2021: 1 EUR = 1.1960 USD and fiscal 2020: 1 EUR = 1.1073 USD.</w:t>
      </w: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Mr. Gorman joined Brady on April 6, 2020, he was granted a $250,000 RSU award and a $50,000 hiring bonus.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Group Term</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All Other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Company Car</w:t>
            </w:r>
          </w:p>
        </w:tc>
        <w:tc>
          <w:tcPr>
            <w:tcW w:w="122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Disability</w:t>
            </w:r>
          </w:p>
        </w:tc>
        <w:tc>
          <w:tcPr>
            <w:tcW w:w="22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1220" w:type="dxa"/>
            <w:vAlign w:val="bottom"/>
            <w:gridSpan w:val="3"/>
            <w:vMerge w:val="continue"/>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Life Insurance</w:t>
            </w:r>
          </w:p>
        </w:tc>
        <w:tc>
          <w:tcPr>
            <w:tcW w:w="12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Care Insurance</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214"/>
        </w:trPr>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5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2"/>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119,055</w:t>
            </w:r>
          </w:p>
        </w:tc>
        <w:tc>
          <w:tcPr>
            <w:tcW w:w="0" w:type="dxa"/>
            <w:vAlign w:val="bottom"/>
          </w:tcPr>
          <w:p>
            <w:pPr>
              <w:spacing w:after="0"/>
              <w:rPr>
                <w:sz w:val="1"/>
                <w:szCs w:val="1"/>
                <w:color w:val="auto"/>
              </w:rPr>
            </w:pPr>
          </w:p>
        </w:tc>
      </w:tr>
      <w:tr>
        <w:trPr>
          <w:trHeight w:val="25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63,909</w:t>
            </w:r>
          </w:p>
        </w:tc>
        <w:tc>
          <w:tcPr>
            <w:tcW w:w="0" w:type="dxa"/>
            <w:vAlign w:val="bottom"/>
          </w:tcPr>
          <w:p>
            <w:pPr>
              <w:spacing w:after="0"/>
              <w:rPr>
                <w:sz w:val="1"/>
                <w:szCs w:val="1"/>
                <w:color w:val="auto"/>
              </w:rPr>
            </w:pPr>
          </w:p>
        </w:tc>
      </w:tr>
      <w:tr>
        <w:trPr>
          <w:trHeight w:val="259"/>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57,811</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18,692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88,036</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80,309</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106,724</w:t>
            </w:r>
          </w:p>
        </w:tc>
        <w:tc>
          <w:tcPr>
            <w:tcW w:w="0" w:type="dxa"/>
            <w:vAlign w:val="bottom"/>
          </w:tcPr>
          <w:p>
            <w:pPr>
              <w:spacing w:after="0"/>
              <w:rPr>
                <w:sz w:val="1"/>
                <w:szCs w:val="1"/>
                <w:color w:val="auto"/>
              </w:rPr>
            </w:pPr>
          </w:p>
        </w:tc>
      </w:tr>
      <w:tr>
        <w:trPr>
          <w:trHeight w:val="257"/>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A.J. Pearce</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59,277</w:t>
            </w:r>
          </w:p>
        </w:tc>
        <w:tc>
          <w:tcPr>
            <w:tcW w:w="0" w:type="dxa"/>
            <w:vAlign w:val="bottom"/>
          </w:tcPr>
          <w:p>
            <w:pPr>
              <w:spacing w:after="0"/>
              <w:rPr>
                <w:sz w:val="1"/>
                <w:szCs w:val="1"/>
                <w:color w:val="auto"/>
              </w:rPr>
            </w:pPr>
          </w:p>
        </w:tc>
      </w:tr>
      <w:tr>
        <w:trPr>
          <w:trHeight w:val="259"/>
        </w:trPr>
        <w:tc>
          <w:tcPr>
            <w:tcW w:w="1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57,909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18,692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85,399</w:t>
            </w:r>
          </w:p>
        </w:tc>
        <w:tc>
          <w:tcPr>
            <w:tcW w:w="0" w:type="dxa"/>
            <w:vAlign w:val="bottom"/>
          </w:tcPr>
          <w:p>
            <w:pPr>
              <w:spacing w:after="0"/>
              <w:rPr>
                <w:sz w:val="1"/>
                <w:szCs w:val="1"/>
                <w:color w:val="auto"/>
              </w:rPr>
            </w:pPr>
          </w:p>
        </w:tc>
      </w:tr>
      <w:tr>
        <w:trPr>
          <w:trHeight w:val="233"/>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93,838</w:t>
            </w:r>
          </w:p>
        </w:tc>
        <w:tc>
          <w:tcPr>
            <w:tcW w:w="0" w:type="dxa"/>
            <w:vAlign w:val="bottom"/>
          </w:tcPr>
          <w:p>
            <w:pPr>
              <w:spacing w:after="0"/>
              <w:rPr>
                <w:sz w:val="1"/>
                <w:szCs w:val="1"/>
                <w:color w:val="auto"/>
              </w:rPr>
            </w:pPr>
          </w:p>
        </w:tc>
      </w:tr>
      <w:tr>
        <w:trPr>
          <w:trHeight w:val="257"/>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B.N. Curran</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0" w:type="dxa"/>
            <w:vAlign w:val="bottom"/>
          </w:tcPr>
          <w:p>
            <w:pPr>
              <w:spacing w:after="0"/>
              <w:rPr>
                <w:sz w:val="1"/>
                <w:szCs w:val="1"/>
                <w:color w:val="auto"/>
              </w:rPr>
            </w:pPr>
          </w:p>
        </w:tc>
      </w:tr>
      <w:tr>
        <w:trPr>
          <w:trHeight w:val="260"/>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48,564</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18,692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89,474</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36,529</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26,827</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73,161</w:t>
            </w:r>
          </w:p>
        </w:tc>
        <w:tc>
          <w:tcPr>
            <w:tcW w:w="0" w:type="dxa"/>
            <w:vAlign w:val="bottom"/>
          </w:tcPr>
          <w:p>
            <w:pPr>
              <w:spacing w:after="0"/>
              <w:rPr>
                <w:sz w:val="1"/>
                <w:szCs w:val="1"/>
                <w:color w:val="auto"/>
              </w:rPr>
            </w:pPr>
          </w:p>
        </w:tc>
      </w:tr>
      <w:tr>
        <w:trPr>
          <w:trHeight w:val="257"/>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 Deman</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10,119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26,794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75,595</w:t>
            </w:r>
          </w:p>
        </w:tc>
        <w:tc>
          <w:tcPr>
            <w:tcW w:w="0" w:type="dxa"/>
            <w:vAlign w:val="bottom"/>
          </w:tcPr>
          <w:p>
            <w:pPr>
              <w:spacing w:after="0"/>
              <w:rPr>
                <w:sz w:val="1"/>
                <w:szCs w:val="1"/>
                <w:color w:val="auto"/>
              </w:rPr>
            </w:pPr>
          </w:p>
        </w:tc>
      </w:tr>
      <w:tr>
        <w:trPr>
          <w:trHeight w:val="259"/>
        </w:trPr>
        <w:tc>
          <w:tcPr>
            <w:tcW w:w="1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22,285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66,510</w:t>
            </w: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72,478</w:t>
            </w:r>
          </w:p>
        </w:tc>
        <w:tc>
          <w:tcPr>
            <w:tcW w:w="0" w:type="dxa"/>
            <w:vAlign w:val="bottom"/>
          </w:tcPr>
          <w:p>
            <w:pPr>
              <w:spacing w:after="0"/>
              <w:rPr>
                <w:sz w:val="1"/>
                <w:szCs w:val="1"/>
                <w:color w:val="auto"/>
              </w:rPr>
            </w:pPr>
          </w:p>
        </w:tc>
      </w:tr>
      <w:tr>
        <w:trPr>
          <w:trHeight w:val="25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Gorman</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46,289</w:t>
            </w:r>
          </w:p>
        </w:tc>
        <w:tc>
          <w:tcPr>
            <w:tcW w:w="0" w:type="dxa"/>
            <w:vAlign w:val="bottom"/>
          </w:tcPr>
          <w:p>
            <w:pPr>
              <w:spacing w:after="0"/>
              <w:rPr>
                <w:sz w:val="1"/>
                <w:szCs w:val="1"/>
                <w:color w:val="auto"/>
              </w:rPr>
            </w:pPr>
          </w:p>
        </w:tc>
      </w:tr>
      <w:tr>
        <w:trPr>
          <w:trHeight w:val="260"/>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208,309</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16,269</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254,147</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J.M. Nauman</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114,006</w:t>
            </w:r>
          </w:p>
        </w:tc>
        <w:tc>
          <w:tcPr>
            <w:tcW w:w="0" w:type="dxa"/>
            <w:vAlign w:val="bottom"/>
          </w:tcPr>
          <w:p>
            <w:pPr>
              <w:spacing w:after="0"/>
              <w:rPr>
                <w:sz w:val="1"/>
                <w:szCs w:val="1"/>
                <w:color w:val="auto"/>
              </w:rPr>
            </w:pPr>
          </w:p>
        </w:tc>
      </w:tr>
      <w:tr>
        <w:trPr>
          <w:trHeight w:val="260"/>
        </w:trPr>
        <w:tc>
          <w:tcPr>
            <w:tcW w:w="1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167,984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18,692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212,049</w:t>
            </w:r>
          </w:p>
        </w:tc>
        <w:tc>
          <w:tcPr>
            <w:tcW w:w="0" w:type="dxa"/>
            <w:vAlign w:val="bottom"/>
          </w:tcPr>
          <w:p>
            <w:pPr>
              <w:spacing w:after="0"/>
              <w:rPr>
                <w:sz w:val="1"/>
                <w:szCs w:val="1"/>
                <w:color w:val="auto"/>
              </w:rPr>
            </w:pPr>
          </w:p>
        </w:tc>
      </w:tr>
      <w:tr>
        <w:trPr>
          <w:trHeight w:val="233"/>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80,251</w:t>
            </w:r>
          </w:p>
        </w:tc>
        <w:tc>
          <w:tcPr>
            <w:tcW w:w="0" w:type="dxa"/>
            <w:vAlign w:val="bottom"/>
          </w:tcPr>
          <w:p>
            <w:pPr>
              <w:spacing w:after="0"/>
              <w:rPr>
                <w:sz w:val="1"/>
                <w:szCs w:val="1"/>
                <w:color w:val="auto"/>
              </w:rPr>
            </w:pPr>
          </w:p>
        </w:tc>
      </w:tr>
      <w:tr>
        <w:trPr>
          <w:trHeight w:val="257"/>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H.R. Nelligan</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0" w:type="dxa"/>
            <w:vAlign w:val="bottom"/>
          </w:tcPr>
          <w:p>
            <w:pPr>
              <w:spacing w:after="0"/>
              <w:rPr>
                <w:sz w:val="1"/>
                <w:szCs w:val="1"/>
                <w:color w:val="auto"/>
              </w:rPr>
            </w:pPr>
          </w:p>
        </w:tc>
      </w:tr>
      <w:tr>
        <w:trPr>
          <w:trHeight w:val="259"/>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41,127</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18,692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for 2022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grants of plan-based awards made during fiscal 2022 to the NEOs.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6"/>
              </w:rPr>
              <w:t>Estimated Future Payouts Under Non-</w:t>
            </w: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2"/>
                <w:szCs w:val="12"/>
                <w:b w:val="1"/>
                <w:bCs w:val="1"/>
                <w:color w:val="auto"/>
              </w:rPr>
              <w:t>Equity</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Incentive Plan Awards (1)</w:t>
            </w:r>
          </w:p>
        </w:tc>
        <w:tc>
          <w:tcPr>
            <w:tcW w:w="0" w:type="dxa"/>
            <w:vAlign w:val="bottom"/>
          </w:tcPr>
          <w:p>
            <w:pPr>
              <w:spacing w:after="0"/>
              <w:rPr>
                <w:sz w:val="1"/>
                <w:szCs w:val="1"/>
                <w:color w:val="auto"/>
              </w:rPr>
            </w:pPr>
          </w:p>
        </w:tc>
      </w:tr>
      <w:tr>
        <w:trPr>
          <w:trHeight w:val="29"/>
        </w:trPr>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0" w:type="dxa"/>
            <w:vAlign w:val="bottom"/>
          </w:tcPr>
          <w:p>
            <w:pPr>
              <w:spacing w:after="0" w:line="20" w:lineRule="exact"/>
              <w:rPr>
                <w:sz w:val="1"/>
                <w:szCs w:val="1"/>
                <w:color w:val="auto"/>
              </w:rPr>
            </w:pPr>
          </w:p>
        </w:tc>
      </w:tr>
      <w:tr>
        <w:trPr>
          <w:trHeight w:val="118"/>
        </w:trPr>
        <w:tc>
          <w:tcPr>
            <w:tcW w:w="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00" w:type="dxa"/>
            <w:vAlign w:val="bottom"/>
            <w:vMerge w:val="restart"/>
          </w:tcPr>
          <w:p>
            <w:pPr>
              <w:spacing w:after="0"/>
              <w:rPr>
                <w:sz w:val="10"/>
                <w:szCs w:val="10"/>
                <w:color w:val="auto"/>
              </w:rPr>
            </w:pPr>
          </w:p>
        </w:tc>
        <w:tc>
          <w:tcPr>
            <w:tcW w:w="11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5"/>
              </w:rPr>
              <w:t>Committee</w:t>
            </w:r>
          </w:p>
        </w:tc>
        <w:tc>
          <w:tcPr>
            <w:tcW w:w="720" w:type="dxa"/>
            <w:vAlign w:val="bottom"/>
            <w:gridSpan w:val="2"/>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Target ($)</w:t>
            </w:r>
          </w:p>
        </w:tc>
        <w:tc>
          <w:tcPr>
            <w:tcW w:w="100" w:type="dxa"/>
            <w:vAlign w:val="bottom"/>
            <w:vMerge w:val="restart"/>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Approval Date</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R.R. Shaller</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  402,049</w:t>
            </w:r>
          </w:p>
        </w:tc>
        <w:tc>
          <w:tcPr>
            <w:tcW w:w="1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   1,206,147</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4/1/2022</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3/15/2022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4/1/2022</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3/15/2022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4/1/2022</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3/15/2022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A.J. Pearce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319,900</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959,700</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B.N. Curran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195,900</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587,700</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P. Deman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153,508</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460,524</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A.T. Gorman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155,250</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465,750</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J.M. Nauman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592,150</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1,776,450</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H.R. Nelligan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169,000</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507,000</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8/2/2021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9/16/2021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7/19/2021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Estimated Future Payouts Under</w:t>
      </w:r>
    </w:p>
    <w:p>
      <w:pPr>
        <w:ind w:left="300"/>
        <w:spacing w:after="0"/>
        <w:rPr>
          <w:sz w:val="20"/>
          <w:szCs w:val="20"/>
          <w:color w:val="auto"/>
        </w:rPr>
      </w:pPr>
      <w:r>
        <w:rPr>
          <w:rFonts w:ascii="Times New Roman" w:cs="Times New Roman" w:eastAsia="Times New Roman" w:hAnsi="Times New Roman"/>
          <w:sz w:val="12"/>
          <w:szCs w:val="12"/>
          <w:b w:val="1"/>
          <w:bCs w:val="1"/>
          <w:color w:val="auto"/>
        </w:rPr>
        <w:t>Equity Incentive Plan Awards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48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Target (#)</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r>
      <w:tr>
        <w:trPr>
          <w:trHeight w:val="331"/>
        </w:trPr>
        <w:tc>
          <w:tcPr>
            <w:tcW w:w="7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24"/>
                <w:szCs w:val="24"/>
                <w:color w:val="auto"/>
              </w:rPr>
            </w:pPr>
          </w:p>
        </w:tc>
        <w:tc>
          <w:tcPr>
            <w:tcW w:w="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2,897</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5,794</w:t>
            </w:r>
          </w:p>
        </w:tc>
      </w:tr>
      <w:tr>
        <w:trPr>
          <w:trHeight w:val="176"/>
        </w:trPr>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2,897</w:t>
            </w: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-329565</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-98425</wp:posOffset>
            </wp:positionV>
            <wp:extent cx="7132320" cy="111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123825</wp:posOffset>
            </wp:positionV>
            <wp:extent cx="713232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346710</wp:posOffset>
            </wp:positionV>
            <wp:extent cx="713232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569595</wp:posOffset>
            </wp:positionV>
            <wp:extent cx="713232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20" w:type="dxa"/>
        <w:tblCellMar>
          <w:top w:w="0" w:type="dxa"/>
          <w:left w:w="0" w:type="dxa"/>
          <w:bottom w:w="0" w:type="dxa"/>
          <w:right w:w="0" w:type="dxa"/>
        </w:tblCellMar>
      </w:tblPr>
      <w:tr>
        <w:trPr>
          <w:trHeight w:val="150"/>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906</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3,622</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w:t>
            </w:r>
          </w:p>
        </w:tc>
      </w:tr>
      <w:tr>
        <w:trPr>
          <w:trHeight w:val="175"/>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906</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3,622</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w:t>
            </w:r>
          </w:p>
        </w:tc>
      </w:tr>
      <w:tr>
        <w:trPr>
          <w:trHeight w:val="702"/>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181</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725</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r>
      <w:tr>
        <w:trPr>
          <w:trHeight w:val="175"/>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181</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725</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r>
      <w:tr>
        <w:trPr>
          <w:trHeight w:val="702"/>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113</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453</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w:t>
            </w:r>
          </w:p>
        </w:tc>
      </w:tr>
      <w:tr>
        <w:trPr>
          <w:trHeight w:val="175"/>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113</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453</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w:t>
            </w:r>
          </w:p>
        </w:tc>
      </w:tr>
      <w:tr>
        <w:trPr>
          <w:trHeight w:val="702"/>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229</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915</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1,830</w:t>
            </w:r>
          </w:p>
        </w:tc>
      </w:tr>
      <w:tr>
        <w:trPr>
          <w:trHeight w:val="175"/>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229</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915</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1,830</w:t>
            </w:r>
          </w:p>
        </w:tc>
      </w:tr>
      <w:tr>
        <w:trPr>
          <w:trHeight w:val="702"/>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88"/>
              </w:rPr>
              <w:t>2,870</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11,480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22,960</w:t>
            </w:r>
          </w:p>
        </w:tc>
      </w:tr>
      <w:tr>
        <w:trPr>
          <w:trHeight w:val="175"/>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88"/>
              </w:rPr>
              <w:t>2,870</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11,480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22,960</w:t>
            </w:r>
          </w:p>
        </w:tc>
      </w:tr>
      <w:tr>
        <w:trPr>
          <w:trHeight w:val="702"/>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272</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1,087</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2,174</w:t>
            </w:r>
          </w:p>
        </w:tc>
      </w:tr>
      <w:tr>
        <w:trPr>
          <w:trHeight w:val="175"/>
        </w:trPr>
        <w:tc>
          <w:tcPr>
            <w:tcW w:w="4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272</w:t>
            </w: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1,087</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-2884170</wp:posOffset>
            </wp:positionV>
            <wp:extent cx="7132320" cy="111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-2661285</wp:posOffset>
            </wp:positionV>
            <wp:extent cx="7132320" cy="111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-2438400</wp:posOffset>
            </wp:positionV>
            <wp:extent cx="7132320" cy="111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-2215515</wp:posOffset>
            </wp:positionV>
            <wp:extent cx="7132320" cy="111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-1992630</wp:posOffset>
            </wp:positionV>
            <wp:extent cx="7132320"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-1769745</wp:posOffset>
            </wp:positionV>
            <wp:extent cx="7132320"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-1546860</wp:posOffset>
            </wp:positionV>
            <wp:extent cx="7132320"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-1323975</wp:posOffset>
            </wp:positionV>
            <wp:extent cx="7132320" cy="111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-1101090</wp:posOffset>
            </wp:positionV>
            <wp:extent cx="7132320"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-878205</wp:posOffset>
            </wp:positionV>
            <wp:extent cx="7132320" cy="111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-655320</wp:posOffset>
            </wp:positionV>
            <wp:extent cx="7132320" cy="1111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-432435</wp:posOffset>
            </wp:positionV>
            <wp:extent cx="7132320"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-209550</wp:posOffset>
            </wp:positionV>
            <wp:extent cx="7132320"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12700</wp:posOffset>
            </wp:positionV>
            <wp:extent cx="7132320"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Exercise or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00" w:type="dxa"/>
            <w:vAlign w:val="bottom"/>
            <w:gridSpan w:val="2"/>
            <w:vMerge w:val="continue"/>
          </w:tcPr>
          <w:p>
            <w:pPr>
              <w:spacing w:after="0"/>
              <w:rPr>
                <w:sz w:val="10"/>
                <w:szCs w:val="10"/>
                <w:color w:val="auto"/>
              </w:rPr>
            </w:pPr>
          </w:p>
        </w:tc>
        <w:tc>
          <w:tcPr>
            <w:tcW w:w="9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Grant Date Fair</w:t>
            </w:r>
          </w:p>
        </w:tc>
        <w:tc>
          <w:tcPr>
            <w:tcW w:w="0" w:type="dxa"/>
            <w:vAlign w:val="bottom"/>
          </w:tcPr>
          <w:p>
            <w:pPr>
              <w:spacing w:after="0"/>
              <w:rPr>
                <w:sz w:val="1"/>
                <w:szCs w:val="1"/>
                <w:color w:val="auto"/>
              </w:rPr>
            </w:pPr>
          </w:p>
        </w:tc>
      </w:tr>
      <w:tr>
        <w:trPr>
          <w:trHeight w:val="122"/>
        </w:trPr>
        <w:tc>
          <w:tcPr>
            <w:tcW w:w="9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5"/>
              </w:rPr>
              <w:t>Stock Awards:</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2"/>
                <w:szCs w:val="12"/>
                <w:b w:val="1"/>
                <w:bCs w:val="1"/>
                <w:color w:val="auto"/>
              </w:rPr>
              <w:t>Base Price of</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7"/>
              </w:rPr>
              <w:t>Stock or</w:t>
            </w:r>
          </w:p>
        </w:tc>
        <w:tc>
          <w:tcPr>
            <w:tcW w:w="8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Value of Stock</w:t>
            </w:r>
          </w:p>
        </w:tc>
        <w:tc>
          <w:tcPr>
            <w:tcW w:w="0" w:type="dxa"/>
            <w:vAlign w:val="bottom"/>
          </w:tcPr>
          <w:p>
            <w:pPr>
              <w:spacing w:after="0"/>
              <w:rPr>
                <w:sz w:val="1"/>
                <w:szCs w:val="1"/>
                <w:color w:val="auto"/>
              </w:rPr>
            </w:pPr>
          </w:p>
        </w:tc>
      </w:tr>
      <w:tr>
        <w:trPr>
          <w:trHeight w:val="108"/>
        </w:trPr>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9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100" w:type="dxa"/>
            <w:vAlign w:val="bottom"/>
          </w:tcPr>
          <w:p>
            <w:pPr>
              <w:spacing w:after="0"/>
              <w:rPr>
                <w:sz w:val="9"/>
                <w:szCs w:val="9"/>
                <w:color w:val="auto"/>
              </w:rPr>
            </w:pPr>
          </w:p>
        </w:tc>
        <w:tc>
          <w:tcPr>
            <w:tcW w:w="7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20" w:type="dxa"/>
            <w:vAlign w:val="bottom"/>
          </w:tcPr>
          <w:p>
            <w:pPr>
              <w:spacing w:after="0"/>
              <w:rPr>
                <w:sz w:val="9"/>
                <w:szCs w:val="9"/>
                <w:color w:val="auto"/>
              </w:rPr>
            </w:pPr>
          </w:p>
        </w:tc>
        <w:tc>
          <w:tcPr>
            <w:tcW w:w="740" w:type="dxa"/>
            <w:vAlign w:val="bottom"/>
          </w:tcPr>
          <w:p>
            <w:pPr>
              <w:jc w:val="center"/>
              <w:ind w:right="42"/>
              <w:spacing w:after="0" w:line="108" w:lineRule="exact"/>
              <w:rPr>
                <w:sz w:val="20"/>
                <w:szCs w:val="20"/>
                <w:color w:val="auto"/>
              </w:rPr>
            </w:pPr>
            <w:r>
              <w:rPr>
                <w:rFonts w:ascii="Times New Roman" w:cs="Times New Roman" w:eastAsia="Times New Roman" w:hAnsi="Times New Roman"/>
                <w:sz w:val="12"/>
                <w:szCs w:val="12"/>
                <w:b w:val="1"/>
                <w:bCs w:val="1"/>
                <w:color w:val="auto"/>
                <w:w w:val="95"/>
              </w:rPr>
              <w:t>and Option</w:t>
            </w:r>
          </w:p>
        </w:tc>
        <w:tc>
          <w:tcPr>
            <w:tcW w:w="0" w:type="dxa"/>
            <w:vAlign w:val="bottom"/>
          </w:tcPr>
          <w:p>
            <w:pPr>
              <w:spacing w:after="0"/>
              <w:rPr>
                <w:sz w:val="1"/>
                <w:szCs w:val="1"/>
                <w:color w:val="auto"/>
              </w:rPr>
            </w:pPr>
          </w:p>
        </w:tc>
      </w:tr>
      <w:tr>
        <w:trPr>
          <w:trHeight w:val="122"/>
        </w:trPr>
        <w:tc>
          <w:tcPr>
            <w:tcW w:w="9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Stock or Units</w:t>
            </w: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20" w:type="dxa"/>
            <w:vAlign w:val="bottom"/>
          </w:tcPr>
          <w:p>
            <w:pPr>
              <w:spacing w:after="0"/>
              <w:rPr>
                <w:sz w:val="10"/>
                <w:szCs w:val="10"/>
                <w:color w:val="auto"/>
              </w:rPr>
            </w:pPr>
          </w:p>
        </w:tc>
        <w:tc>
          <w:tcPr>
            <w:tcW w:w="740" w:type="dxa"/>
            <w:vAlign w:val="bottom"/>
          </w:tcPr>
          <w:p>
            <w:pPr>
              <w:jc w:val="center"/>
              <w:ind w:right="62"/>
              <w:spacing w:after="0" w:line="122"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0" w:type="dxa"/>
            <w:vAlign w:val="bottom"/>
          </w:tcPr>
          <w:p>
            <w:pPr>
              <w:spacing w:after="0"/>
              <w:rPr>
                <w:sz w:val="1"/>
                <w:szCs w:val="1"/>
                <w:color w:val="auto"/>
              </w:rPr>
            </w:pPr>
          </w:p>
        </w:tc>
      </w:tr>
      <w:tr>
        <w:trPr>
          <w:trHeight w:val="159"/>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(3)</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6"/>
              </w:rPr>
              <w:t>($) (4)</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328"/>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160,001</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197,807</w:t>
            </w:r>
          </w:p>
        </w:tc>
        <w:tc>
          <w:tcPr>
            <w:tcW w:w="0" w:type="dxa"/>
            <w:vAlign w:val="bottom"/>
          </w:tcPr>
          <w:p>
            <w:pPr>
              <w:spacing w:after="0"/>
              <w:rPr>
                <w:sz w:val="1"/>
                <w:szCs w:val="1"/>
                <w:color w:val="auto"/>
              </w:rPr>
            </w:pPr>
          </w:p>
        </w:tc>
      </w:tr>
      <w:tr>
        <w:trPr>
          <w:trHeight w:val="175"/>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4,821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240,038</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240,008</w:t>
            </w:r>
          </w:p>
        </w:tc>
        <w:tc>
          <w:tcPr>
            <w:tcW w:w="0" w:type="dxa"/>
            <w:vAlign w:val="bottom"/>
          </w:tcPr>
          <w:p>
            <w:pPr>
              <w:spacing w:after="0"/>
              <w:rPr>
                <w:sz w:val="1"/>
                <w:szCs w:val="1"/>
                <w:color w:val="auto"/>
              </w:rPr>
            </w:pPr>
          </w:p>
        </w:tc>
      </w:tr>
      <w:tr>
        <w:trPr>
          <w:trHeight w:val="175"/>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5,354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250,032</w:t>
            </w:r>
          </w:p>
        </w:tc>
        <w:tc>
          <w:tcPr>
            <w:tcW w:w="0" w:type="dxa"/>
            <w:vAlign w:val="bottom"/>
          </w:tcPr>
          <w:p>
            <w:pPr>
              <w:spacing w:after="0"/>
              <w:rPr>
                <w:sz w:val="1"/>
                <w:szCs w:val="1"/>
                <w:color w:val="auto"/>
              </w:rPr>
            </w:pPr>
          </w:p>
        </w:tc>
      </w:tr>
      <w:tr>
        <w:trPr>
          <w:trHeight w:val="176"/>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16,285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760,509</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60,928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760,497</w:t>
            </w:r>
          </w:p>
        </w:tc>
        <w:tc>
          <w:tcPr>
            <w:tcW w:w="0" w:type="dxa"/>
            <w:vAlign w:val="bottom"/>
          </w:tcPr>
          <w:p>
            <w:pPr>
              <w:spacing w:after="0"/>
              <w:rPr>
                <w:sz w:val="1"/>
                <w:szCs w:val="1"/>
                <w:color w:val="auto"/>
              </w:rPr>
            </w:pPr>
          </w:p>
        </w:tc>
      </w:tr>
      <w:tr>
        <w:trPr>
          <w:trHeight w:val="35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200,043</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247,310</w:t>
            </w:r>
          </w:p>
        </w:tc>
        <w:tc>
          <w:tcPr>
            <w:tcW w:w="0" w:type="dxa"/>
            <w:vAlign w:val="bottom"/>
          </w:tcPr>
          <w:p>
            <w:pPr>
              <w:spacing w:after="0"/>
              <w:rPr>
                <w:sz w:val="1"/>
                <w:szCs w:val="1"/>
                <w:color w:val="auto"/>
              </w:rPr>
            </w:pPr>
          </w:p>
        </w:tc>
      </w:tr>
      <w:tr>
        <w:trPr>
          <w:trHeight w:val="176"/>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6,026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300,035</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25,620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300,010</w:t>
            </w:r>
          </w:p>
        </w:tc>
        <w:tc>
          <w:tcPr>
            <w:tcW w:w="0" w:type="dxa"/>
            <w:vAlign w:val="bottom"/>
          </w:tcPr>
          <w:p>
            <w:pPr>
              <w:spacing w:after="0"/>
              <w:rPr>
                <w:sz w:val="1"/>
                <w:szCs w:val="1"/>
                <w:color w:val="auto"/>
              </w:rPr>
            </w:pPr>
          </w:p>
        </w:tc>
      </w:tr>
      <w:tr>
        <w:trPr>
          <w:trHeight w:val="35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40,042</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49,503</w:t>
            </w:r>
          </w:p>
        </w:tc>
        <w:tc>
          <w:tcPr>
            <w:tcW w:w="0" w:type="dxa"/>
            <w:vAlign w:val="bottom"/>
          </w:tcPr>
          <w:p>
            <w:pPr>
              <w:spacing w:after="0"/>
              <w:rPr>
                <w:sz w:val="1"/>
                <w:szCs w:val="1"/>
                <w:color w:val="auto"/>
              </w:rPr>
            </w:pPr>
          </w:p>
        </w:tc>
      </w:tr>
      <w:tr>
        <w:trPr>
          <w:trHeight w:val="176"/>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60,047</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60,002</w:t>
            </w:r>
          </w:p>
        </w:tc>
        <w:tc>
          <w:tcPr>
            <w:tcW w:w="0" w:type="dxa"/>
            <w:vAlign w:val="bottom"/>
          </w:tcPr>
          <w:p>
            <w:pPr>
              <w:spacing w:after="0"/>
              <w:rPr>
                <w:sz w:val="1"/>
                <w:szCs w:val="1"/>
                <w:color w:val="auto"/>
              </w:rPr>
            </w:pPr>
          </w:p>
        </w:tc>
      </w:tr>
      <w:tr>
        <w:trPr>
          <w:trHeight w:val="35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25,019</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30,931</w:t>
            </w:r>
          </w:p>
        </w:tc>
        <w:tc>
          <w:tcPr>
            <w:tcW w:w="0" w:type="dxa"/>
            <w:vAlign w:val="bottom"/>
          </w:tcPr>
          <w:p>
            <w:pPr>
              <w:spacing w:after="0"/>
              <w:rPr>
                <w:sz w:val="1"/>
                <w:szCs w:val="1"/>
                <w:color w:val="auto"/>
              </w:rPr>
            </w:pPr>
          </w:p>
        </w:tc>
      </w:tr>
      <w:tr>
        <w:trPr>
          <w:trHeight w:val="176"/>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37,542</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37,507</w:t>
            </w:r>
          </w:p>
        </w:tc>
        <w:tc>
          <w:tcPr>
            <w:tcW w:w="0" w:type="dxa"/>
            <w:vAlign w:val="bottom"/>
          </w:tcPr>
          <w:p>
            <w:pPr>
              <w:spacing w:after="0"/>
              <w:rPr>
                <w:sz w:val="1"/>
                <w:szCs w:val="1"/>
                <w:color w:val="auto"/>
              </w:rPr>
            </w:pPr>
          </w:p>
        </w:tc>
      </w:tr>
      <w:tr>
        <w:trPr>
          <w:trHeight w:val="35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50,536</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62,476</w:t>
            </w:r>
          </w:p>
        </w:tc>
        <w:tc>
          <w:tcPr>
            <w:tcW w:w="0" w:type="dxa"/>
            <w:vAlign w:val="bottom"/>
          </w:tcPr>
          <w:p>
            <w:pPr>
              <w:spacing w:after="0"/>
              <w:rPr>
                <w:sz w:val="1"/>
                <w:szCs w:val="1"/>
                <w:color w:val="auto"/>
              </w:rPr>
            </w:pPr>
          </w:p>
        </w:tc>
      </w:tr>
      <w:tr>
        <w:trPr>
          <w:trHeight w:val="175"/>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75,780</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75,752</w:t>
            </w:r>
          </w:p>
        </w:tc>
        <w:tc>
          <w:tcPr>
            <w:tcW w:w="0" w:type="dxa"/>
            <w:vAlign w:val="bottom"/>
          </w:tcPr>
          <w:p>
            <w:pPr>
              <w:spacing w:after="0"/>
              <w:rPr>
                <w:sz w:val="1"/>
                <w:szCs w:val="1"/>
                <w:color w:val="auto"/>
              </w:rPr>
            </w:pPr>
          </w:p>
        </w:tc>
      </w:tr>
      <w:tr>
        <w:trPr>
          <w:trHeight w:val="35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634,040</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783,855</w:t>
            </w:r>
          </w:p>
        </w:tc>
        <w:tc>
          <w:tcPr>
            <w:tcW w:w="0" w:type="dxa"/>
            <w:vAlign w:val="bottom"/>
          </w:tcPr>
          <w:p>
            <w:pPr>
              <w:spacing w:after="0"/>
              <w:rPr>
                <w:sz w:val="1"/>
                <w:szCs w:val="1"/>
                <w:color w:val="auto"/>
              </w:rPr>
            </w:pPr>
          </w:p>
        </w:tc>
      </w:tr>
      <w:tr>
        <w:trPr>
          <w:trHeight w:val="175"/>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19,101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951,039</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81,215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951,028</w:t>
            </w:r>
          </w:p>
        </w:tc>
        <w:tc>
          <w:tcPr>
            <w:tcW w:w="0" w:type="dxa"/>
            <w:vAlign w:val="bottom"/>
          </w:tcPr>
          <w:p>
            <w:pPr>
              <w:spacing w:after="0"/>
              <w:rPr>
                <w:sz w:val="1"/>
                <w:szCs w:val="1"/>
                <w:color w:val="auto"/>
              </w:rPr>
            </w:pPr>
          </w:p>
        </w:tc>
      </w:tr>
      <w:tr>
        <w:trPr>
          <w:trHeight w:val="35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60,035</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74,221</w:t>
            </w:r>
          </w:p>
        </w:tc>
        <w:tc>
          <w:tcPr>
            <w:tcW w:w="0" w:type="dxa"/>
            <w:vAlign w:val="bottom"/>
          </w:tcPr>
          <w:p>
            <w:pPr>
              <w:spacing w:after="0"/>
              <w:rPr>
                <w:sz w:val="1"/>
                <w:szCs w:val="1"/>
                <w:color w:val="auto"/>
              </w:rPr>
            </w:pPr>
          </w:p>
        </w:tc>
      </w:tr>
      <w:tr>
        <w:trPr>
          <w:trHeight w:val="175"/>
        </w:trPr>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90,020</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160" w:space="120"/>
            <w:col w:w="2280" w:space="100"/>
            <w:col w:w="3580"/>
          </w:cols>
          <w:pgMar w:left="320" w:top="118" w:right="339" w:bottom="1440" w:gutter="0" w:footer="0" w:header="0"/>
          <w:type w:val="continuous"/>
        </w:sectPr>
      </w:pPr>
    </w:p>
    <w:p>
      <w:pPr>
        <w:spacing w:after="0" w:line="58" w:lineRule="exact"/>
        <w:rPr>
          <w:sz w:val="20"/>
          <w:szCs w:val="20"/>
          <w:color w:val="auto"/>
        </w:rPr>
      </w:pPr>
    </w:p>
    <w:p>
      <w:pPr>
        <w:jc w:val="both"/>
        <w:ind w:left="660" w:hanging="328"/>
        <w:spacing w:after="0" w:line="266"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July 2021 meeting, the Committee approved the values of the annual cash incentive award threshold, target and maximums under the Company's annual cash incentive plan. The structure of the plan is described in the Compensation Discussion and Analysis above and was set prior to the beginning of the fiscal year.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7"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granted August 2, 2021, as part of the annual fiscal 2022 equity grant. Payout opportunities will range from 0% to 200% of the target award. Target payout is set at 100% of award value, with threshold and maximum payouts set at 25% and 200% of target award value, respectively.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awards vest equally over three years.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base price for PRSU awards with a market condition granted on August 2, 2021, is based on a third-party valuation involving the use of a Monte Carlo simulation. The exercise price or base price for the remaining option, RSU, and PRSU awards is the average of the high and low prices of the Company’s Class A Common Stock as reported by the NYSE on the date of the grant.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July 31,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Number of Units</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Market Value of Units</w:t>
            </w:r>
          </w:p>
        </w:tc>
        <w:tc>
          <w:tcPr>
            <w:tcW w:w="16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13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 Have</w:t>
            </w:r>
          </w:p>
        </w:tc>
        <w:tc>
          <w:tcPr>
            <w:tcW w:w="1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3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3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6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4"/>
        </w:trPr>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R.R. Shaller</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23,576</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6,712</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17,090</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20,496</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60,928</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3760" w:type="dxa"/>
            <w:vAlign w:val="bottom"/>
          </w:tcPr>
          <w:p>
            <w:pPr>
              <w:jc w:val="right"/>
              <w:ind w:right="2937"/>
              <w:spacing w:after="0"/>
              <w:rPr>
                <w:sz w:val="20"/>
                <w:szCs w:val="20"/>
                <w:color w:val="auto"/>
              </w:rPr>
            </w:pPr>
            <w:r>
              <w:rPr>
                <w:rFonts w:ascii="Times New Roman" w:cs="Times New Roman" w:eastAsia="Times New Roman" w:hAnsi="Times New Roman"/>
                <w:sz w:val="13"/>
                <w:szCs w:val="13"/>
                <w:color w:val="auto"/>
              </w:rPr>
              <w:t>63,928</w:t>
            </w:r>
          </w:p>
        </w:tc>
      </w:tr>
      <w:tr>
        <w:trPr>
          <w:trHeight w:val="181"/>
        </w:trPr>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480" w:type="dxa"/>
            <w:vAlign w:val="bottom"/>
            <w:shd w:val="clear" w:color="auto" w:fill="CCEEFF"/>
          </w:tcPr>
          <w:p>
            <w:pPr>
              <w:spacing w:after="0"/>
              <w:rPr>
                <w:sz w:val="15"/>
                <w:szCs w:val="15"/>
                <w:color w:val="auto"/>
              </w:rPr>
            </w:pPr>
          </w:p>
        </w:tc>
        <w:tc>
          <w:tcPr>
            <w:tcW w:w="3760" w:type="dxa"/>
            <w:vAlign w:val="bottom"/>
            <w:shd w:val="clear" w:color="auto" w:fill="CCEEFF"/>
          </w:tcPr>
          <w:p>
            <w:pPr>
              <w:jc w:val="right"/>
              <w:ind w:right="2937"/>
              <w:spacing w:after="0"/>
              <w:rPr>
                <w:sz w:val="20"/>
                <w:szCs w:val="20"/>
                <w:color w:val="auto"/>
              </w:rPr>
            </w:pPr>
            <w:r>
              <w:rPr>
                <w:rFonts w:ascii="Times New Roman" w:cs="Times New Roman" w:eastAsia="Times New Roman" w:hAnsi="Times New Roman"/>
                <w:sz w:val="13"/>
                <w:szCs w:val="13"/>
                <w:color w:val="auto"/>
              </w:rPr>
              <w:t>309,829</w:t>
            </w:r>
          </w:p>
        </w:tc>
      </w:tr>
      <w:tr>
        <w:trPr>
          <w:trHeight w:val="170"/>
        </w:trPr>
        <w:tc>
          <w:tcPr>
            <w:tcW w:w="6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w:t>
            </w:r>
          </w:p>
        </w:tc>
        <w:tc>
          <w:tcPr>
            <w:tcW w:w="480" w:type="dxa"/>
            <w:vAlign w:val="bottom"/>
          </w:tcPr>
          <w:p>
            <w:pPr>
              <w:spacing w:after="0"/>
              <w:rPr>
                <w:sz w:val="14"/>
                <w:szCs w:val="14"/>
                <w:color w:val="auto"/>
              </w:rPr>
            </w:pPr>
          </w:p>
        </w:tc>
        <w:tc>
          <w:tcPr>
            <w:tcW w:w="3760" w:type="dxa"/>
            <w:vAlign w:val="bottom"/>
          </w:tcPr>
          <w:p>
            <w:pPr>
              <w:jc w:val="right"/>
              <w:ind w:right="2937"/>
              <w:spacing w:after="0"/>
              <w:rPr>
                <w:sz w:val="20"/>
                <w:szCs w:val="20"/>
                <w:color w:val="auto"/>
              </w:rPr>
            </w:pPr>
            <w:r>
              <w:rPr>
                <w:rFonts w:ascii="Times New Roman" w:cs="Times New Roman" w:eastAsia="Times New Roman" w:hAnsi="Times New Roman"/>
                <w:sz w:val="13"/>
                <w:szCs w:val="13"/>
                <w:color w:val="auto"/>
              </w:rPr>
              <w:t>179,820</w:t>
            </w:r>
          </w:p>
        </w:tc>
      </w:tr>
      <w:tr>
        <w:trPr>
          <w:trHeight w:val="181"/>
        </w:trPr>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480" w:type="dxa"/>
            <w:vAlign w:val="bottom"/>
            <w:shd w:val="clear" w:color="auto" w:fill="CCEEFF"/>
          </w:tcPr>
          <w:p>
            <w:pPr>
              <w:spacing w:after="0"/>
              <w:rPr>
                <w:sz w:val="15"/>
                <w:szCs w:val="15"/>
                <w:color w:val="auto"/>
              </w:rPr>
            </w:pPr>
          </w:p>
        </w:tc>
        <w:tc>
          <w:tcPr>
            <w:tcW w:w="3760" w:type="dxa"/>
            <w:vAlign w:val="bottom"/>
            <w:shd w:val="clear" w:color="auto" w:fill="CCEEFF"/>
          </w:tcPr>
          <w:p>
            <w:pPr>
              <w:jc w:val="right"/>
              <w:ind w:right="2937"/>
              <w:spacing w:after="0"/>
              <w:rPr>
                <w:sz w:val="20"/>
                <w:szCs w:val="20"/>
                <w:color w:val="auto"/>
              </w:rPr>
            </w:pPr>
            <w:r>
              <w:rPr>
                <w:rFonts w:ascii="Times New Roman" w:cs="Times New Roman" w:eastAsia="Times New Roman" w:hAnsi="Times New Roman"/>
                <w:sz w:val="13"/>
                <w:szCs w:val="13"/>
                <w:color w:val="auto"/>
              </w:rPr>
              <w:t>230,685</w:t>
            </w:r>
          </w:p>
        </w:tc>
      </w:tr>
      <w:tr>
        <w:trPr>
          <w:trHeight w:val="170"/>
        </w:trPr>
        <w:tc>
          <w:tcPr>
            <w:tcW w:w="6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5,354</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480" w:type="dxa"/>
            <w:vAlign w:val="bottom"/>
          </w:tcPr>
          <w:p>
            <w:pPr>
              <w:spacing w:after="0"/>
              <w:rPr>
                <w:sz w:val="14"/>
                <w:szCs w:val="14"/>
                <w:color w:val="auto"/>
              </w:rPr>
            </w:pPr>
          </w:p>
        </w:tc>
        <w:tc>
          <w:tcPr>
            <w:tcW w:w="3760" w:type="dxa"/>
            <w:vAlign w:val="bottom"/>
          </w:tcPr>
          <w:p>
            <w:pPr>
              <w:jc w:val="right"/>
              <w:ind w:right="2937"/>
              <w:spacing w:after="0"/>
              <w:rPr>
                <w:sz w:val="20"/>
                <w:szCs w:val="20"/>
                <w:color w:val="auto"/>
              </w:rPr>
            </w:pPr>
            <w:r>
              <w:rPr>
                <w:rFonts w:ascii="Times New Roman" w:cs="Times New Roman" w:eastAsia="Times New Roman" w:hAnsi="Times New Roman"/>
                <w:sz w:val="13"/>
                <w:szCs w:val="13"/>
                <w:color w:val="auto"/>
              </w:rPr>
              <w:t>256,189</w:t>
            </w:r>
          </w:p>
        </w:tc>
      </w:tr>
      <w:tr>
        <w:trPr>
          <w:trHeight w:val="181"/>
        </w:trPr>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16,285</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480" w:type="dxa"/>
            <w:vAlign w:val="bottom"/>
            <w:shd w:val="clear" w:color="auto" w:fill="CCEEFF"/>
          </w:tcPr>
          <w:p>
            <w:pPr>
              <w:spacing w:after="0"/>
              <w:rPr>
                <w:sz w:val="15"/>
                <w:szCs w:val="15"/>
                <w:color w:val="auto"/>
              </w:rPr>
            </w:pPr>
          </w:p>
        </w:tc>
        <w:tc>
          <w:tcPr>
            <w:tcW w:w="3760" w:type="dxa"/>
            <w:vAlign w:val="bottom"/>
            <w:shd w:val="clear" w:color="auto" w:fill="CCEEFF"/>
          </w:tcPr>
          <w:p>
            <w:pPr>
              <w:jc w:val="right"/>
              <w:ind w:right="2937"/>
              <w:spacing w:after="0"/>
              <w:rPr>
                <w:sz w:val="20"/>
                <w:szCs w:val="20"/>
                <w:color w:val="auto"/>
              </w:rPr>
            </w:pPr>
            <w:r>
              <w:rPr>
                <w:rFonts w:ascii="Times New Roman" w:cs="Times New Roman" w:eastAsia="Times New Roman" w:hAnsi="Times New Roman"/>
                <w:sz w:val="13"/>
                <w:szCs w:val="13"/>
                <w:color w:val="auto"/>
              </w:rPr>
              <w:t>779,237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200,061</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231,163</w:t>
            </w:r>
          </w:p>
        </w:tc>
      </w:t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138,621</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138,621</w:t>
            </w:r>
          </w:p>
        </w:tc>
      </w:tr>
      <w:tr>
        <w:trPr>
          <w:trHeight w:val="257"/>
        </w:trPr>
        <w:tc>
          <w:tcPr>
            <w:tcW w:w="1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A.J. Pearce</w:t>
            </w:r>
          </w:p>
        </w:tc>
        <w:tc>
          <w:tcPr>
            <w:tcW w:w="14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51,375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19.96</w:t>
            </w:r>
          </w:p>
        </w:tc>
        <w:tc>
          <w:tcPr>
            <w:tcW w:w="18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9/25/2025</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37,721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35.14</w:t>
            </w:r>
          </w:p>
        </w:tc>
        <w:tc>
          <w:tcPr>
            <w:tcW w:w="1880" w:type="dxa"/>
            <w:vAlign w:val="bottom"/>
          </w:tcPr>
          <w:p>
            <w:pPr>
              <w:jc w:val="right"/>
              <w:ind w:right="1017"/>
              <w:spacing w:after="0"/>
              <w:rPr>
                <w:sz w:val="20"/>
                <w:szCs w:val="20"/>
                <w:color w:val="auto"/>
              </w:rPr>
            </w:pPr>
            <w:r>
              <w:rPr>
                <w:rFonts w:ascii="Times New Roman" w:cs="Times New Roman" w:eastAsia="Times New Roman" w:hAnsi="Times New Roman"/>
                <w:sz w:val="13"/>
                <w:szCs w:val="13"/>
                <w:color w:val="auto"/>
              </w:rPr>
              <w:t>9/23/2026</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34,071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36.85</w:t>
            </w:r>
          </w:p>
        </w:tc>
        <w:tc>
          <w:tcPr>
            <w:tcW w:w="18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9/22/2027</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29,800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43.98</w:t>
            </w:r>
          </w:p>
        </w:tc>
        <w:tc>
          <w:tcPr>
            <w:tcW w:w="1880" w:type="dxa"/>
            <w:vAlign w:val="bottom"/>
          </w:tcPr>
          <w:p>
            <w:pPr>
              <w:jc w:val="right"/>
              <w:ind w:right="1017"/>
              <w:spacing w:after="0"/>
              <w:rPr>
                <w:sz w:val="20"/>
                <w:szCs w:val="20"/>
                <w:color w:val="auto"/>
              </w:rPr>
            </w:pPr>
            <w:r>
              <w:rPr>
                <w:rFonts w:ascii="Times New Roman" w:cs="Times New Roman" w:eastAsia="Times New Roman" w:hAnsi="Times New Roman"/>
                <w:sz w:val="13"/>
                <w:szCs w:val="13"/>
                <w:color w:val="auto"/>
              </w:rPr>
              <w:t>9/25/2028</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18,175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54.05</w:t>
            </w:r>
          </w:p>
        </w:tc>
        <w:tc>
          <w:tcPr>
            <w:tcW w:w="18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9/20/2029</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11,394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39.92</w:t>
            </w:r>
          </w:p>
        </w:tc>
        <w:tc>
          <w:tcPr>
            <w:tcW w:w="1880" w:type="dxa"/>
            <w:vAlign w:val="bottom"/>
          </w:tcPr>
          <w:p>
            <w:pPr>
              <w:jc w:val="right"/>
              <w:ind w:right="1017"/>
              <w:spacing w:after="0"/>
              <w:rPr>
                <w:sz w:val="20"/>
                <w:szCs w:val="20"/>
                <w:color w:val="auto"/>
              </w:rPr>
            </w:pPr>
            <w:r>
              <w:rPr>
                <w:rFonts w:ascii="Times New Roman" w:cs="Times New Roman" w:eastAsia="Times New Roman" w:hAnsi="Times New Roman"/>
                <w:sz w:val="13"/>
                <w:szCs w:val="13"/>
                <w:color w:val="auto"/>
              </w:rPr>
              <w:t>9/30/2030</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25,620</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49.79</w:t>
            </w:r>
          </w:p>
        </w:tc>
        <w:tc>
          <w:tcPr>
            <w:tcW w:w="18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9/16/2031</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5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86,561</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5,010</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239,729</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6,026</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50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288,344</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4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270,831</w:t>
            </w:r>
          </w:p>
        </w:tc>
      </w:t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6,441</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308,202</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173,313</w:t>
            </w:r>
          </w:p>
        </w:tc>
      </w:t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173,313</w:t>
            </w:r>
          </w:p>
        </w:tc>
      </w:tr>
      <w:tr>
        <w:trPr>
          <w:trHeight w:val="262"/>
        </w:trPr>
        <w:tc>
          <w:tcPr>
            <w:tcW w:w="1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70"/>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B.N. Curran</w:t>
            </w: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2,258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36.85</w:t>
            </w:r>
          </w:p>
        </w:tc>
        <w:tc>
          <w:tcPr>
            <w:tcW w:w="1880" w:type="dxa"/>
            <w:vAlign w:val="bottom"/>
          </w:tcPr>
          <w:p>
            <w:pPr>
              <w:jc w:val="right"/>
              <w:ind w:right="1017"/>
              <w:spacing w:after="0"/>
              <w:rPr>
                <w:sz w:val="20"/>
                <w:szCs w:val="20"/>
                <w:color w:val="auto"/>
              </w:rPr>
            </w:pPr>
            <w:r>
              <w:rPr>
                <w:rFonts w:ascii="Times New Roman" w:cs="Times New Roman" w:eastAsia="Times New Roman" w:hAnsi="Times New Roman"/>
                <w:sz w:val="13"/>
                <w:szCs w:val="13"/>
                <w:color w:val="auto"/>
              </w:rPr>
              <w:t>9/22/2027</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3,951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43.98</w:t>
            </w:r>
          </w:p>
        </w:tc>
        <w:tc>
          <w:tcPr>
            <w:tcW w:w="18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9/25/2028</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4,131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54.05</w:t>
            </w:r>
          </w:p>
        </w:tc>
        <w:tc>
          <w:tcPr>
            <w:tcW w:w="1880" w:type="dxa"/>
            <w:vAlign w:val="bottom"/>
          </w:tcPr>
          <w:p>
            <w:pPr>
              <w:jc w:val="right"/>
              <w:ind w:right="1017"/>
              <w:spacing w:after="0"/>
              <w:rPr>
                <w:sz w:val="20"/>
                <w:szCs w:val="20"/>
                <w:color w:val="auto"/>
              </w:rPr>
            </w:pPr>
            <w:r>
              <w:rPr>
                <w:rFonts w:ascii="Times New Roman" w:cs="Times New Roman" w:eastAsia="Times New Roman" w:hAnsi="Times New Roman"/>
                <w:sz w:val="13"/>
                <w:szCs w:val="13"/>
                <w:color w:val="auto"/>
              </w:rPr>
              <w:t>9/20/2029</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2,532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5,064</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39.92</w:t>
            </w:r>
          </w:p>
        </w:tc>
        <w:tc>
          <w:tcPr>
            <w:tcW w:w="18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9/30/2030</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49.79</w:t>
            </w:r>
          </w:p>
        </w:tc>
        <w:tc>
          <w:tcPr>
            <w:tcW w:w="1880" w:type="dxa"/>
            <w:vAlign w:val="bottom"/>
          </w:tcPr>
          <w:p>
            <w:pPr>
              <w:jc w:val="right"/>
              <w:ind w:right="1017"/>
              <w:spacing w:after="0"/>
              <w:rPr>
                <w:sz w:val="20"/>
                <w:szCs w:val="20"/>
                <w:color w:val="auto"/>
              </w:rPr>
            </w:pPr>
            <w:r>
              <w:rPr>
                <w:rFonts w:ascii="Times New Roman" w:cs="Times New Roman" w:eastAsia="Times New Roman" w:hAnsi="Times New Roman"/>
                <w:sz w:val="13"/>
                <w:szCs w:val="13"/>
                <w:color w:val="auto"/>
              </w:rPr>
              <w:t>9/16/2031</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50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19,666</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0"/>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50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53,257</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50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57,707</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4"/>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61,583</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Units</w:t>
            </w:r>
          </w:p>
        </w:tc>
        <w:tc>
          <w:tcPr>
            <w:tcW w:w="340" w:type="dxa"/>
            <w:vAlign w:val="bottom"/>
          </w:tcPr>
          <w:p>
            <w:pPr>
              <w:spacing w:after="0"/>
              <w:rPr>
                <w:sz w:val="11"/>
                <w:szCs w:val="11"/>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Market Value of Units</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 Have</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4"/>
        </w:trPr>
        <w:tc>
          <w:tcPr>
            <w:tcW w:w="1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360" w:type="dxa"/>
            <w:vAlign w:val="bottom"/>
            <w:tcBorders>
              <w:top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(12)</w:t>
            </w: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68,521</w:t>
            </w: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34,691</w:t>
            </w: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34,691</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 Deman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3,165</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42,826</w:t>
            </w: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21,676</w:t>
            </w: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21,676</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Gorman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5,824</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6,469</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91,250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61,248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72,828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78,761</w:t>
            </w: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(13)</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43,783</w:t>
            </w: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(14)</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43,783</w:t>
            </w:r>
          </w:p>
        </w:tc>
        <w:tc>
          <w:tcPr>
            <w:tcW w:w="0" w:type="dxa"/>
            <w:vAlign w:val="bottom"/>
          </w:tcPr>
          <w:p>
            <w:pPr>
              <w:spacing w:after="0"/>
              <w:rPr>
                <w:sz w:val="1"/>
                <w:szCs w:val="1"/>
                <w:color w:val="auto"/>
              </w:rPr>
            </w:pPr>
          </w:p>
        </w:tc>
      </w:tr>
      <w:tr>
        <w:trPr>
          <w:trHeight w:val="262"/>
        </w:trPr>
        <w:tc>
          <w:tcPr>
            <w:tcW w:w="1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J.M. Nauman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100,017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96,792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88,383</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61,958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30,978</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37,979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75,957</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81,215</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6,167</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295,091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799,095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19,101</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913,983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19,294</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2"/>
              </w:rPr>
              <w:t>(11)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923,218</w:t>
            </w: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14,313</w:t>
            </w:r>
          </w:p>
        </w:tc>
        <w:tc>
          <w:tcPr>
            <w:tcW w:w="3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(12)</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684,877</w:t>
            </w:r>
          </w:p>
        </w:tc>
        <w:tc>
          <w:tcPr>
            <w:tcW w:w="0" w:type="dxa"/>
            <w:vAlign w:val="bottom"/>
          </w:tcPr>
          <w:p>
            <w:pPr>
              <w:spacing w:after="0"/>
              <w:rPr>
                <w:sz w:val="1"/>
                <w:szCs w:val="1"/>
                <w:color w:val="auto"/>
              </w:rPr>
            </w:pPr>
          </w:p>
        </w:tc>
      </w:tr>
      <w:tr>
        <w:trPr>
          <w:trHeight w:val="262"/>
        </w:trPr>
        <w:tc>
          <w:tcPr>
            <w:tcW w:w="1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H.R. Nelligan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11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Units</w:t>
            </w:r>
          </w:p>
        </w:tc>
        <w:tc>
          <w:tcPr>
            <w:tcW w:w="340" w:type="dxa"/>
            <w:vAlign w:val="bottom"/>
          </w:tcPr>
          <w:p>
            <w:pPr>
              <w:spacing w:after="0"/>
              <w:rPr>
                <w:sz w:val="11"/>
                <w:szCs w:val="11"/>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Market Value of Units</w:t>
            </w:r>
          </w:p>
        </w:tc>
        <w:tc>
          <w:tcPr>
            <w:tcW w:w="16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 Have</w:t>
            </w:r>
          </w:p>
        </w:tc>
        <w:tc>
          <w:tcPr>
            <w:tcW w:w="1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6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69"/>
        </w:trPr>
        <w:tc>
          <w:tcPr>
            <w:tcW w:w="120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3,798</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3,798</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2"/>
              </w:rPr>
              <w:t>(17)</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2"/>
              </w:rPr>
              <w:t>(18)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29,523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(8)</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1,930 (11)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92,351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8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vest on September 20, 2022.</w:t>
      </w:r>
    </w:p>
    <w:p>
      <w:pPr>
        <w:spacing w:after="0" w:line="27"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options vest on September 30, 2022 and the remaining options vest on September 30, 2023.</w:t>
      </w:r>
    </w:p>
    <w:p>
      <w:pPr>
        <w:spacing w:after="0" w:line="9" w:lineRule="exact"/>
        <w:rPr>
          <w:rFonts w:ascii="Times New Roman" w:cs="Times New Roman" w:eastAsia="Times New Roman" w:hAnsi="Times New Roman"/>
          <w:sz w:val="18"/>
          <w:szCs w:val="18"/>
          <w:color w:val="auto"/>
        </w:rPr>
      </w:pPr>
    </w:p>
    <w:p>
      <w:pPr>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options vest on September 16, 2022, one-third of the options vest on September 16, 2023, and one-third of the options vest on September 16, 2024.</w:t>
      </w:r>
    </w:p>
    <w:p>
      <w:pPr>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Mr. Shaller was awarded 60,928 shares of stock options as part of his appointment to President, CEO and Director. One-third of the options vest on April 1, 2023, one-third of the options vest on April 1, 2024, and one-third of the options vest on April 1, 2025.</w:t>
      </w:r>
    </w:p>
    <w:p>
      <w:pPr>
        <w:ind w:left="660" w:right="2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September 20, 2019 as part of the annual fiscal 2020 equity grant. The remaining units vest on September 20, 2022.</w:t>
      </w:r>
    </w:p>
    <w:p>
      <w:pPr>
        <w:ind w:left="660" w:right="2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20, 2019, Mr. Shaller was awarded 9,251 RSUs for retention purposes. The RSUs vest in increments of 10%, 20%, 30%, and 40% upon the first, second, third and fourth anniversaries of the grant date.</w:t>
      </w:r>
    </w:p>
    <w:p>
      <w:pPr>
        <w:ind w:left="660" w:right="2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September 30, 2020 as part of the annual fiscal 2021 equity grant. One-half of the units vest on September 30, 2022 and the remaining units vest on September 30, 2023.</w:t>
      </w:r>
    </w:p>
    <w:p>
      <w:pPr>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September 16, 2021 as part of the annual fiscal 2022 equity grant. One-third of the units vest on September 16, 2022, one-third of the units vest on September 16, 2023, and one-third of the units vest on September 16, 2024.</w:t>
      </w:r>
    </w:p>
    <w:p>
      <w:pPr>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Mr. Shaller was awarded 5,354 RSUs as part of his appointment to President, CEO and Director. One-third of the units vest on April 1, 2023, one-third of the units vest on April 1, 2024, and one-third of the units vest on April 1, 2025.</w:t>
      </w:r>
    </w:p>
    <w:p>
      <w:pPr>
        <w:ind w:left="660" w:hanging="409"/>
        <w:spacing w:after="0" w:line="250"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Mr. Shaller was awarded 16,285 RSUs as part of his appointment to President, CEO and Director. One-third of the units vest on April 1, 2023, one-third of the units vest on April 1, 2024, and one-third of the units vest on April 1, 2025.</w:t>
      </w:r>
    </w:p>
    <w:p>
      <w:pPr>
        <w:jc w:val="both"/>
        <w:ind w:left="660" w:hanging="409"/>
        <w:spacing w:after="0" w:line="250" w:lineRule="auto"/>
        <w:tabs>
          <w:tab w:leader="none" w:pos="6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2019, as part of the annual fiscal 2020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2020, as part of the annual fiscal 2021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2, 2021, as part of the annual fiscal 2022 equity grant. These PRSUs have a three-year performance period with the number of shares issued at vesting determined relative to the Company's revenue performance measured with respect to organic revenue growth over four equally-weighted performance periods.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2, 2021, as part of the annual fiscal 2022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ind w:left="660" w:hanging="409"/>
        <w:spacing w:after="0" w:line="250"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3, 2020, Mr. Deman was awarded 1,307 shares of RSUs for retention purposes. The RSUs vest in increments of 10%, 20%, 30%, and 40% upon the first, second, third and fourth anniversaries of the grant date.</w:t>
      </w:r>
    </w:p>
    <w:p>
      <w:pPr>
        <w:ind w:left="640" w:hanging="38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6, 2020, Mr. Gorman was awarded 5,723 RSUs. The remaining units vest on April 6, 2023.</w:t>
      </w:r>
    </w:p>
    <w:p>
      <w:pPr>
        <w:spacing w:after="0" w:line="9"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vest on September 30,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(18) The remaining options vest on September 16,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for Fiscal 2022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exercises and the vesting of restricted stock during fiscal 2022 to the NEOs.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3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 Realized on Exercise</w:t>
            </w:r>
          </w:p>
        </w:tc>
        <w:tc>
          <w:tcPr>
            <w:tcW w:w="1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6"/>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820" w:type="dxa"/>
            <w:vAlign w:val="bottom"/>
            <w:gridSpan w:val="3"/>
            <w:vMerge w:val="continue"/>
          </w:tcPr>
          <w:p>
            <w:pPr>
              <w:spacing w:after="0"/>
              <w:rPr>
                <w:sz w:val="12"/>
                <w:szCs w:val="12"/>
                <w:color w:val="auto"/>
              </w:rPr>
            </w:pPr>
          </w:p>
        </w:tc>
        <w:tc>
          <w:tcPr>
            <w:tcW w:w="1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40" w:type="dxa"/>
            <w:vAlign w:val="bottom"/>
            <w:tcBorders>
              <w:bottom w:val="single" w:sz="8" w:color="CCEEFF"/>
            </w:tcBorders>
            <w:vMerge w:val="continue"/>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22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865,339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1,047,072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 Curran</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3,575,500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3,191,825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575,153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8"/>
        <w:spacing w:after="0" w:line="261"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of stock options reflects the difference between the option exercise price and the market price at exercise multiplied by the number of shares.</w:t>
      </w:r>
    </w:p>
    <w:p>
      <w:pPr>
        <w:ind w:left="660" w:hanging="328"/>
        <w:spacing w:after="0" w:line="26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of stock awards reflects the number of shares vested multiplied by the market price (average of the high and low of the stock price) of the stock on the vest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at July 31, 2022</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Deman is a participant in the Brady Corporation Belgium Pension Plan, which is a closed insured defined benefit pension plan that provides benefits for certain employees residing in Belgium hired prior to October 31, 2005. The benefits earned under the plan are payable at normal retirement age in the form of a single lump sum.</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retirement, the benefit is equal to the sum of 4.875% of the most recent five-year average annual base salary up to the Social Security ceiling plus 22.75% of the most recent five-year average annual base salary in excess of the Social Security ceiling, multiplied by the years of pensionable service. Years of pensionable service include all years and complete months of service from the date of hire through October 31, 2005, up to a maximum of 40 years. Normal retirement age for participants is age 65. Participants who are age 60-64 may elect to retire early and receive a 5% reduction in benefits per year of early retirement.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actuarial present value of the pension benefit accumulated by Mr. Deman under the Brady Corporation Belgium Pension Plan as of July 31, 2022.</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140" w:type="dxa"/>
            <w:vAlign w:val="bottom"/>
          </w:tcPr>
          <w:p>
            <w:pPr>
              <w:spacing w:after="0"/>
              <w:rPr>
                <w:sz w:val="13"/>
                <w:szCs w:val="13"/>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20" w:type="dxa"/>
            <w:vAlign w:val="bottom"/>
          </w:tcPr>
          <w:p>
            <w:pPr>
              <w:spacing w:after="0"/>
              <w:rPr>
                <w:sz w:val="13"/>
                <w:szCs w:val="13"/>
                <w:color w:val="auto"/>
              </w:rPr>
            </w:pPr>
          </w:p>
        </w:tc>
        <w:tc>
          <w:tcPr>
            <w:tcW w:w="15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Payments During Last</w:t>
            </w:r>
          </w:p>
        </w:tc>
        <w:tc>
          <w:tcPr>
            <w:tcW w:w="0" w:type="dxa"/>
            <w:vAlign w:val="bottom"/>
          </w:tcPr>
          <w:p>
            <w:pPr>
              <w:spacing w:after="0"/>
              <w:rPr>
                <w:sz w:val="1"/>
                <w:szCs w:val="1"/>
                <w:color w:val="auto"/>
              </w:rPr>
            </w:pPr>
          </w:p>
        </w:tc>
      </w:tr>
      <w:tr>
        <w:trPr>
          <w:trHeight w:val="137"/>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8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5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Credited Service</w:t>
            </w:r>
          </w:p>
        </w:tc>
        <w:tc>
          <w:tcPr>
            <w:tcW w:w="140" w:type="dxa"/>
            <w:vAlign w:val="bottom"/>
          </w:tcPr>
          <w:p>
            <w:pPr>
              <w:spacing w:after="0"/>
              <w:rPr>
                <w:sz w:val="11"/>
                <w:szCs w:val="11"/>
                <w:color w:val="auto"/>
              </w:rPr>
            </w:pPr>
          </w:p>
        </w:tc>
        <w:tc>
          <w:tcPr>
            <w:tcW w:w="16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Benefit</w:t>
            </w:r>
          </w:p>
        </w:tc>
        <w:tc>
          <w:tcPr>
            <w:tcW w:w="120" w:type="dxa"/>
            <w:vAlign w:val="bottom"/>
          </w:tcPr>
          <w:p>
            <w:pPr>
              <w:spacing w:after="0"/>
              <w:rPr>
                <w:sz w:val="11"/>
                <w:szCs w:val="11"/>
                <w:color w:val="auto"/>
              </w:rPr>
            </w:pPr>
          </w:p>
        </w:tc>
        <w:tc>
          <w:tcPr>
            <w:tcW w:w="1520" w:type="dxa"/>
            <w:vAlign w:val="bottom"/>
          </w:tcPr>
          <w:p>
            <w:pPr>
              <w:jc w:val="center"/>
              <w:ind w:right="84"/>
              <w:spacing w:after="0" w:line="137"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Brady Corporation Belgium Pension Plan</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328"/>
        <w:spacing w:after="0" w:line="261"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accumulated benefit will be paid to Mr. Deman in Euros. The amount shown in U.S. dollars was converted from Euro at the exchange rate as of July 31, 2022: 1 EUR= 1.0196 USD.</w:t>
      </w:r>
    </w:p>
    <w:p>
      <w:pPr>
        <w:jc w:val="both"/>
        <w:ind w:left="660" w:hanging="328"/>
        <w:spacing w:after="0" w:line="253"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accumulated pension benefit was calculated using the following assumptions: A calculation date of July 31, 2022, a 3.25% discount rate, retirement occurring at normal retirement age of 65, and Belgium MR-5/FR-5 Mortality Tables. The valuation method used to determine the present value of the accumulated benefit is consistent with the method used for financial reporting purposes as of July 31, 2022. The value of the pension benefit Mr. Deman will ultimately receive will differ to the extent facts and circumstances vary from current assumptions.</w:t>
      </w:r>
    </w:p>
    <w:p>
      <w:pPr>
        <w:spacing w:after="0" w:line="1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change in the present value of Mr. Deman's accumulated pension benefit within the Brady Corporation Belgium Pension Plan during fiscal 2022 was negligible and therefore was not included in the Summary Compensation Table.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for Fiscal 2022</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Executive Deferred Compensation Plan and the Brady Restoration Plan during fiscal 2022 for the NEOs.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 Losses in</w:t>
            </w:r>
          </w:p>
        </w:tc>
        <w:tc>
          <w:tcPr>
            <w:tcW w:w="320" w:type="dxa"/>
            <w:vAlign w:val="bottom"/>
          </w:tcPr>
          <w:p>
            <w:pPr>
              <w:spacing w:after="0"/>
              <w:rPr>
                <w:sz w:val="13"/>
                <w:szCs w:val="13"/>
                <w:color w:val="auto"/>
              </w:rPr>
            </w:pPr>
          </w:p>
        </w:tc>
        <w:tc>
          <w:tcPr>
            <w:tcW w:w="15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15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Contribution in Fiscal</w:t>
            </w: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5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2"/>
                <w:szCs w:val="12"/>
                <w:color w:val="auto"/>
              </w:rPr>
            </w:pPr>
          </w:p>
        </w:tc>
        <w:tc>
          <w:tcPr>
            <w:tcW w:w="114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Fiscal 2022</w:t>
            </w:r>
          </w:p>
        </w:tc>
        <w:tc>
          <w:tcPr>
            <w:tcW w:w="18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200" w:type="dxa"/>
            <w:vAlign w:val="bottom"/>
          </w:tcPr>
          <w:p>
            <w:pPr>
              <w:spacing w:after="0"/>
              <w:rPr>
                <w:sz w:val="12"/>
                <w:szCs w:val="12"/>
                <w:color w:val="auto"/>
              </w:rPr>
            </w:pPr>
          </w:p>
        </w:tc>
        <w:tc>
          <w:tcPr>
            <w:tcW w:w="12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352,318</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2,413,569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 Curran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1,283,331</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4,176,348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891,484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executive contribution amounts included in this table are derived from the Salary and Non-Equity Incentive Plan Compensation columns of the Summary Compensation Table. The Company's contribution amounts included in this table are reported in the All Other Compensation columns of the Summary Compensation Table. Amounts reported in the aggregate balance at July 31, 2022, net of historical earnings and losses were previously reported as compensation to the NEO in the Summary Compensation Table for previous years. See discussion of the Company's non-qualified deferred compensation plan in the Compensation Discussion and Analysis.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in the Employment and Change of Control Agreements section of the Compensation Discussion and Analysis above, the Company has entered into separate offer letters, employment agreements, and change of control agreements with certain NEOs that provide for benefits following termination of employment and/or a change in control.</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Shaller's Offer Letter provides that he will be entitled to severance if either (i) the executive’s employment with the Company is involuntarily terminated by the Company without cause or (ii) the executive’s employment with the Company is voluntarily terminated by the executive subsequent to</w:t>
      </w:r>
    </w:p>
    <w:p>
      <w:pPr>
        <w:jc w:val="both"/>
        <w:ind w:firstLine="8"/>
        <w:spacing w:after="0" w:line="253"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total of the executive’s annual base salary and target annual cash incentive without the prior written agreement of the executive, (b) a significant diminution in the authority, duties or responsibilities of the executive without the executive’s prior written agreement, or (c) the relocation of the executive’s position to a principal work location more than 50 miles from Milwaukee, Wisconsin or from the executive’s principal place of residence, without the executive’s prior written agreement. None of the other NEOs have any severance agreements or similar arrangements that would apply outside of a change in control.</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termination due to a change in control, executives shall be paid a multiplier of their annual base salary in effect immediately prior to the date the change of control occurs, plus a multiplier of their annual cash incentive payment as discussed in their respective change of control agreements prior to the date the change of control occurs. If the payments upon termination due to change of control result in any excise tax incurred by Messrs. Shaller, Pearce, Curran, Deman and Gorman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information and tables set forth the amount of payments to each NEO in the event of termination of employment as a result of a change of control. No other employment agreements providing specified payments upon termination have been entered into between the Company and any of the NEOs in fiscal year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Assumptions and General Principles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328"/>
        <w:spacing w:after="0" w:line="25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the tables assume that each NEO terminated employment on July 31, 2022. Accordingly, the tables reflect amounts earned as of July 31, 2022, and include estimates of amounts that would be paid to the NEO upon the termination or occurrence of a change in control. The actual amounts that would be paid to an NEO can only be determined at the time of termination.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include amounts the Company is obligated to pay the NEO as a result of the severance agreement and executed change in control agreement.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Russell R. Shaller</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were triggered on July 31, 2022,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0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6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0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00" w:type="dxa"/>
            <w:vAlign w:val="bottom"/>
          </w:tcPr>
          <w:p>
            <w:pPr>
              <w:spacing w:after="0"/>
              <w:rPr>
                <w:sz w:val="16"/>
                <w:szCs w:val="16"/>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20" w:type="dxa"/>
            <w:vAlign w:val="bottom"/>
          </w:tcPr>
          <w:p>
            <w:pPr>
              <w:spacing w:after="0"/>
              <w:rPr>
                <w:sz w:val="16"/>
                <w:szCs w:val="16"/>
                <w:color w:val="auto"/>
              </w:rPr>
            </w:pPr>
          </w:p>
        </w:tc>
        <w:tc>
          <w:tcPr>
            <w:tcW w:w="13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5,435,917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2022.</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2022.</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$47.85 on 51,104 unvested RSUs and PRSU awards that would vest due to change in control. The restricted stock unit acceleration gain for PRSUs is based on the number of shares earned based on actual performance for the fiscal 2020 award and target performance for the fiscal 2021 and 2022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$47.85 and the exercise price on 78,018 unvested, in-the-money stock options that would vest due to change in control.</w:t>
      </w: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severance terms of Mr. Shaller's offer letter were triggered on July 31, 2022, and the NEO was required to legally enforce the severance terms of the agreement.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jc w:val="right"/>
              <w:ind w:right="147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3"/>
        </w:trPr>
        <w:tc>
          <w:tcPr>
            <w:tcW w:w="2640" w:type="dxa"/>
            <w:vAlign w:val="bottom"/>
            <w:shd w:val="clear" w:color="auto" w:fill="CCEEFF"/>
          </w:tcPr>
          <w:p>
            <w:pPr>
              <w:jc w:val="right"/>
              <w:ind w:right="24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26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2,760,000</w:t>
            </w:r>
          </w:p>
        </w:tc>
      </w:tr>
    </w:tbl>
    <w:p>
      <w:pPr>
        <w:spacing w:after="0" w:line="225"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2022.</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2022.</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Aaron J. Pearce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were triggered on July 31, 2022,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599,382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1,428,179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3,147,262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2022.</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years ended July 31, 2022, 2021 and 2020.</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$47.85 on 29,847 unvested RSUs and PRSUs that would vest due to the change in control. The restricted stock unit acceleration gain for PRSUs is based on the number of shares earned based on actual performance for the fiscal 2020 award and target performance for the fiscal 2021 and 2022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$47.85 and the exercise price on 22,787 unvested, in-the-money stock options that would vest due to change in control.</w:t>
      </w: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Bentley N. Curran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were triggered on July 31, 2022,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428,754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1,451,525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2022.</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years ended July 31, 2022, 2021 and 2020.</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$47.85 on 6,366 unvested RSUs and PRSUs that would vest due to the change in control. The restricted stock unit acceleration gain for PRSUs is based on the number of shares earned based on actual performance for the fiscal 2020 award and target performance for the fiscal 2021 and 2022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$47.85 and the exercise price on 5,064 unvested, in-the-money stock options that would vest due to change in control.</w:t>
      </w: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Pascal Deman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were triggered on July 31, 2022,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20" w:type="dxa"/>
            <w:vAlign w:val="bottom"/>
          </w:tcPr>
          <w:p>
            <w:pPr>
              <w:spacing w:after="0"/>
              <w:rPr>
                <w:sz w:val="13"/>
                <w:szCs w:val="13"/>
                <w:color w:val="auto"/>
              </w:rPr>
            </w:pPr>
          </w:p>
        </w:tc>
        <w:tc>
          <w:tcPr>
            <w:tcW w:w="14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 ($) (6)</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122,928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943,737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2022.</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annual cash incentive payment received in the last three years ended July 31, 2022, 2021 and 2020.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$47.85 on 4,365 unvested RSUs and PRSUs that would vest due to the change in control. The restricted stock unit acceleration gain for PRSUs is based on the number of shares earned based on target performance for the fiscal 2021 and 2022 awards.</w:t>
      </w:r>
    </w:p>
    <w:p>
      <w:pPr>
        <w:ind w:left="660" w:hanging="328"/>
        <w:spacing w:after="0" w:line="250"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$47.85 and the exercise price on 3,165 unvested, in-the-money stock options that would vest due to change in control.</w:t>
      </w: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table for Mr. Deman would be payable to him in Euros. The amounts shown in U.S. dollars were converted from Euro at the exchange rate as of July 31, 2022: 1 EUR= 1.0196 USD.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Andrew T. Gorman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were triggered on July 31, 2022,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254,135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391,652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1,337,971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2022.</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annual cash incentive payment received in the last two years ended July 31, 2022 and 2021.</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$47.85 on 8,185 unvested RSUs and PRSUs that would vest due to the change in control. The restricted stock unit acceleration gain for PRSUs is based on the number of shares earned based on target performance for the fiscal 2021 and 2022 awards.</w:t>
      </w:r>
    </w:p>
    <w:p>
      <w:pPr>
        <w:ind w:left="660" w:hanging="328"/>
        <w:spacing w:after="0" w:line="250"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$47.85 and the exercise price on 5,824 unvested, in-the-money stock options that would vest due to change in control.</w:t>
      </w: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 Michael Nauman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Nauman resigned and retired as President, CEO &amp; Director of the Company effective April 1, 2022, and remained employed by the Company until June 17, 2022, the date of separation. The Company entered into a written agreement with Mr. Nauman in connection with his retirement that provided for payment of his salary and benefits through June 17, 2022. No vesting accelerations of unvested restricted stock or unvested stock options resulted in any payment under his retirement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Helena R. Nelligan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Ms. Nelligan informed the Company of her intent to retire as Senior Vice President, Human Resources of the Company effective April 8, 2022, and will remain employed by the Company through September 30, 2022, the date of separation. The Company entered into a written agreement with Ms. Nelligan in connection with her retirement that provides for payment of her salary and benefits through September 30, 2022. No vesting accelerations of unvested restricted stock or unvested stock options resulted in any payment under her retirement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Due to Death or Disability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Restricted Stock</w:t>
            </w:r>
          </w:p>
        </w:tc>
        <w:tc>
          <w:tcPr>
            <w:tcW w:w="22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In-the-Money</w:t>
            </w:r>
          </w:p>
        </w:tc>
        <w:tc>
          <w:tcPr>
            <w:tcW w:w="120" w:type="dxa"/>
            <w:vAlign w:val="bottom"/>
          </w:tcPr>
          <w:p>
            <w:pPr>
              <w:spacing w:after="0"/>
              <w:rPr>
                <w:sz w:val="13"/>
                <w:szCs w:val="13"/>
                <w:color w:val="auto"/>
              </w:rPr>
            </w:pPr>
          </w:p>
        </w:tc>
        <w:tc>
          <w:tcPr>
            <w:tcW w:w="15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2"/>
            <w:vMerge w:val="continue"/>
          </w:tcPr>
          <w:p>
            <w:pPr>
              <w:spacing w:after="0"/>
              <w:rPr>
                <w:sz w:val="12"/>
                <w:szCs w:val="12"/>
                <w:color w:val="auto"/>
              </w:rPr>
            </w:pPr>
          </w:p>
        </w:tc>
        <w:tc>
          <w:tcPr>
            <w:tcW w:w="17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 Acceleration Gain $</w:t>
            </w:r>
          </w:p>
        </w:tc>
        <w:tc>
          <w:tcPr>
            <w:tcW w:w="17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 Options as of</w:t>
            </w: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as of July 31, 2022</w:t>
            </w:r>
          </w:p>
        </w:tc>
        <w:tc>
          <w:tcPr>
            <w:tcW w:w="220" w:type="dxa"/>
            <w:vAlign w:val="bottom"/>
          </w:tcPr>
          <w:p>
            <w:pPr>
              <w:spacing w:after="0"/>
              <w:rPr>
                <w:sz w:val="17"/>
                <w:szCs w:val="17"/>
                <w:color w:val="auto"/>
              </w:rPr>
            </w:pPr>
          </w:p>
        </w:tc>
        <w:tc>
          <w:tcPr>
            <w:tcW w:w="14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Acceleration Gain $ (2)</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2,445,326</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1,428,179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 Curran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304,613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208,865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391,652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w:t>
            </w: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30,118</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660" w:hanging="328"/>
        <w:spacing w:after="0" w:line="257"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$47.85 on unvested RSUs and PRSU awards that would vest due to death or disability. The restricted stock unit acceleration gain for PRSUs is based on the number of shares earned based on actual performance for the fiscal 2020 award and target performance for the fiscal 2021 and 2022 awards.</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$47.85 and the exercise price on unvested, in-the-money stock options that would vest due to death or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below is the ratio of the total compensation of our CEO, Russell R. Shaller, to the total compensation of our median employee.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2022:</w:t>
      </w:r>
    </w:p>
    <w:p>
      <w:pPr>
        <w:spacing w:after="0" w:line="171"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of our employees, other than the CEO, was $52,148;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was $4,653,047.</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the ratio of the CEO’s annual total compensation to the median of the annual total compensation of all other employees was approximately 89:1.</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our CEO, we used the total compensation for Mr. Shaller as reported in the Summary Compensation Table. However, because Mr. Shaller was appointed CEO on April 1, 2022, we annualized the amounts reported for him in the “Salary” and “Non-Equity Incentive Compensation” columns of the Summary Compensation Table to reflect the amounts he would have earned for fiscal 2022 if he had served as CEO for the entire fiscal year. The annualized base salary and annual cash incentive award values used in the pay ratio calculation were $690,000 and $1,235,100, respectively. We did not need to annualize the amounts in the "Stock Awards", "Options" or "All Other Compensation" columns of the Summary Compensation Table, as the amounts shown in these columns would have been the same even if he had been the CEO for the entire fiscal 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median employee, we elected to use the same employee identified as the median employee in fiscal 2021 for calculating the pay ratio in fiscal 2022. There were no material changes in our employee population or employee compensation arrangements that we reasonably believe would result in a significant change in our pay ratio disclosures since we identified the median employee for determination of the CEO pay ratio in fiscal 2021.</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fiscal 2021, to identify the median of the annual total compensation of all our employees, as well as to determine the annual total compensation of our median employee, we used the following methodology and assumptions: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date of May 31, 2021 was used to identify our median employee, which is within three months of the Company's fiscal 2021 year end. As of this date, the Company's total employee population, excluding the CEO, consisted of 5,621 individuals, which comprised all full-time and part-time employees.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under the SEC rules, we excluded 139 employees that were acquired subsequent to the measurement date of May 31, 2021. After applying these rules, the employee population consisted of 5,482 individuals, of which 1,496 were in the United States and 3,986 were outside of the United States.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annual total cash compensation earned by our employees, as compiled from our payroll records, as the consistently applied compensation measure by which to determine the median employee. This reflects the principal forms of compensation delivered to all of our employees and is readily available in each country.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of employees for the full fiscal year and for employees hired during the fiscal 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outside of the United States, we used applicable currency exchange rates based on the average exchange rate over the period to convert all compensation data.</w:t>
      </w:r>
    </w:p>
    <w:p>
      <w:pPr>
        <w:ind w:left="660" w:hanging="328"/>
        <w:spacing w:after="0" w:line="26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compensation was calculated in the same manner as total compensation for each of the NEOs within the Summary Compensation Table and includes contributions to health and welfare benefits.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ensure competitive compensation for the Board of Directors, compensation is reviewed annually and market surveys prepared by various consulting firms and the National Association of Corporate Directors are reviewed by the Corporate Governance Committee and the Management Development and Compensation Committee, and they confer with the Board’s independent compensation consultant, Pay Governance LLC, in making recommendations to the Board of Directors regarding director compensation. Directors who are employees of the Company receive no additional compensation for service on the Board or on any committee of the Board. Based on the recommendation of its independent compensation consultant, Pay Governance LLC, the Board approved revisions in the compensation structure of directors, which will become effective following the 2022 Annual Meeting of Shareholders. Effective in fiscal 2023, directors will receive a $67,500 annual cash retainer and a $116,500 award of unrestricted stock. The Chair of the Board will receive an $80,000 annual cash retainer.</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fiscal 2022, the annual cash retainer paid to non-management directors was $60,000. Each member of the Audit Committee received an annual retainer of $15,000, and an additional annual retainer of $15,000 was paid to the Chair of the Audit Committee;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Non-management directors do not receive meeting fees. Non-management directors are eligible to receive compensation of up to $1,000 per day for special assignments required by management or the Board of Directors, so long as the compensation does not impair independence and is approved by the Board as required. No such special assignment fees were paid in fiscal year 2022.</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fiscal 2022, the Chair of the Board, Bradley C. Richardson, was paid an annual fee of $60,000.</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established stock ownership requirements for directors. The ownership requirement for each director is five times the annual Board retainer. Directors have five years to achieve their stock ownership requirements. All directors, except Ms. Collins Smee and Mr. Nargolwala, who were each elected to the Board in February 2022, have met their stock ownership requirements.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Brady Corporation 2017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14, 2021, the Board approved an annual stock-based compensation award of $109,000 fair value of unrestricted shares of Class A Common Stock with a grant date fair value of $49.79 per share, for each non-management director, effective September 16,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include Brady Corporation Class A Nonvoting Common Stock and various mutual funds that are offered in the employee Matched 401(k) Plan. Directors may elect whether to receive their account balance following termination in a single lump sum payment or by means of distribution under an annual installment method. Distributions of the Company Class A Nonvoting Common Stock are made in-kind; distributions of mutual funds are made in cash.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 Fiscal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 (2)</w:t>
            </w:r>
          </w:p>
        </w:tc>
        <w:tc>
          <w:tcPr>
            <w:tcW w:w="26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5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36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214,040</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206,040</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209,040</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Joanne Collins Smee </w:t>
            </w:r>
            <w:r>
              <w:rPr>
                <w:rFonts w:ascii="Times New Roman" w:cs="Times New Roman" w:eastAsia="Times New Roman" w:hAnsi="Times New Roman"/>
                <w:sz w:val="23"/>
                <w:szCs w:val="23"/>
                <w:color w:val="auto"/>
                <w:vertAlign w:val="superscript"/>
              </w:rPr>
              <w:t>(3)(4)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151,321</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203,040</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191,040</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Vineet Nargolwala </w:t>
            </w:r>
            <w:r>
              <w:rPr>
                <w:rFonts w:ascii="Times New Roman" w:cs="Times New Roman" w:eastAsia="Times New Roman" w:hAnsi="Times New Roman"/>
                <w:sz w:val="23"/>
                <w:szCs w:val="23"/>
                <w:color w:val="auto"/>
                <w:vertAlign w:val="superscript"/>
              </w:rPr>
              <w:t>(3)(4)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151,321</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291,040</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5"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options were awarded to non-management directors in fiscal 2022. Outstanding option awards at July 31, 2022, for each individual who served as director in fiscal 2022 include the following: Mr. Allender, 12,750; Ms. Bruno, 8,500; Ms. Gioia, 8,500; and Mr. Harris, 11,750. The actual value, if any, which an option holder will realize upon the exercise of an option will depend on the excess of the market value of the Company's common stock over the exercise price on the date the option is exercised.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shares of Brady Corporation Class A Non-Voting Common Stock granted in fiscal 2022 as compensation for their services. The shares of unrestricted stock granted to the non-management directors were valued at the average of the high and low market price of $49.79 on September 16, 2021, for those non-management directors on the board as of that grant date.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Collins Smee and Mr. Nargolwala were appointed to the Board on February 15, 2022 such that the value of their compensation reported in the table above is prorated for the time served on the Board during fiscal 2022.</w:t>
      </w:r>
    </w:p>
    <w:p>
      <w:pPr>
        <w:jc w:val="both"/>
        <w:ind w:left="660" w:hanging="328"/>
        <w:spacing w:after="0" w:line="255"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granted to Ms. Collins Smee and Mr. Nargolwala represent the fair value of shares of Brady Corporation Class A Non-Voting Common Stock granted as compensation when they were appointed to the Board. The shares of unrestricted stock granted to Ms. Collins Smee and Mr. Nargolwala were valued at the average of the high and low market price of $45.97 on February 22,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Certain Beneficial Owners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shareholders who are known by the Company to own more than five percent (5%) of any class of the Company’s voting shares on July 31, 2022. As of that date, nearly all of the voting stock of the Company was held by two trusts controlled by direct descendants of the Company’s founder, William H. Brady,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3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9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5"/>
        </w:trPr>
        <w:tc>
          <w:tcPr>
            <w:tcW w:w="292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Ownership(2)</w:t>
            </w:r>
          </w:p>
        </w:tc>
        <w:tc>
          <w:tcPr>
            <w:tcW w:w="0" w:type="dxa"/>
            <w:vAlign w:val="bottom"/>
          </w:tcPr>
          <w:p>
            <w:pPr>
              <w:spacing w:after="0"/>
              <w:rPr>
                <w:sz w:val="1"/>
                <w:szCs w:val="1"/>
                <w:color w:val="auto"/>
              </w:rPr>
            </w:pPr>
          </w:p>
        </w:tc>
      </w:tr>
      <w:tr>
        <w:trPr>
          <w:trHeight w:val="174"/>
        </w:trPr>
        <w:tc>
          <w:tcPr>
            <w:tcW w:w="28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EBL GST Non-Exempt Stock B Trust(1) c/o Elizabeth P.</w:t>
            </w:r>
          </w:p>
        </w:tc>
        <w:tc>
          <w:tcPr>
            <w:tcW w:w="1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1,769,304</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Bruno 2002 S. Hawick Ct. Chapel Hill, NC 27516</w:t>
            </w: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William H. Brady III Living Trust dated November 1,</w:t>
            </w: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1,769,304</w:t>
            </w:r>
          </w:p>
        </w:tc>
        <w:tc>
          <w:tcPr>
            <w:tcW w:w="10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2013 (3)</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 William H. Brady III</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249 Rosemont Ave.</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Pasadena, CA 91103</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hanging="328"/>
        <w:spacing w:after="0" w:line="261" w:lineRule="auto"/>
        <w:tabs>
          <w:tab w:leader="none" w:pos="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ind w:left="640" w:hanging="308"/>
        <w:spacing w:after="0"/>
        <w:tabs>
          <w:tab w:leader="none" w:pos="6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 shares are owned by a third trust with different trustees.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1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each class of equity securities of the Company by each director and NEO individually and by all directors and Officers of the Company as a group as of July 31, 2022. Unless otherwise noted, the address for each of the listed persons is c/o Brady Corporation, 6555 West Good Hope Road, Milwaukee, Wisconsin 53223. Except as otherwise indicated, all shares are owned directly.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Name of Beneficial Owner &amp; Nature of Beneficial Ownership</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Percent of Ownership</w:t>
            </w:r>
          </w:p>
        </w:tc>
        <w:tc>
          <w:tcPr>
            <w:tcW w:w="0" w:type="dxa"/>
            <w:vAlign w:val="bottom"/>
          </w:tcPr>
          <w:p>
            <w:pPr>
              <w:spacing w:after="0"/>
              <w:rPr>
                <w:sz w:val="1"/>
                <w:szCs w:val="1"/>
                <w:color w:val="auto"/>
              </w:rPr>
            </w:pPr>
          </w:p>
        </w:tc>
      </w:tr>
      <w:tr>
        <w:trPr>
          <w:trHeight w:val="195"/>
        </w:trPr>
        <w:tc>
          <w:tcPr>
            <w:tcW w:w="2520" w:type="dxa"/>
            <w:vAlign w:val="bottom"/>
            <w:gridSpan w:val="2"/>
            <w:vMerge w:val="continue"/>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Ownership(3)(4)(5)</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Elizabeth P. Bruno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984,154</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Michael Nauman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292,349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164,177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Patrick W. Allender </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Helena R. Nelligan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N. Curran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Pascal Deman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Officers and Directors as a Group (16 persons)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2,526,059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4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Elizabeth P. Bruno </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80" w:hanging="41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one-tenth of one percent.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hanging="328"/>
        <w:spacing w:after="0" w:line="257" w:lineRule="auto"/>
        <w:tabs>
          <w:tab w:leader="none" w:pos="6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Bruno’s holdings of Class A Common Stock include 600,000 shares owned by a trust for which she is a trustee and has sole dispositive and voting authority and 16,530 shares owned by trusts in which she is a co-trustee. Ms. Bruno’s holdings of Class B Common Stock include 1,769,304 shares owned by a trust over which she has sole dispositive and voting authority.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Allender's holdings of Class A Common Stock include 29,479 shares owned by the Patrick and Deborah Allender Irrevocable Trust.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(16 persons) includes options to acquire a total of 872,953 shares of Class A Common Stock, which are currently exercisable or will be exercisable within 60 days of July 31, 2022, including the following: Ms. Bruno, 8,500 shares; Mr. Nauman, 443,179 shares; Mr. Pearce, 200,163 shares; Mr. Shaller, 102,398 shares; Mr. Allender, 12,750 shares; Ms. Nelligan, 50,288 shares; Mr. Harris, 11,750 shares; Ms. Gioia, 8,500 shares; Mr. Curran, 16,645 shares; Mr. Deman, 13,711 shares; and Mr. Gorman, 5,069 shares. It does not include other options for Class A Common Stock which have been granted at later dates and are not exercisable within 60 days of July 31, 2022.</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(16 persons) includes unvested restricted stock units to acquire 44,021 shares of Class A Common stock, which will vest within 60 days of July 31, 2022, including the following: Mr. Nauman, 23,840 units; Mr. Pearce, 7,135 units; Mr. Shaller, 8,168 units; Ms. Nelligan, 2,351 units; Mr. Curran, 1,567 units; Mr. Deman, 452 units; and Mr. Gorman, 508 units. It does not include unvested restricted stock awards or restricted stock units to acquire Class A Common Stock which have been granted at later dates and will not vest within 60 days of July 31, 2022.</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(16 persons) includes Class A Common Stock owned in deferred compensation plans totaling 189,807 shares of Class A Common Stock, including the following: Ms. Bruno, 2,784 shares; Mr. Pearce, 3,904 shares; Mr. Allender, 80,578 shares; Mr. Richardson, 67,746 shares; Mr. Harris, 2,820 shares; Ms. Gioia, 12,633 shares; Mr. Curran, 134 shares; Dr. Williams, 14,441 shares; Ms. Collins Smee, 2,384 shares; and Mr. Nargolwala, 2,384 shares.</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in Control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arrangements are known to the Company, which may, at a subsequent date, result in a change in control of the Company.</w:t>
      </w:r>
    </w:p>
    <w:p>
      <w:pPr>
        <w:spacing w:after="0" w:line="167" w:lineRule="exact"/>
        <w:rPr>
          <w:sz w:val="20"/>
          <w:szCs w:val="20"/>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July 31, 2022</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2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60" w:type="dxa"/>
            <w:vAlign w:val="bottom"/>
          </w:tcPr>
          <w:p>
            <w:pPr>
              <w:spacing w:after="0"/>
              <w:rPr>
                <w:sz w:val="12"/>
                <w:szCs w:val="12"/>
                <w:color w:val="auto"/>
              </w:rPr>
            </w:pPr>
          </w:p>
        </w:tc>
        <w:tc>
          <w:tcPr>
            <w:tcW w:w="2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 future issuance</w:t>
            </w: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6"/>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6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 warrants and rights</w:t>
            </w: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 securities reflected in column</w:t>
            </w:r>
          </w:p>
        </w:tc>
        <w:tc>
          <w:tcPr>
            <w:tcW w:w="0" w:type="dxa"/>
            <w:vAlign w:val="bottom"/>
          </w:tcPr>
          <w:p>
            <w:pPr>
              <w:spacing w:after="0"/>
              <w:rPr>
                <w:sz w:val="1"/>
                <w:szCs w:val="1"/>
                <w:color w:val="auto"/>
              </w:rPr>
            </w:pPr>
          </w:p>
        </w:tc>
      </w:tr>
      <w:tr>
        <w:trPr>
          <w:trHeight w:val="198"/>
        </w:trPr>
        <w:tc>
          <w:tcPr>
            <w:tcW w:w="3320" w:type="dxa"/>
            <w:vAlign w:val="bottom"/>
            <w:vMerge w:val="continue"/>
          </w:tcPr>
          <w:p>
            <w:pPr>
              <w:spacing w:after="0"/>
              <w:rPr>
                <w:sz w:val="17"/>
                <w:szCs w:val="17"/>
                <w:color w:val="auto"/>
              </w:rPr>
            </w:pP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60" w:type="dxa"/>
            <w:vAlign w:val="bottom"/>
          </w:tcPr>
          <w:p>
            <w:pPr>
              <w:spacing w:after="0"/>
              <w:rPr>
                <w:sz w:val="17"/>
                <w:szCs w:val="17"/>
                <w:color w:val="auto"/>
              </w:rPr>
            </w:pP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(c)</w:t>
            </w:r>
          </w:p>
        </w:tc>
        <w:tc>
          <w:tcPr>
            <w:tcW w:w="0" w:type="dxa"/>
            <w:vAlign w:val="bottom"/>
          </w:tcPr>
          <w:p>
            <w:pPr>
              <w:spacing w:after="0"/>
              <w:rPr>
                <w:sz w:val="1"/>
                <w:szCs w:val="1"/>
                <w:color w:val="auto"/>
              </w:rPr>
            </w:pPr>
          </w:p>
        </w:tc>
      </w:tr>
      <w:tr>
        <w:trPr>
          <w:trHeight w:val="160"/>
        </w:trPr>
        <w:tc>
          <w:tcPr>
            <w:tcW w:w="33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2,605,629</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21"/>
                <w:szCs w:val="21"/>
                <w:color w:val="auto"/>
              </w:rPr>
            </w:pPr>
          </w:p>
        </w:tc>
        <w:tc>
          <w:tcPr>
            <w:tcW w:w="2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2,605,629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Related Transactions, and Director Independence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annually solicits information from its directors in order to ensure there are no conflicts of interest. The information gathered annually is reviewed by the Company and if any transactions are not in accordance with the rules of the NYSE or are potentially in violation of the Company’s Corporate Governance Principles, the transactions are referred to the Corporate Governance Committee for approval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2022.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2022, or are currently proposed, that would require disclosure under Item 404 (a) of Regulation S-K.</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10 above for a discussion of director independence.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aggregate fees incurred for professional services by Deloitte &amp; Touche LLP and Deloitte Tax LLP during the years ended July 31, 2022 and 2021. Other than as set forth below, no professional services were rendered or fees billed by Deloitte &amp; Touche LLP or Deloitte Tax LLP during the years ended July 31,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3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Audit, audit-related and tax compliance: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fees — compliance</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Subtotal audit, audit-related and tax compliance fees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Non-audit related:</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 fees — planning and advice</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Subtotal non-audit related fees</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0"/>
        </w:trPr>
        <w:tc>
          <w:tcPr>
            <w:tcW w:w="7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-1379855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left="660" w:hanging="328"/>
        <w:spacing w:after="0" w:line="271"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Tax Planning and Advice Fees to Audit Fees, Audit-Related Fees and Tax Compliance Fees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to 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to 1</w:t>
            </w:r>
          </w:p>
        </w:tc>
      </w:tr>
    </w:tbl>
    <w:p>
      <w:pPr>
        <w:spacing w:after="0" w:line="3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Pre-Approval Policy — </w:t>
      </w:r>
      <w:r>
        <w:rPr>
          <w:rFonts w:ascii="Times New Roman" w:cs="Times New Roman" w:eastAsia="Times New Roman" w:hAnsi="Times New Roman"/>
          <w:sz w:val="18"/>
          <w:szCs w:val="18"/>
          <w:color w:val="auto"/>
        </w:rPr>
        <w:t>The services performed by the Independent Registered Public Accounting Firm (“Independent Auditors”) in fiscal 2022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also require specific pre-approval by the Audit Committee.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15 (a) — The following documents are filed as part of this report:</w:t>
      </w:r>
    </w:p>
    <w:p>
      <w:pPr>
        <w:spacing w:after="0" w:line="104" w:lineRule="exact"/>
        <w:rPr>
          <w:sz w:val="20"/>
          <w:szCs w:val="20"/>
          <w:color w:val="auto"/>
        </w:rPr>
      </w:pPr>
    </w:p>
    <w:p>
      <w:pPr>
        <w:ind w:left="980" w:right="6760" w:hanging="324"/>
        <w:spacing w:after="0" w:line="464" w:lineRule="auto"/>
        <w:tabs>
          <w:tab w:leader="none" w:pos="85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&amp; 2) Consolidated Financial Statement Schedule - Schedule II Valuation and Qualifying Accounts</w:t>
      </w:r>
    </w:p>
    <w:p>
      <w:pPr>
        <w:ind w:left="98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they are not required, or the required information is shown in the consolidated financial statements or notes thereto.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 — See Exhibit Index at page 95 of this Form 10-K.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00"/>
          </w:cols>
          <w:pgMar w:left="320" w:top="118" w:right="379" w:bottom="1440" w:gutter="0" w:footer="0" w:header="0"/>
        </w:sectPr>
      </w:pP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119380</wp:posOffset>
            </wp:positionV>
            <wp:extent cx="7106285"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500" w:space="720"/>
            <w:col w:w="4980"/>
          </w:cols>
          <w:pgMar w:left="320" w:top="118" w:right="379" w:bottom="1440" w:gutter="0" w:footer="0" w:header="0"/>
          <w:type w:val="continuous"/>
        </w:sect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2.1 </w:t>
      </w:r>
      <w:hyperlink r:id="rId164">
        <w:r>
          <w:rPr>
            <w:rFonts w:ascii="Times New Roman" w:cs="Times New Roman" w:eastAsia="Times New Roman" w:hAnsi="Times New Roman"/>
            <w:sz w:val="18"/>
            <w:szCs w:val="18"/>
            <w:color w:val="0000FF"/>
          </w:rPr>
          <w:t>Agreement and Plan of Merger, dated as of December 28, 2012, by and among Brady Corporation, BC I Merger Sub</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Corporation, Precision Dynamics Corporation, and Precision Dynamics Holding LLC (29)</w:t>
        </w:r>
      </w:hyperlink>
    </w:p>
    <w:p>
      <w:pPr>
        <w:spacing w:after="0" w:line="10" w:lineRule="exact"/>
        <w:rPr>
          <w:sz w:val="20"/>
          <w:szCs w:val="20"/>
          <w:color w:val="auto"/>
        </w:r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2.2 </w:t>
      </w:r>
      <w:hyperlink r:id="rId165">
        <w:r>
          <w:rPr>
            <w:rFonts w:ascii="Times New Roman" w:cs="Times New Roman" w:eastAsia="Times New Roman" w:hAnsi="Times New Roman"/>
            <w:sz w:val="18"/>
            <w:szCs w:val="18"/>
            <w:color w:val="0000FF"/>
          </w:rPr>
          <w:t>Share and Asset Purchase Agreement, dated as of February 24, 2014, by and among Brady Corporation, LTI Flexible Products,</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color w:val="0000FF"/>
          </w:rPr>
          <w:t>Inc. (d/b/a Boyd Corporation), and LTI Holdings Inc. (6)</w:t>
        </w:r>
      </w:hyperlink>
    </w:p>
    <w:p>
      <w:pPr>
        <w:spacing w:after="0" w:line="10"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hyperlink r:id="rId166">
        <w:r>
          <w:rPr>
            <w:rFonts w:ascii="Times New Roman" w:cs="Times New Roman" w:eastAsia="Times New Roman" w:hAnsi="Times New Roman"/>
            <w:sz w:val="18"/>
            <w:szCs w:val="18"/>
            <w:color w:val="0000FF"/>
          </w:rPr>
          <w:t>Combination Agreement, dated as of April 15, 2021, by and between Brady S.a.r.l and Nordic ID Oyj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960" w:hanging="314"/>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2.4 </w:t>
      </w:r>
      <w:hyperlink r:id="rId168">
        <w:r>
          <w:rPr>
            <w:rFonts w:ascii="Times New Roman" w:cs="Times New Roman" w:eastAsia="Times New Roman" w:hAnsi="Times New Roman"/>
            <w:sz w:val="18"/>
            <w:szCs w:val="18"/>
            <w:color w:val="0000FF"/>
          </w:rPr>
          <w:t>Purchase Agreement, dated as of May 21, 2021, by and among Brady Corporation, LDC Limited, and the other institutional and</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0000FF"/>
          </w:rPr>
          <w:t>individual holders of outstanding shares of Magicard Holdings Limited (36)</w:t>
        </w:r>
      </w:hyperlink>
    </w:p>
    <w:p>
      <w:pPr>
        <w:spacing w:after="0" w:line="10" w:lineRule="exact"/>
        <w:rPr>
          <w:sz w:val="20"/>
          <w:szCs w:val="20"/>
          <w:color w:val="auto"/>
        </w:r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2.5 </w:t>
      </w:r>
      <w:hyperlink r:id="rId169">
        <w:r>
          <w:rPr>
            <w:rFonts w:ascii="Times New Roman" w:cs="Times New Roman" w:eastAsia="Times New Roman" w:hAnsi="Times New Roman"/>
            <w:sz w:val="18"/>
            <w:szCs w:val="18"/>
            <w:color w:val="0000FF"/>
          </w:rPr>
          <w:t>Purchase Agreement, dated as of June 16, 2021, by and among Brady Worldwide, Inc., BW Acquisition Corp., The Code</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FF"/>
          </w:rPr>
          <w:t>Corporation, Certain Stockholders of the Code Corporation, and Shareholder Representative Services LLC (24)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8"/>
          <w:szCs w:val="18"/>
          <w:color w:val="auto"/>
        </w:rPr>
        <w:t>3.1 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hyperlink r:id="rId172">
        <w:r>
          <w:rPr>
            <w:rFonts w:ascii="Times New Roman" w:cs="Times New Roman" w:eastAsia="Times New Roman" w:hAnsi="Times New Roman"/>
            <w:sz w:val="18"/>
            <w:szCs w:val="18"/>
            <w:color w:val="0000FF"/>
          </w:rPr>
          <w:t>By-Laws of Brady Corporation, as amended September 14, 2020 (23)</w:t>
        </w:r>
      </w:hyperlink>
    </w:p>
    <w:p>
      <w:pPr>
        <w:spacing w:after="0" w:line="23"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73">
        <w:r>
          <w:rPr>
            <w:rFonts w:ascii="Times New Roman" w:cs="Times New Roman" w:eastAsia="Times New Roman" w:hAnsi="Times New Roman"/>
            <w:sz w:val="18"/>
            <w:szCs w:val="18"/>
            <w:color w:val="0000FF"/>
          </w:rPr>
          <w:t>Description of Brady Corporation Securities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4.2 Form of Indenture (1)</w:t>
      </w:r>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175">
        <w:r>
          <w:rPr>
            <w:rFonts w:ascii="Times New Roman" w:cs="Times New Roman" w:eastAsia="Times New Roman" w:hAnsi="Times New Roman"/>
            <w:sz w:val="18"/>
            <w:szCs w:val="18"/>
            <w:color w:val="0000FF"/>
          </w:rPr>
          <w:t>Change of Control Agreement, dated as of January 7, 2020,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*10.2 Brady Corporation BradyGold Plan, as amended (2)</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*10.3 Executive Additional Compensation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78">
        <w:r>
          <w:rPr>
            <w:rFonts w:ascii="Times New Roman" w:cs="Times New Roman" w:eastAsia="Times New Roman" w:hAnsi="Times New Roman"/>
            <w:sz w:val="18"/>
            <w:szCs w:val="18"/>
            <w:color w:val="0000FF"/>
          </w:rPr>
          <w:t>Executive Deferred Compensation Plan, as amended (37)</w:t>
        </w:r>
      </w:hyperlink>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79">
        <w:r>
          <w:rPr>
            <w:rFonts w:ascii="Times New Roman" w:cs="Times New Roman" w:eastAsia="Times New Roman" w:hAnsi="Times New Roman"/>
            <w:sz w:val="18"/>
            <w:szCs w:val="18"/>
            <w:color w:val="0000FF"/>
          </w:rPr>
          <w:t>Directors’ Deferred Compensation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color w:val="0000FF"/>
        </w:rPr>
        <w:t>Change of Control Agreement, dated as of April 6, 2020, with Andrew T. Gorman</w:t>
      </w:r>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181">
        <w:r>
          <w:rPr>
            <w:rFonts w:ascii="Times New Roman" w:cs="Times New Roman" w:eastAsia="Times New Roman" w:hAnsi="Times New Roman"/>
            <w:sz w:val="18"/>
            <w:szCs w:val="18"/>
            <w:color w:val="0000FF"/>
          </w:rPr>
          <w:t>Brady Corporation 2017 Omnibus Incentive Plan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44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*10.8 </w:t>
      </w:r>
      <w:hyperlink r:id="rId183">
        <w:r>
          <w:rPr>
            <w:rFonts w:ascii="Times New Roman" w:cs="Times New Roman" w:eastAsia="Times New Roman" w:hAnsi="Times New Roman"/>
            <w:sz w:val="18"/>
            <w:szCs w:val="18"/>
            <w:color w:val="0000FF"/>
          </w:rPr>
          <w:t>Form of Nonqualified Stock Option Agreement under the Brady Corporation 2017 Omnibus Incentive Plan for awards granted</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color w:val="0000FF"/>
          </w:rPr>
          <w:t>prior to Fiscal 2019 (33)</w:t>
        </w:r>
      </w:hyperlink>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10.9 Brady Corporation Automatic Dividend Reinvestment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265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*10.10 </w:t>
      </w:r>
      <w:hyperlink r:id="rId185">
        <w:r>
          <w:rPr>
            <w:rFonts w:ascii="Times New Roman" w:cs="Times New Roman" w:eastAsia="Times New Roman" w:hAnsi="Times New Roman"/>
            <w:sz w:val="18"/>
            <w:szCs w:val="18"/>
            <w:color w:val="0000FF"/>
          </w:rPr>
          <w:t>Complete and Permanent Release and Retirement Agreement, dated as of March 10, 2022, between Brady Corporation and J.</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FF"/>
          </w:rPr>
          <w:t>Michael Nauman (15)</w:t>
        </w:r>
      </w:hyperlink>
    </w:p>
    <w:p>
      <w:pPr>
        <w:spacing w:after="0" w:line="10" w:lineRule="exact"/>
        <w:rPr>
          <w:sz w:val="20"/>
          <w:szCs w:val="20"/>
          <w:color w:val="auto"/>
        </w:rPr>
      </w:pPr>
    </w:p>
    <w:p>
      <w:pPr>
        <w:ind w:left="1960" w:hanging="523"/>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*10.11 </w:t>
      </w:r>
      <w:hyperlink r:id="rId186">
        <w:r>
          <w:rPr>
            <w:rFonts w:ascii="Times New Roman" w:cs="Times New Roman" w:eastAsia="Times New Roman" w:hAnsi="Times New Roman"/>
            <w:sz w:val="18"/>
            <w:szCs w:val="18"/>
            <w:color w:val="0000FF"/>
          </w:rPr>
          <w:t>Form of Fiscal 2021 Performance-Based Restricted Stock Unit Agreement under the Brady Corporation 2017 Omnibus</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color w:val="0000FF"/>
          </w:rPr>
          <w:t>Incentive Plan (18)</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*10.12 </w:t>
      </w:r>
      <w:hyperlink r:id="rId187">
        <w:r>
          <w:rPr>
            <w:rFonts w:ascii="Times New Roman" w:cs="Times New Roman" w:eastAsia="Times New Roman" w:hAnsi="Times New Roman"/>
            <w:sz w:val="18"/>
            <w:szCs w:val="18"/>
            <w:color w:val="0000FF"/>
          </w:rPr>
          <w:t>Form of Restricted Stock Unit Agreement under the Brady Corporation 2017 Omnibus Incentive Plan for awards granted prior</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FF"/>
          </w:rPr>
          <w:t>to 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*10.13 </w:t>
      </w:r>
      <w:hyperlink r:id="rId189">
        <w:r>
          <w:rPr>
            <w:rFonts w:ascii="Times New Roman" w:cs="Times New Roman" w:eastAsia="Times New Roman" w:hAnsi="Times New Roman"/>
            <w:sz w:val="18"/>
            <w:szCs w:val="18"/>
            <w:color w:val="0000FF"/>
          </w:rPr>
          <w:t>Form of Fiscal 2020 and Fiscal 2021 Nonqualified Employee Stock Option Agreement under the Brady Corporation 2017</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FF"/>
          </w:rPr>
          <w:t>Omnibus Incentive Plan (3)</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*10.14 </w:t>
      </w:r>
      <w:hyperlink r:id="rId190">
        <w:r>
          <w:rPr>
            <w:rFonts w:ascii="Times New Roman" w:cs="Times New Roman" w:eastAsia="Times New Roman" w:hAnsi="Times New Roman"/>
            <w:sz w:val="18"/>
            <w:szCs w:val="18"/>
            <w:color w:val="0000FF"/>
          </w:rPr>
          <w:t>Form of Fiscal 2019 and Fiscal 2020 Performance-Based Restricted Stock Unit Agreement under the Brady Corporation 2017</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FF"/>
          </w:rPr>
          <w:t>Omnibus Incentive 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*10.15 </w:t>
      </w:r>
      <w:hyperlink r:id="rId192">
        <w:r>
          <w:rPr>
            <w:rFonts w:ascii="Times New Roman" w:cs="Times New Roman" w:eastAsia="Times New Roman" w:hAnsi="Times New Roman"/>
            <w:sz w:val="18"/>
            <w:szCs w:val="18"/>
            <w:color w:val="0000FF"/>
          </w:rPr>
          <w:t>Complete and Permanent Release and Retirement Agreement, dated as of April 5, 2022, between Brady Corporation and</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0000FF"/>
          </w:rPr>
          <w:t>Helena R. Nelligan (14)</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*10.16 </w:t>
      </w:r>
      <w:hyperlink r:id="rId193">
        <w:r>
          <w:rPr>
            <w:rFonts w:ascii="Times New Roman" w:cs="Times New Roman" w:eastAsia="Times New Roman" w:hAnsi="Times New Roman"/>
            <w:sz w:val="18"/>
            <w:szCs w:val="18"/>
            <w:color w:val="0000FF"/>
          </w:rPr>
          <w:t>Form of Fiscal 2020 and Fiscal 2021 Restricted Stock Unit Agreement under the Brady Corporation 2017 Omnibus Incentive</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color w:val="0000FF"/>
          </w:rPr>
          <w:t>Plan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95">
        <w:r>
          <w:rPr>
            <w:rFonts w:ascii="Times New Roman" w:cs="Times New Roman" w:eastAsia="Times New Roman" w:hAnsi="Times New Roman"/>
            <w:sz w:val="18"/>
            <w:szCs w:val="18"/>
            <w:color w:val="0000FF"/>
          </w:rPr>
          <w:t>Employment Offer Letter, dated as of March 11, 2022, with Russell R. Shaller (15)</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w:t>
      </w:r>
      <w:hyperlink r:id="rId197">
        <w:r>
          <w:rPr>
            <w:rFonts w:ascii="Times New Roman" w:cs="Times New Roman" w:eastAsia="Times New Roman" w:hAnsi="Times New Roman"/>
            <w:sz w:val="18"/>
            <w:szCs w:val="18"/>
            <w:color w:val="0000FF"/>
          </w:rPr>
          <w:t>Change of Control Agreement, dated as of September 11, 2015, with Aaron J. Pearce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*10.19 </w:t>
      </w:r>
      <w:hyperlink r:id="rId199">
        <w:r>
          <w:rPr>
            <w:rFonts w:ascii="Times New Roman" w:cs="Times New Roman" w:eastAsia="Times New Roman" w:hAnsi="Times New Roman"/>
            <w:sz w:val="18"/>
            <w:szCs w:val="18"/>
            <w:color w:val="0000FF"/>
          </w:rPr>
          <w:t>Form of Fiscal 2019 Nonqualified Employee Stock Option Agreement under the Brady Corporation 2017 Omnibus Incentive</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Plan (37)</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200">
        <w:r>
          <w:rPr>
            <w:rFonts w:ascii="Times New Roman" w:cs="Times New Roman" w:eastAsia="Times New Roman" w:hAnsi="Times New Roman"/>
            <w:sz w:val="18"/>
            <w:szCs w:val="18"/>
            <w:color w:val="0000FF"/>
          </w:rPr>
          <w:t>Restricted Stock Unit Agreement, dated as of April 1, 2022, with Russell R. Shaller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w:t>
      </w:r>
      <w:hyperlink r:id="rId202">
        <w:r>
          <w:rPr>
            <w:rFonts w:ascii="Times New Roman" w:cs="Times New Roman" w:eastAsia="Times New Roman" w:hAnsi="Times New Roman"/>
            <w:sz w:val="18"/>
            <w:szCs w:val="18"/>
            <w:color w:val="0000FF"/>
          </w:rPr>
          <w:t>Restated Brady Corporation Restoration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204">
        <w:r>
          <w:rPr>
            <w:rFonts w:ascii="Times New Roman" w:cs="Times New Roman" w:eastAsia="Times New Roman" w:hAnsi="Times New Roman"/>
            <w:sz w:val="18"/>
            <w:szCs w:val="18"/>
            <w:color w:val="0000FF"/>
          </w:rPr>
          <w:t>Change of Control Agreement, dated as of April 1, 2022, with Russell R. Shaller (15)</w:t>
        </w:r>
      </w:hyperlink>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color w:val="0000FF"/>
        </w:rPr>
        <w:t>Employment Offer Letter, dated as of February 19, 2020, with Andrew T.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sz w:val="20"/>
          <w:szCs w:val="20"/>
          <w:color w:val="auto"/>
        </w:rPr>
      </w:pP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18"/>
          <w:szCs w:val="18"/>
          <w:color w:val="0000FF"/>
        </w:rPr>
        <w:t>Form of Fiscal 2023 Performance-Based Restricted Stock Unit Agreement under the Brady Corporation 2017 Omnibus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Incentive Plan</w:t>
      </w:r>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206">
        <w:r>
          <w:rPr>
            <w:rFonts w:ascii="Times New Roman" w:cs="Times New Roman" w:eastAsia="Times New Roman" w:hAnsi="Times New Roman"/>
            <w:sz w:val="18"/>
            <w:szCs w:val="18"/>
            <w:color w:val="0000FF"/>
          </w:rPr>
          <w:t>Form of Fiscal 2022 Restricted Stock Unit Agreement under the Brady Corporation 2017 Omnibus Incentive 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w:t>
      </w:r>
      <w:hyperlink r:id="rId208">
        <w:r>
          <w:rPr>
            <w:rFonts w:ascii="Times New Roman" w:cs="Times New Roman" w:eastAsia="Times New Roman" w:hAnsi="Times New Roman"/>
            <w:sz w:val="18"/>
            <w:szCs w:val="18"/>
            <w:color w:val="0000FF"/>
          </w:rPr>
          <w:t>Employment Offer Letter, dated as of August 3, 2022, with Oliver Bojarski (12)</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209">
        <w:r>
          <w:rPr>
            <w:rFonts w:ascii="Times New Roman" w:cs="Times New Roman" w:eastAsia="Times New Roman" w:hAnsi="Times New Roman"/>
            <w:sz w:val="18"/>
            <w:szCs w:val="18"/>
            <w:color w:val="0000FF"/>
          </w:rPr>
          <w:t>Form of Fiscal 2019 Restricted Stock Unit Agreement under the Brady Corporation 2017 Omnibus Incentive 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*10.28 </w:t>
      </w:r>
      <w:hyperlink r:id="rId211">
        <w:r>
          <w:rPr>
            <w:rFonts w:ascii="Times New Roman" w:cs="Times New Roman" w:eastAsia="Times New Roman" w:hAnsi="Times New Roman"/>
            <w:sz w:val="18"/>
            <w:szCs w:val="18"/>
            <w:color w:val="0000FF"/>
          </w:rPr>
          <w:t>Employee Non-Compete and Non-Disclosure Agreement, dated as of August 3, 2022, between Brady Corporation and Oliver</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color w:val="0000FF"/>
          </w:rPr>
          <w:t>Bojarski (12)</w:t>
        </w:r>
      </w:hyperlink>
    </w:p>
    <w:p>
      <w:pPr>
        <w:spacing w:after="0" w:line="10" w:lineRule="exact"/>
        <w:rPr>
          <w:sz w:val="20"/>
          <w:szCs w:val="20"/>
          <w:color w:val="auto"/>
        </w:rPr>
      </w:pPr>
    </w:p>
    <w:p>
      <w:pPr>
        <w:ind w:left="1960" w:hanging="49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10.29 </w:t>
      </w:r>
      <w:hyperlink r:id="rId212">
        <w:r>
          <w:rPr>
            <w:rFonts w:ascii="Times New Roman" w:cs="Times New Roman" w:eastAsia="Times New Roman" w:hAnsi="Times New Roman"/>
            <w:sz w:val="18"/>
            <w:szCs w:val="18"/>
            <w:color w:val="0000FF"/>
          </w:rPr>
          <w:t>First Amendment to Credit Agreement, dated as of December 21, 2021, by and among Brady Corporation and certain of its</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color w:val="0000FF"/>
          </w:rPr>
          <w:t>subsidiaries, the lenders listed therein and BMO Harris Bank, N.A., as administrative agent (20)</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206">
        <w:r>
          <w:rPr>
            <w:rFonts w:ascii="Times New Roman" w:cs="Times New Roman" w:eastAsia="Times New Roman" w:hAnsi="Times New Roman"/>
            <w:sz w:val="18"/>
            <w:szCs w:val="18"/>
            <w:color w:val="0000FF"/>
          </w:rPr>
          <w:t>Form of Fiscal 2022 Restricted Stock Unit Agreement under the Brady Corporation 2017 Omnibus Incentive 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*10.31 </w:t>
      </w:r>
      <w:hyperlink r:id="rId214">
        <w:r>
          <w:rPr>
            <w:rFonts w:ascii="Times New Roman" w:cs="Times New Roman" w:eastAsia="Times New Roman" w:hAnsi="Times New Roman"/>
            <w:sz w:val="18"/>
            <w:szCs w:val="18"/>
            <w:color w:val="0000FF"/>
          </w:rPr>
          <w:t>Change of Control Agreement, dated as of March 3, 2014, with Bentley N. Curran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*10.32 </w:t>
      </w:r>
      <w:hyperlink r:id="rId216">
        <w:r>
          <w:rPr>
            <w:rFonts w:ascii="Times New Roman" w:cs="Times New Roman" w:eastAsia="Times New Roman" w:hAnsi="Times New Roman"/>
            <w:sz w:val="18"/>
            <w:szCs w:val="18"/>
            <w:color w:val="0000FF"/>
          </w:rPr>
          <w:t>Form of Fiscal 2022 Nonqualified Employee Stock Option Agreement under the Brady Corporation 2017 Omnibus Incentive</w:t>
        </w:r>
      </w:hyperlink>
      <w:r>
        <w:rPr>
          <w:rFonts w:ascii="Times New Roman" w:cs="Times New Roman" w:eastAsia="Times New Roman" w:hAnsi="Times New Roman"/>
          <w:sz w:val="18"/>
          <w:szCs w:val="18"/>
          <w:color w:val="auto"/>
        </w:rPr>
        <w:t xml:space="preserve"> </w:t>
      </w:r>
      <w:hyperlink r:id="rId216">
        <w:r>
          <w:rPr>
            <w:rFonts w:ascii="Times New Roman" w:cs="Times New Roman" w:eastAsia="Times New Roman" w:hAnsi="Times New Roman"/>
            <w:sz w:val="18"/>
            <w:szCs w:val="18"/>
            <w:color w:val="0000FF"/>
          </w:rPr>
          <w:t>Plan (34)</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217">
        <w:r>
          <w:rPr>
            <w:rFonts w:ascii="Times New Roman" w:cs="Times New Roman" w:eastAsia="Times New Roman" w:hAnsi="Times New Roman"/>
            <w:sz w:val="18"/>
            <w:szCs w:val="18"/>
            <w:color w:val="0000FF"/>
          </w:rPr>
          <w:t>Addendum to the 2017 General Stock Option Incentive Plan of Brady Corporation for Participants in France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219">
        <w:r>
          <w:rPr>
            <w:rFonts w:ascii="Times New Roman" w:cs="Times New Roman" w:eastAsia="Times New Roman" w:hAnsi="Times New Roman"/>
            <w:sz w:val="18"/>
            <w:szCs w:val="18"/>
            <w:color w:val="0000FF"/>
          </w:rPr>
          <w:t>Addendum to the 2017 General Restricted Stock Unit Incentive Plan of Brady Corporation for Participants in France (18)</w:t>
        </w:r>
      </w:hyperlink>
    </w:p>
    <w:p>
      <w:pPr>
        <w:spacing w:after="0" w:line="6"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220">
        <w:r>
          <w:rPr>
            <w:rFonts w:ascii="Times New Roman" w:cs="Times New Roman" w:eastAsia="Times New Roman" w:hAnsi="Times New Roman"/>
            <w:sz w:val="18"/>
            <w:szCs w:val="18"/>
            <w:color w:val="0000FF"/>
          </w:rPr>
          <w:t>Form of Nonqualified Employee Stock Option Agreement under the Brady Corporation 2012 Omnibus Incentive Stock Plan</w:t>
        </w:r>
      </w:hyperlink>
    </w:p>
    <w:p>
      <w:pPr>
        <w:ind w:left="1960"/>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(26)</w:t>
        </w:r>
      </w:hyperlink>
    </w:p>
    <w:p>
      <w:pPr>
        <w:spacing w:after="0" w:line="16" w:lineRule="exact"/>
        <w:rPr>
          <w:sz w:val="20"/>
          <w:szCs w:val="20"/>
          <w:color w:val="auto"/>
        </w:rPr>
      </w:pPr>
    </w:p>
    <w:p>
      <w:pPr>
        <w:ind w:left="1960" w:right="2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*10.36 </w:t>
      </w:r>
      <w:hyperlink r:id="rId221">
        <w:r>
          <w:rPr>
            <w:rFonts w:ascii="Times New Roman" w:cs="Times New Roman" w:eastAsia="Times New Roman" w:hAnsi="Times New Roman"/>
            <w:sz w:val="18"/>
            <w:szCs w:val="18"/>
            <w:color w:val="0000FF"/>
          </w:rPr>
          <w:t>Form of Nonqualified Employee Performance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color w:val="0000FF"/>
          </w:rPr>
          <w:t>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*10.37 </w:t>
      </w:r>
      <w:hyperlink r:id="rId223">
        <w:r>
          <w:rPr>
            <w:rFonts w:ascii="Times New Roman" w:cs="Times New Roman" w:eastAsia="Times New Roman" w:hAnsi="Times New Roman"/>
            <w:sz w:val="18"/>
            <w:szCs w:val="18"/>
            <w:color w:val="0000FF"/>
          </w:rPr>
          <w:t>Form of Director Stock Option Agreement under the 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265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*10.38 </w:t>
      </w:r>
      <w:hyperlink r:id="rId225">
        <w:r>
          <w:rPr>
            <w:rFonts w:ascii="Times New Roman" w:cs="Times New Roman" w:eastAsia="Times New Roman" w:hAnsi="Times New Roman"/>
            <w:sz w:val="18"/>
            <w:szCs w:val="18"/>
            <w:color w:val="0000FF"/>
          </w:rPr>
          <w:t>Form of Fiscal 2013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color w:val="0000FF"/>
          </w:rPr>
          <w:t>Stock Plan (31)</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*10.39 </w:t>
      </w:r>
      <w:hyperlink r:id="rId226">
        <w:r>
          <w:rPr>
            <w:rFonts w:ascii="Times New Roman" w:cs="Times New Roman" w:eastAsia="Times New Roman" w:hAnsi="Times New Roman"/>
            <w:sz w:val="18"/>
            <w:szCs w:val="18"/>
            <w:color w:val="0000FF"/>
          </w:rPr>
          <w:t>Form of Fiscal 2013 Director Nonqualified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color w:val="0000FF"/>
          </w:rPr>
          <w:t>Stock Plan (31)</w:t>
        </w:r>
      </w:hyperlink>
    </w:p>
    <w:p>
      <w:pPr>
        <w:spacing w:after="0" w:line="10" w:lineRule="exact"/>
        <w:rPr>
          <w:sz w:val="20"/>
          <w:szCs w:val="20"/>
          <w:color w:val="auto"/>
        </w:rPr>
      </w:pPr>
    </w:p>
    <w:p>
      <w:pPr>
        <w:jc w:val="right"/>
        <w:ind w:left="1460"/>
        <w:spacing w:after="0" w:line="22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10.40 </w:t>
      </w:r>
      <w:hyperlink r:id="rId227">
        <w:r>
          <w:rPr>
            <w:rFonts w:ascii="Times New Roman" w:cs="Times New Roman" w:eastAsia="Times New Roman" w:hAnsi="Times New Roman"/>
            <w:sz w:val="18"/>
            <w:szCs w:val="18"/>
            <w:color w:val="0000FF"/>
          </w:rPr>
          <w:t>Credit Agreement, dated as of August 1, 2019, by and among Brady Corporation and certain of its subsidiaries, the lenders</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color w:val="0000FF"/>
          </w:rPr>
          <w:t>listed therein, BMO Harris Bank, N.A., as administrative agent and L/C issuer, Bank of America, N.A., as syndication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-239395</wp:posOffset>
            </wp:positionV>
            <wp:extent cx="7106285"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ind w:left="1960"/>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and L/C issuer, and Wells Fargo Bank, N.A., as documentation agent (38)</w:t>
        </w:r>
      </w:hyperlink>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*10.41 </w:t>
      </w:r>
      <w:hyperlink r:id="rId229">
        <w:r>
          <w:rPr>
            <w:rFonts w:ascii="Times New Roman" w:cs="Times New Roman" w:eastAsia="Times New Roman" w:hAnsi="Times New Roman"/>
            <w:sz w:val="18"/>
            <w:szCs w:val="18"/>
            <w:color w:val="0000FF"/>
          </w:rPr>
          <w:t>Form of Fiscal 2014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color w:val="0000FF"/>
          </w:rPr>
          <w:t>Stock Plan (32)</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*10.42 </w:t>
      </w:r>
      <w:hyperlink r:id="rId230">
        <w:r>
          <w:rPr>
            <w:rFonts w:ascii="Times New Roman" w:cs="Times New Roman" w:eastAsia="Times New Roman" w:hAnsi="Times New Roman"/>
            <w:sz w:val="18"/>
            <w:szCs w:val="18"/>
            <w:color w:val="0000FF"/>
          </w:rPr>
          <w:t>Form of Fiscal 2014 Director Nonqualified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color w:val="0000FF"/>
          </w:rPr>
          <w:t>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*10.43 </w:t>
      </w:r>
      <w:hyperlink r:id="rId232">
        <w:r>
          <w:rPr>
            <w:rFonts w:ascii="Times New Roman" w:cs="Times New Roman" w:eastAsia="Times New Roman" w:hAnsi="Times New Roman"/>
            <w:sz w:val="18"/>
            <w:szCs w:val="18"/>
            <w:color w:val="0000FF"/>
          </w:rPr>
          <w:t>Form of Fiscal 2016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32">
        <w:r>
          <w:rPr>
            <w:rFonts w:ascii="Times New Roman" w:cs="Times New Roman" w:eastAsia="Times New Roman" w:hAnsi="Times New Roman"/>
            <w:sz w:val="18"/>
            <w:szCs w:val="18"/>
            <w:color w:val="0000FF"/>
          </w:rPr>
          <w:t>Stock Plan (21)</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*10.44 </w:t>
      </w:r>
      <w:hyperlink r:id="rId233">
        <w:r>
          <w:rPr>
            <w:rFonts w:ascii="Times New Roman" w:cs="Times New Roman" w:eastAsia="Times New Roman" w:hAnsi="Times New Roman"/>
            <w:sz w:val="18"/>
            <w:szCs w:val="18"/>
            <w:color w:val="0000FF"/>
          </w:rPr>
          <w:t>Form of Fiscal 2015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33">
        <w:r>
          <w:rPr>
            <w:rFonts w:ascii="Times New Roman" w:cs="Times New Roman" w:eastAsia="Times New Roman" w:hAnsi="Times New Roman"/>
            <w:sz w:val="18"/>
            <w:szCs w:val="18"/>
            <w:color w:val="0000FF"/>
          </w:rPr>
          <w:t>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*10.45 </w:t>
      </w:r>
      <w:hyperlink r:id="rId236">
        <w:r>
          <w:rPr>
            <w:rFonts w:ascii="Times New Roman" w:cs="Times New Roman" w:eastAsia="Times New Roman" w:hAnsi="Times New Roman"/>
            <w:sz w:val="18"/>
            <w:szCs w:val="18"/>
            <w:color w:val="0000FF"/>
          </w:rPr>
          <w:t>Form of Fiscal 2015 Director Nonqualified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36">
        <w:r>
          <w:rPr>
            <w:rFonts w:ascii="Times New Roman" w:cs="Times New Roman" w:eastAsia="Times New Roman" w:hAnsi="Times New Roman"/>
            <w:sz w:val="18"/>
            <w:szCs w:val="18"/>
            <w:color w:val="0000FF"/>
          </w:rPr>
          <w:t>Stock Plan (9)</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*10.46 </w:t>
      </w:r>
      <w:hyperlink r:id="rId237">
        <w:r>
          <w:rPr>
            <w:rFonts w:ascii="Times New Roman" w:cs="Times New Roman" w:eastAsia="Times New Roman" w:hAnsi="Times New Roman"/>
            <w:sz w:val="18"/>
            <w:szCs w:val="18"/>
            <w:color w:val="0000FF"/>
          </w:rPr>
          <w:t>Employment Agreement, dated as of September 4, 2014,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*10.47 </w:t>
      </w:r>
      <w:hyperlink r:id="rId239">
        <w:r>
          <w:rPr>
            <w:rFonts w:ascii="Times New Roman" w:cs="Times New Roman" w:eastAsia="Times New Roman" w:hAnsi="Times New Roman"/>
            <w:sz w:val="18"/>
            <w:szCs w:val="18"/>
            <w:color w:val="0000FF"/>
          </w:rPr>
          <w:t>Amendment to the Employment Agreement, dated January 7, 2020,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960" w:hanging="267"/>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Subsidiaries of Brady Corporation</w:t>
      </w:r>
    </w:p>
    <w:p>
      <w:pPr>
        <w:spacing w:after="0" w:line="23" w:lineRule="exact"/>
        <w:rPr>
          <w:sz w:val="20"/>
          <w:szCs w:val="20"/>
          <w:color w:val="auto"/>
        </w:rPr>
      </w:pPr>
    </w:p>
    <w:p>
      <w:pPr>
        <w:ind w:left="1560" w:right="3140" w:firstLine="133"/>
        <w:spacing w:after="0" w:line="266" w:lineRule="auto"/>
        <w:tabs>
          <w:tab w:leader="none" w:pos="1965"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 xml:space="preserve">Consent of Deloitte &amp; Touche LLP, Independent Registered Public Accounting Firm </w:t>
      </w:r>
      <w:r>
        <w:rPr>
          <w:rFonts w:ascii="Times New Roman" w:cs="Times New Roman" w:eastAsia="Times New Roman" w:hAnsi="Times New Roman"/>
          <w:sz w:val="18"/>
          <w:szCs w:val="18"/>
          <w:color w:val="000000"/>
        </w:rPr>
        <w:t xml:space="preserve">31.1 </w:t>
      </w:r>
      <w:r>
        <w:rPr>
          <w:rFonts w:ascii="Times New Roman" w:cs="Times New Roman" w:eastAsia="Times New Roman" w:hAnsi="Times New Roman"/>
          <w:sz w:val="18"/>
          <w:szCs w:val="18"/>
          <w:color w:val="0000FF"/>
        </w:rPr>
        <w:t>Rule 13a-14(a)/15d-14(a) Certification of Russell R. Shaller</w:t>
      </w: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color w:val="0000FF"/>
        </w:rPr>
        <w:t>Rule 13a-14(a)/15d-14(a) Certification of Aaron J. Pearce</w:t>
      </w:r>
    </w:p>
    <w:p>
      <w:pPr>
        <w:spacing w:after="0" w:line="22"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color w:val="0000FF"/>
        </w:rPr>
        <w:t>Section 1350 Certification of Russell R. Shaller</w:t>
      </w:r>
    </w:p>
    <w:p>
      <w:pPr>
        <w:spacing w:after="0" w:line="22"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color w:val="0000FF"/>
        </w:rPr>
        <w:t>Section 1350 Certification of Aaron J. Pearce</w:t>
      </w:r>
    </w:p>
    <w:p>
      <w:pPr>
        <w:spacing w:after="0" w:line="22" w:lineRule="exact"/>
        <w:rPr>
          <w:rFonts w:ascii="Times New Roman" w:cs="Times New Roman" w:eastAsia="Times New Roman" w:hAnsi="Times New Roman"/>
          <w:sz w:val="18"/>
          <w:szCs w:val="18"/>
          <w:color w:val="auto"/>
        </w:rPr>
      </w:pPr>
    </w:p>
    <w:p>
      <w:pPr>
        <w:ind w:left="1960" w:hanging="356"/>
        <w:spacing w:after="0"/>
        <w:tabs>
          <w:tab w:leader="none" w:pos="19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w:t>
      </w:r>
    </w:p>
    <w:p>
      <w:pPr>
        <w:spacing w:after="0" w:line="22" w:lineRule="exact"/>
        <w:rPr>
          <w:rFonts w:ascii="Times New Roman" w:cs="Times New Roman" w:eastAsia="Times New Roman" w:hAnsi="Times New Roman"/>
          <w:sz w:val="18"/>
          <w:szCs w:val="18"/>
          <w:color w:val="auto"/>
        </w:rPr>
      </w:pPr>
    </w:p>
    <w:p>
      <w:pPr>
        <w:ind w:left="1960" w:hanging="356"/>
        <w:spacing w:after="0"/>
        <w:tabs>
          <w:tab w:leader="none" w:pos="196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data (Contained in Exhibit 101)</w:t>
      </w:r>
    </w:p>
    <w:p>
      <w:pPr>
        <w:spacing w:after="0" w:line="13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90"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No. 333-04155 on Form S-3</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1989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1992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25,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5,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April 7,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March 16,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2020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22,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2015</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16, 2020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June 21,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27,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31, 2012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April 16,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14,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-5805805</wp:posOffset>
            </wp:positionV>
            <wp:extent cx="7106285"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-5514340</wp:posOffset>
            </wp:positionV>
            <wp:extent cx="7106285"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-5222875</wp:posOffset>
            </wp:positionV>
            <wp:extent cx="7106285"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47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26,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2018</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 July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0"/>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4"/>
        </w:trPr>
        <w:tc>
          <w:tcPr>
            <w:tcW w:w="6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Valuation accounts deducted in balance sheet from assets to which they apply — Accounts</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 — allowance for credit losses: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Bad debts written off, net of recoveries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7,157</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 Reserve for slow-moving inventory:</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13,404</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Inventory write-offs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16,309</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allowances against deferred tax 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60,073</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Valuation allowances reversed/utilized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58,809</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-2811145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-2811145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this 1st day of September 2022.</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3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6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8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RUSSELL R. SHALLER</w:t>
            </w:r>
          </w:p>
        </w:tc>
        <w:tc>
          <w:tcPr>
            <w:tcW w:w="420" w:type="dxa"/>
            <w:vAlign w:val="bottom"/>
            <w:shd w:val="clear" w:color="auto" w:fill="CCEEFF"/>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ANN E. THORNTON</w:t>
            </w: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PATRICK W. ALLENDER</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DAVID S. BEM</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ELIZABETH P. BRUNO</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JOANNE COLLINS SMEE</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NANCY L. GIOIA</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FRANK W. HARRIS</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VINEET NARGOLWALA</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BRADLEY C. RICHARDSON</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MICHELLE E. WILLIAMS</w:t>
            </w:r>
          </w:p>
        </w:tc>
        <w:tc>
          <w:tcPr>
            <w:tcW w:w="5180" w:type="dxa"/>
            <w:vAlign w:val="bottom"/>
            <w:shd w:val="clear" w:color="auto" w:fill="CCEEFF"/>
          </w:tcPr>
          <w:p>
            <w:pPr>
              <w:spacing w:after="0"/>
              <w:rPr>
                <w:sz w:val="19"/>
                <w:szCs w:val="19"/>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98" w:lineRule="exact"/>
        <w:rPr>
          <w:sz w:val="20"/>
          <w:szCs w:val="20"/>
          <w:color w:val="auto"/>
        </w:rPr>
      </w:pPr>
    </w:p>
    <w:p>
      <w:pPr>
        <w:ind w:left="680" w:hanging="654"/>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signatures is affixed as of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8"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CHANGE OF CONTROL AGREEMENT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GREEMENT, made as of April 6, 2020, between Brady Corporation, a Wisconsin corporation, (“Corporation”) and Andrew 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Gorman (“Executive”).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Executive is now serving as an executive of the Corporation in a position of importance and responsibility; and</w:t>
      </w:r>
    </w:p>
    <w:p>
      <w:pPr>
        <w:spacing w:after="0" w:line="17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promises and covenants set forth herein, the Executive and Corporation agree as follows:</w:t>
      </w:r>
    </w:p>
    <w:p>
      <w:pPr>
        <w:spacing w:after="0" w:line="11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DEFINITIONS.</w:t>
      </w:r>
    </w:p>
    <w:p>
      <w:pPr>
        <w:spacing w:after="0" w:line="162" w:lineRule="exact"/>
        <w:rPr>
          <w:sz w:val="20"/>
          <w:szCs w:val="20"/>
          <w:color w:val="auto"/>
        </w:rPr>
      </w:pPr>
    </w:p>
    <w:p>
      <w:pPr>
        <w:jc w:val="both"/>
        <w:ind w:firstLine="1304"/>
        <w:spacing w:after="0" w:line="258"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3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2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ectPr>
          <w:pgSz w:w="11900" w:h="16838" w:orient="portrait"/>
          <w:cols w:equalWidth="0" w:num="1">
            <w:col w:w="11240"/>
          </w:cols>
          <w:pgMar w:left="320" w:top="882" w:right="339" w:bottom="1440" w:gutter="0" w:footer="0" w:header="0"/>
        </w:sectPr>
      </w:pPr>
    </w:p>
    <w:bookmarkStart w:id="100" w:name="page101"/>
    <w:bookmarkEnd w:id="100"/>
    <w:p>
      <w:pPr>
        <w:jc w:val="both"/>
        <w:spacing w:after="0" w:line="261" w:lineRule="auto"/>
        <w:rPr>
          <w:sz w:val="20"/>
          <w:szCs w:val="20"/>
          <w:color w:val="auto"/>
        </w:rPr>
      </w:pPr>
      <w:r>
        <w:rPr>
          <w:rFonts w:ascii="Times New Roman" w:cs="Times New Roman" w:eastAsia="Times New Roman" w:hAnsi="Times New Roman"/>
          <w:sz w:val="20"/>
          <w:szCs w:val="20"/>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7" w:lineRule="exact"/>
        <w:rPr>
          <w:sz w:val="20"/>
          <w:szCs w:val="20"/>
          <w:color w:val="auto"/>
        </w:rPr>
      </w:pPr>
    </w:p>
    <w:p>
      <w:pPr>
        <w:ind w:left="1940" w:hanging="636"/>
        <w:spacing w:after="0"/>
        <w:tabs>
          <w:tab w:leader="none" w:pos="19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means the Internal Revenue Code of 1986, as amended.</w:t>
      </w:r>
    </w:p>
    <w:p>
      <w:pPr>
        <w:spacing w:after="0" w:line="16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   PAYMENTS UPON TERMINATION DUE TO CHANGE OF CONTROL.</w:t>
      </w:r>
    </w:p>
    <w:p>
      <w:pPr>
        <w:spacing w:after="0" w:line="175" w:lineRule="exact"/>
        <w:rPr>
          <w:sz w:val="20"/>
          <w:szCs w:val="20"/>
          <w:color w:val="auto"/>
        </w:rPr>
      </w:pPr>
    </w:p>
    <w:p>
      <w:pPr>
        <w:jc w:val="both"/>
        <w:ind w:firstLine="1304"/>
        <w:spacing w:after="0" w:line="239"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Termination Due to Change of Control, the Executive shall be paid an amount equal to two times the annual base salary paid the Executive by the Corporation in effect immediately prior to the date the Change of Control occurs, and the average bonus payment received in the three years immediately prior to the date the Change of Control occurs. Such amount shall be paid in 24 monthly installments beginning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month following the month in which the Executive’s employment with the Corporation terminates.</w:t>
      </w:r>
    </w:p>
    <w:p>
      <w:pPr>
        <w:spacing w:after="0" w:line="14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37"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3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EXCISE TAX, ATTORNEY FEES.</w:t>
      </w:r>
    </w:p>
    <w:p>
      <w:pPr>
        <w:spacing w:after="0" w:line="175" w:lineRule="exact"/>
        <w:rPr>
          <w:sz w:val="20"/>
          <w:szCs w:val="20"/>
          <w:color w:val="auto"/>
        </w:rPr>
      </w:pPr>
    </w:p>
    <w:p>
      <w:pPr>
        <w:jc w:val="both"/>
        <w:ind w:firstLine="1304"/>
        <w:spacing w:after="0" w:line="261"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27"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1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DEATH AFTER THE EXECUTIVE HAS BEGUN RECEIVING PAYMENTS.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Should the Executive die after Termination Due to Change of Control, but before receiving all payments due the Executive hereunder, any remaining payments due shall be made to the Executive’s Beneficiary.</w:t>
      </w:r>
    </w:p>
    <w:p>
      <w:pPr>
        <w:spacing w:after="0" w:line="11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CONFIDENTIAL INFORMATION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 hereunder shall be reduced by any payments the Corporation makes to the Executive under any confidential</w:t>
      </w:r>
    </w:p>
    <w:p>
      <w:pPr>
        <w:sectPr>
          <w:pgSz w:w="11900" w:h="16838" w:orient="portrait"/>
          <w:cols w:equalWidth="0" w:num="1">
            <w:col w:w="11240"/>
          </w:cols>
          <w:pgMar w:left="320" w:top="1048" w:right="339" w:bottom="1440" w:gutter="0" w:footer="0" w:header="0"/>
        </w:sectPr>
      </w:pPr>
    </w:p>
    <w:bookmarkStart w:id="101" w:name="page102"/>
    <w:bookmarkEnd w:id="101"/>
    <w:p>
      <w:pPr>
        <w:spacing w:after="0" w:line="283" w:lineRule="auto"/>
        <w:rPr>
          <w:sz w:val="20"/>
          <w:szCs w:val="20"/>
          <w:color w:val="auto"/>
        </w:rPr>
      </w:pPr>
      <w:r>
        <w:rPr>
          <w:rFonts w:ascii="Times New Roman" w:cs="Times New Roman" w:eastAsia="Times New Roman" w:hAnsi="Times New Roman"/>
          <w:sz w:val="20"/>
          <w:szCs w:val="20"/>
          <w:color w:val="auto"/>
        </w:rPr>
        <w:t>information agreement. In the event the Executive violates the provisions of a confidential information agreement, no further payments shall be due hereunder and the Executive shall be obligated to repay all previous payments received hereunder.</w:t>
      </w:r>
    </w:p>
    <w:p>
      <w:pPr>
        <w:spacing w:after="0" w:line="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MISCELLANEOUS.</w:t>
      </w:r>
    </w:p>
    <w:p>
      <w:pPr>
        <w:spacing w:after="0" w:line="175" w:lineRule="exact"/>
        <w:rPr>
          <w:sz w:val="20"/>
          <w:szCs w:val="20"/>
          <w:color w:val="auto"/>
        </w:rPr>
      </w:pPr>
    </w:p>
    <w:p>
      <w:pPr>
        <w:jc w:val="both"/>
        <w:ind w:firstLine="1304"/>
        <w:spacing w:after="0" w:line="258"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18"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1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31"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73" w:lineRule="exact"/>
        <w:rPr>
          <w:sz w:val="20"/>
          <w:szCs w:val="20"/>
          <w:color w:val="auto"/>
        </w:rPr>
      </w:pPr>
    </w:p>
    <w:p>
      <w:pPr>
        <w:ind w:left="1320"/>
        <w:spacing w:after="0"/>
        <w:tabs>
          <w:tab w:leader="none" w:pos="4320" w:val="left"/>
        </w:tabs>
        <w:rPr>
          <w:sz w:val="20"/>
          <w:szCs w:val="20"/>
          <w:color w:val="auto"/>
        </w:rPr>
      </w:pPr>
      <w:r>
        <w:rPr>
          <w:rFonts w:ascii="Times New Roman" w:cs="Times New Roman" w:eastAsia="Times New Roman" w:hAnsi="Times New Roman"/>
          <w:sz w:val="20"/>
          <w:szCs w:val="20"/>
          <w:color w:val="auto"/>
        </w:rPr>
        <w:t>If to the Executive:</w:t>
      </w:r>
      <w:r>
        <w:rPr>
          <w:sz w:val="20"/>
          <w:szCs w:val="20"/>
          <w:color w:val="auto"/>
        </w:rPr>
        <w:tab/>
      </w:r>
      <w:r>
        <w:rPr>
          <w:rFonts w:ascii="Times New Roman" w:cs="Times New Roman" w:eastAsia="Times New Roman" w:hAnsi="Times New Roman"/>
          <w:sz w:val="19"/>
          <w:szCs w:val="19"/>
          <w:color w:val="auto"/>
        </w:rPr>
        <w:t>Andrew Gorman</w:t>
      </w:r>
    </w:p>
    <w:p>
      <w:pPr>
        <w:spacing w:after="0" w:line="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6555 West Good Hope Road</w:t>
      </w:r>
    </w:p>
    <w:p>
      <w:pPr>
        <w:spacing w:after="0" w:line="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Milwaukee, Wisconsin 53223</w:t>
      </w:r>
    </w:p>
    <w:p>
      <w:pPr>
        <w:spacing w:after="0" w:line="310" w:lineRule="exact"/>
        <w:rPr>
          <w:sz w:val="20"/>
          <w:szCs w:val="20"/>
          <w:color w:val="auto"/>
        </w:rPr>
      </w:pPr>
    </w:p>
    <w:p>
      <w:pPr>
        <w:ind w:left="1320"/>
        <w:spacing w:after="0"/>
        <w:tabs>
          <w:tab w:leader="none" w:pos="4320" w:val="left"/>
        </w:tabs>
        <w:rPr>
          <w:sz w:val="20"/>
          <w:szCs w:val="20"/>
          <w:color w:val="auto"/>
        </w:rPr>
      </w:pPr>
      <w:r>
        <w:rPr>
          <w:rFonts w:ascii="Times New Roman" w:cs="Times New Roman" w:eastAsia="Times New Roman" w:hAnsi="Times New Roman"/>
          <w:sz w:val="20"/>
          <w:szCs w:val="20"/>
          <w:color w:val="auto"/>
        </w:rPr>
        <w:t>If to the Corporation:</w:t>
      </w:r>
      <w:r>
        <w:rPr>
          <w:sz w:val="20"/>
          <w:szCs w:val="20"/>
          <w:color w:val="auto"/>
        </w:rPr>
        <w:tab/>
      </w:r>
      <w:r>
        <w:rPr>
          <w:rFonts w:ascii="Times New Roman" w:cs="Times New Roman" w:eastAsia="Times New Roman" w:hAnsi="Times New Roman"/>
          <w:sz w:val="19"/>
          <w:szCs w:val="19"/>
          <w:color w:val="auto"/>
        </w:rPr>
        <w:t>Brady Corporation</w:t>
      </w:r>
    </w:p>
    <w:p>
      <w:pPr>
        <w:spacing w:after="0" w:line="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6555 West Good Hope Road</w:t>
      </w:r>
    </w:p>
    <w:p>
      <w:pPr>
        <w:spacing w:after="0" w:line="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Milwaukee, Wisconsin 53223</w:t>
      </w:r>
    </w:p>
    <w:p>
      <w:pPr>
        <w:spacing w:after="0" w:line="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Attention: CEO</w:t>
      </w:r>
    </w:p>
    <w:p>
      <w:pPr>
        <w:spacing w:after="0" w:line="25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or to such other address as either party furnishes to the other in writing in accordance with this paragraph. Notices and communications shall be effective when actually received by the addressee.</w:t>
      </w:r>
    </w:p>
    <w:p>
      <w:pPr>
        <w:spacing w:after="0" w:line="106" w:lineRule="exact"/>
        <w:rPr>
          <w:sz w:val="20"/>
          <w:szCs w:val="20"/>
          <w:color w:val="auto"/>
        </w:rPr>
      </w:pPr>
    </w:p>
    <w:p>
      <w:pPr>
        <w:jc w:val="both"/>
        <w:ind w:firstLine="1304"/>
        <w:spacing w:after="0" w:line="253"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37" w:lineRule="exact"/>
        <w:rPr>
          <w:rFonts w:ascii="Times New Roman" w:cs="Times New Roman" w:eastAsia="Times New Roman" w:hAnsi="Times New Roman"/>
          <w:sz w:val="20"/>
          <w:szCs w:val="20"/>
          <w:color w:val="auto"/>
        </w:rPr>
      </w:pPr>
    </w:p>
    <w:p>
      <w:pPr>
        <w:ind w:firstLine="1304"/>
        <w:spacing w:after="0" w:line="269" w:lineRule="auto"/>
        <w:tabs>
          <w:tab w:leader="none" w:pos="193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Guarantee of Employment. Nothing contained in this Agreement shall give the Executive the right to be retained in the employment of the Corporation or affect the right of the Corporation to dismiss the Executive.</w:t>
      </w:r>
    </w:p>
    <w:p>
      <w:pPr>
        <w:spacing w:after="0" w:line="118"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Entire Agreement. This Agreement may not be amended or modified except by a written agreement executed by the parties hereto or their respective successors and legal representatives. This</w:t>
      </w:r>
    </w:p>
    <w:p>
      <w:pPr>
        <w:sectPr>
          <w:pgSz w:w="11900" w:h="16838" w:orient="portrait"/>
          <w:cols w:equalWidth="0" w:num="1">
            <w:col w:w="11240"/>
          </w:cols>
          <w:pgMar w:left="320" w:top="1048" w:right="339" w:bottom="1440" w:gutter="0" w:footer="0" w:header="0"/>
        </w:sectPr>
      </w:pPr>
    </w:p>
    <w:bookmarkStart w:id="102" w:name="page103"/>
    <w:bookmarkEnd w:id="102"/>
    <w:p>
      <w:pPr>
        <w:spacing w:after="0" w:line="283" w:lineRule="auto"/>
        <w:rPr>
          <w:sz w:val="20"/>
          <w:szCs w:val="20"/>
          <w:color w:val="auto"/>
        </w:rPr>
      </w:pPr>
      <w:r>
        <w:rPr>
          <w:rFonts w:ascii="Times New Roman" w:cs="Times New Roman" w:eastAsia="Times New Roman" w:hAnsi="Times New Roman"/>
          <w:sz w:val="20"/>
          <w:szCs w:val="20"/>
          <w:color w:val="auto"/>
        </w:rPr>
        <w:t>Agreement contains the entire agreement between the parties on the subjects covered and replaces all prior writings, proposals, specifications or other oral or written materials relating thereto.</w:t>
      </w:r>
    </w:p>
    <w:p>
      <w:pPr>
        <w:spacing w:after="0" w:line="92" w:lineRule="exact"/>
        <w:rPr>
          <w:sz w:val="20"/>
          <w:szCs w:val="20"/>
          <w:color w:val="auto"/>
        </w:rPr>
      </w:pPr>
    </w:p>
    <w:p>
      <w:pPr>
        <w:jc w:val="both"/>
        <w:ind w:firstLine="1304"/>
        <w:spacing w:after="0" w:line="258"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3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4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13"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4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0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3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CLAIMS PROCEDURE.</w:t>
      </w:r>
    </w:p>
    <w:p>
      <w:pPr>
        <w:spacing w:after="0" w:line="162" w:lineRule="exact"/>
        <w:rPr>
          <w:sz w:val="20"/>
          <w:szCs w:val="20"/>
          <w:color w:val="auto"/>
        </w:rPr>
      </w:pPr>
    </w:p>
    <w:p>
      <w:pPr>
        <w:jc w:val="both"/>
        <w:ind w:firstLine="1304"/>
        <w:spacing w:after="0" w:line="253" w:lineRule="auto"/>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2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ectPr>
          <w:pgSz w:w="11900" w:h="16838" w:orient="portrait"/>
          <w:cols w:equalWidth="0" w:num="1">
            <w:col w:w="11240"/>
          </w:cols>
          <w:pgMar w:left="320" w:top="1048" w:right="339" w:bottom="1440" w:gutter="0" w:footer="0" w:header="0"/>
        </w:sectPr>
      </w:pPr>
    </w:p>
    <w:bookmarkStart w:id="103" w:name="page104"/>
    <w:bookmarkEnd w:id="103"/>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/s/ ANDREW T.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22860</wp:posOffset>
            </wp:positionV>
            <wp:extent cx="3437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Andrew T. Gorman</w:t>
      </w:r>
    </w:p>
    <w:p>
      <w:pPr>
        <w:spacing w:after="0" w:line="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General Counsel and Corporate Secretary</w:t>
      </w:r>
    </w:p>
    <w:p>
      <w:pPr>
        <w:spacing w:after="0" w:line="200" w:lineRule="exact"/>
        <w:rPr>
          <w:sz w:val="20"/>
          <w:szCs w:val="20"/>
          <w:color w:val="auto"/>
        </w:rPr>
      </w:pPr>
    </w:p>
    <w:p>
      <w:pPr>
        <w:spacing w:after="0" w:line="3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BRADY CORPORATION</w:t>
      </w:r>
    </w:p>
    <w:p>
      <w:pPr>
        <w:spacing w:after="0" w:line="200" w:lineRule="exact"/>
        <w:rPr>
          <w:sz w:val="20"/>
          <w:szCs w:val="20"/>
          <w:color w:val="auto"/>
        </w:rPr>
      </w:pPr>
    </w:p>
    <w:p>
      <w:pPr>
        <w:spacing w:after="0" w:line="35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22860</wp:posOffset>
            </wp:positionV>
            <wp:extent cx="3437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J. Michael Nauman</w:t>
      </w:r>
    </w:p>
    <w:p>
      <w:pPr>
        <w:spacing w:after="0" w:line="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20"/>
          </w:cols>
          <w:pgMar w:left="320" w:top="1048" w:right="3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10.23</w:t>
      </w:r>
    </w:p>
    <w:p>
      <w:pPr>
        <w:spacing w:after="0" w:line="223" w:lineRule="auto"/>
        <w:rPr>
          <w:sz w:val="20"/>
          <w:szCs w:val="20"/>
          <w:color w:val="auto"/>
        </w:rPr>
      </w:pPr>
      <w:r>
        <w:rPr>
          <w:rFonts w:ascii="Times New Roman" w:cs="Times New Roman" w:eastAsia="Times New Roman" w:hAnsi="Times New Roman"/>
          <w:sz w:val="20"/>
          <w:szCs w:val="20"/>
          <w:color w:val="auto"/>
        </w:rPr>
        <w:t>Brady Corporation</w:t>
      </w:r>
    </w:p>
    <w:p>
      <w:pPr>
        <w:spacing w:after="0" w:line="212" w:lineRule="auto"/>
        <w:rPr>
          <w:sz w:val="20"/>
          <w:szCs w:val="20"/>
          <w:color w:val="auto"/>
        </w:rPr>
      </w:pPr>
      <w:r>
        <w:rPr>
          <w:rFonts w:ascii="Times New Roman" w:cs="Times New Roman" w:eastAsia="Times New Roman" w:hAnsi="Times New Roman"/>
          <w:sz w:val="20"/>
          <w:szCs w:val="20"/>
          <w:color w:val="auto"/>
        </w:rPr>
        <w:t>6555 West Good Hope Road</w:t>
      </w:r>
    </w:p>
    <w:p>
      <w:pPr>
        <w:spacing w:after="0" w:line="211" w:lineRule="auto"/>
        <w:rPr>
          <w:sz w:val="20"/>
          <w:szCs w:val="20"/>
          <w:color w:val="auto"/>
        </w:rPr>
      </w:pPr>
      <w:r>
        <w:rPr>
          <w:rFonts w:ascii="Times New Roman" w:cs="Times New Roman" w:eastAsia="Times New Roman" w:hAnsi="Times New Roman"/>
          <w:sz w:val="20"/>
          <w:szCs w:val="20"/>
          <w:color w:val="auto"/>
        </w:rPr>
        <w:t>P.O. Box 571</w:t>
      </w:r>
    </w:p>
    <w:p>
      <w:pPr>
        <w:spacing w:after="0" w:line="211" w:lineRule="auto"/>
        <w:rPr>
          <w:sz w:val="20"/>
          <w:szCs w:val="20"/>
          <w:color w:val="auto"/>
        </w:rPr>
      </w:pPr>
      <w:r>
        <w:rPr>
          <w:rFonts w:ascii="Times New Roman" w:cs="Times New Roman" w:eastAsia="Times New Roman" w:hAnsi="Times New Roman"/>
          <w:sz w:val="20"/>
          <w:szCs w:val="20"/>
          <w:color w:val="auto"/>
        </w:rPr>
        <w:t>Milwaukee, WI 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53201-0571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Andrew Gorman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Andrew,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Congratulations and I am very pleased to offer you the position of General Counsel and Corporate Secretary reporting directly to me.</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Your start date will be on a mutually agreed upon date at which time you will become eligible for salary and benefits. If you accept this offer, this letter establishes the terms and conditions of your employment with the Company.</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Annual Base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annual based salary will be $300,000 payable in accordance with the Company’s standard payroll practice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applicable withholding taxes. Pay increases will be reviewed annually.</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Sign-On 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30 days of your start date, you will be paid a one-time sign-on bonus in the gross amount of $50,000, which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applicable withholding taxes. This bonus is considered eligible earnings for deferrals to the Brady 401(k). Should you voluntarily terminate your employment within a period of one year from your start date, you will be required to pay the amount back in its entirety.</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Annual Bonus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eligible to participate in Brady’s annual incentive program. Bonus awards are based on attainment of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operating and financial goals as well as achievement of defined individual objectives. Your targeted annual incentive opportunity is 50% of annual base salary with upside potential to 289% of this target depending on individual performance and corporate results, prorated based on your hire date.</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New Hire Sign-On Equity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receive a sign-on equity grant of restricted stock units with a grant value of $250,000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on your hire date. This grant will vest in equal installments on the first, second and third anniversary of the grant. The terms and conditions of the award are set forth in the award agreement.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Annual Stock Incentives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key employee of Brady, you are eligible to participate in Brady’s annual equity incentive program. For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2020, a recommendation will be made to the Board of Directors and, if approved, this September 2020, you will receive a stock incentive award with a grant date value of $230,000. The grant is a combination of non-qualified stock options, restricted stock units (RSUs) and performance restricted stock units (PSUs). Thirty-three and one-third percent (33-1/3%) of the equity award value is in the form of non-qualified stock options, 33-1/3% in the form of restricted stock units (RSUs) and 33-1/3% in the form of performance restricted stock units (PSUs).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will be required to acquire and hold, directly or indirectly shares equal to 2 times your base salary within the next five (5) years. Your future grants count towards meeting this requirement. No selling of company stock is allowed (other than as withholding or sale for taxes at your highest applicable tax rate) until the guideline has been satisfied. The terms and conditions of the award are set forth in the award agreement.</w:t>
      </w:r>
    </w:p>
    <w:p>
      <w:pPr>
        <w:spacing w:after="0" w:line="2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Relocation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You are eligible for the full homeowner’s relocation package. Please reference the attached Homeowner’s Relocation Policy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 xml:space="preserve">details. </w:t>
      </w:r>
      <w:r>
        <w:rPr>
          <w:rFonts w:ascii="Times New Roman" w:cs="Times New Roman" w:eastAsia="Times New Roman" w:hAnsi="Times New Roman"/>
          <w:sz w:val="20"/>
          <w:szCs w:val="20"/>
          <w:color w:val="000000"/>
        </w:rPr>
        <w:t>In addition to the benefits outlined in the Homeowner’s Relocation</w:t>
      </w:r>
    </w:p>
    <w:p>
      <w:pPr>
        <w:sectPr>
          <w:pgSz w:w="11900" w:h="16838" w:orient="portrait"/>
          <w:cols w:equalWidth="0" w:num="1">
            <w:col w:w="11240"/>
          </w:cols>
          <w:pgMar w:left="320" w:top="882" w:right="339" w:bottom="1440" w:gutter="0" w:footer="0" w:header="0"/>
        </w:sectPr>
      </w:pPr>
    </w:p>
    <w:bookmarkStart w:id="105" w:name="page106"/>
    <w:bookmarkEnd w:id="105"/>
    <w:p>
      <w:pPr>
        <w:jc w:val="both"/>
        <w:spacing w:after="0" w:line="283" w:lineRule="auto"/>
        <w:rPr>
          <w:sz w:val="20"/>
          <w:szCs w:val="20"/>
          <w:color w:val="auto"/>
        </w:rPr>
      </w:pPr>
      <w:r>
        <w:rPr>
          <w:rFonts w:ascii="Times New Roman" w:cs="Times New Roman" w:eastAsia="Times New Roman" w:hAnsi="Times New Roman"/>
          <w:sz w:val="20"/>
          <w:szCs w:val="20"/>
          <w:color w:val="auto"/>
        </w:rPr>
        <w:t>Policy, you will also be eligible for a total of six (6) months of temporary housing and a total of six (6) months of storage of your household goods.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You will also be granted an equity award of restricted stock units with a value of $50,000 if the loss on your current home sale exceeds $50,000. The restricted stock units, if granted, will vest in equal installments on the first, second and third anniversary of the grant date.</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of Brady, you will be eligible for an excellent package of employee benefits, which include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dental, vision, life insurance, and other programs. Please see the attached Summary of Executive Benefits for full details.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Vacation and Holidays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eligible for vacation in accordance with the policy in effect for the location at which you will be based.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eligible for 4 weeks of vacation annually until your service qualifies you for the next higher level in accordance with policy. Your eligibility for this year will be prorated based on full months of employment in the calendar year of measurement. In addition, you will enjoy 9 company paid holidays and 3 floating holidays.</w:t>
      </w:r>
    </w:p>
    <w:p>
      <w:pPr>
        <w:spacing w:after="0" w:line="21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As a condition of your employment, you will be required to sign the enclosed Employee Non-Compete and Non-Disclosure Agreement.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 hope this letter conveys our sincere interest in having you join Brady Corporation. I am confident that you will be challenged and offered many opportunities for personal and professional growth. We are looking forward to the unique skills you will bring to our team. This offer is contingent upon the satisfactory completion of US employment eligibility verification, reference check, background check, and drug screen.</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choose to accept our offer to join Brady Corporation, please sign and return a copy to Helena Nelligan via email at helena_nelligan@bradycorp.com.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4290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 Michael Nauman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 acknowledge that I have carefully read this agreement and that I understand and accept the terms and conditions of this offer of employment with Brady Corporation.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ANDREW T. GORMAN</w:t>
            </w:r>
          </w:p>
        </w:tc>
        <w:tc>
          <w:tcPr>
            <w:tcW w:w="3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19, 2020</w:t>
            </w:r>
          </w:p>
        </w:tc>
      </w:tr>
      <w:tr>
        <w:trPr>
          <w:trHeight w:val="256"/>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Andrew T. Gorman</w:t>
            </w:r>
          </w:p>
        </w:tc>
        <w:tc>
          <w:tcPr>
            <w:tcW w:w="1980" w:type="dxa"/>
            <w:vAlign w:val="bottom"/>
          </w:tcPr>
          <w:p>
            <w:pPr>
              <w:spacing w:after="0"/>
              <w:rPr>
                <w:sz w:val="22"/>
                <w:szCs w:val="22"/>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r>
    </w:tbl>
    <w:p>
      <w:pPr>
        <w:sectPr>
          <w:pgSz w:w="11900" w:h="16838" w:orient="portrait"/>
          <w:cols w:equalWidth="0" w:num="1">
            <w:col w:w="11240"/>
          </w:cols>
          <w:pgMar w:left="320" w:top="88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5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PERFORMANCE-BASED RESTRICTED STOCK UNITS</w:t>
      </w:r>
    </w:p>
    <w:p>
      <w:pPr>
        <w:spacing w:after="0" w:line="234" w:lineRule="exact"/>
        <w:rPr>
          <w:sz w:val="20"/>
          <w:szCs w:val="20"/>
          <w:color w:val="auto"/>
        </w:rPr>
      </w:pPr>
    </w:p>
    <w:p>
      <w:pPr>
        <w:jc w:val="both"/>
        <w:ind w:left="10" w:right="1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Brady Corporation 2017 Omnibus Incentive Plan (the "Plan"), the Management Development and Compensation Committee (the “Committee”) of the Brady Corporation Board of Directors hereby grants to you, _______________ (“Employee”),</w:t>
      </w:r>
    </w:p>
    <w:p>
      <w:pPr>
        <w:jc w:val="both"/>
        <w:ind w:left="10" w:right="160"/>
        <w:spacing w:after="0" w:line="255" w:lineRule="auto"/>
        <w:rPr>
          <w:sz w:val="20"/>
          <w:szCs w:val="20"/>
          <w:color w:val="auto"/>
        </w:rPr>
      </w:pPr>
      <w:r>
        <w:rPr>
          <w:rFonts w:ascii="Times New Roman" w:cs="Times New Roman" w:eastAsia="Times New Roman" w:hAnsi="Times New Roman"/>
          <w:sz w:val="18"/>
          <w:szCs w:val="18"/>
          <w:color w:val="auto"/>
        </w:rPr>
        <w:t>an award of Performance-Based Restricted Stock Units involving the number of such Units set forth in the table below. Brady Corporation’s (the “Corporation”) records shall be the official record of the grant described herein and, in the event of any conflict between this description and the Corporation’s records, the Corporation’s records shall control.</w:t>
      </w:r>
    </w:p>
    <w:p>
      <w:pPr>
        <w:spacing w:after="0" w:line="213" w:lineRule="exact"/>
        <w:rPr>
          <w:sz w:val="20"/>
          <w:szCs w:val="20"/>
          <w:color w:val="auto"/>
        </w:rPr>
      </w:pPr>
    </w:p>
    <w:p>
      <w:pPr>
        <w:ind w:left="50" w:right="160" w:firstLine="648"/>
        <w:spacing w:after="0" w:line="282" w:lineRule="auto"/>
        <w:rPr>
          <w:sz w:val="20"/>
          <w:szCs w:val="20"/>
          <w:color w:val="auto"/>
        </w:rPr>
      </w:pPr>
      <w:r>
        <w:rPr>
          <w:rFonts w:ascii="Times New Roman" w:cs="Times New Roman" w:eastAsia="Times New Roman" w:hAnsi="Times New Roman"/>
          <w:sz w:val="18"/>
          <w:szCs w:val="18"/>
          <w:color w:val="auto"/>
        </w:rPr>
        <w:t>The terms and conditions of this Award are set forth in this Agreement, the attached Exhibit A, Exhibit B and in the Plan document, a copy of which has been provided to you.</w:t>
      </w:r>
    </w:p>
    <w:p>
      <w:pPr>
        <w:spacing w:after="0" w:line="214" w:lineRule="exact"/>
        <w:rPr>
          <w:sz w:val="20"/>
          <w:szCs w:val="20"/>
          <w:color w:val="auto"/>
        </w:rPr>
      </w:pPr>
    </w:p>
    <w:tbl>
      <w:tblPr>
        <w:tblLayout w:type="fixed"/>
        <w:tblInd w:w="1180" w:type="dxa"/>
        <w:tblCellMar>
          <w:top w:w="0" w:type="dxa"/>
          <w:left w:w="0" w:type="dxa"/>
          <w:bottom w:w="0" w:type="dxa"/>
          <w:right w:w="0" w:type="dxa"/>
        </w:tblCellMar>
      </w:tblPr>
      <w:tr>
        <w:trPr>
          <w:trHeight w:val="243"/>
        </w:trPr>
        <w:tc>
          <w:tcPr>
            <w:tcW w:w="48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 Performance-Based Restricted Stock Units Granted at</w:t>
            </w:r>
          </w:p>
        </w:tc>
        <w:tc>
          <w:tcPr>
            <w:tcW w:w="37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 (the “Units”):</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 2022</w:t>
            </w:r>
          </w:p>
        </w:tc>
        <w:tc>
          <w:tcPr>
            <w:tcW w:w="0" w:type="dxa"/>
            <w:vAlign w:val="bottom"/>
          </w:tcPr>
          <w:p>
            <w:pPr>
              <w:spacing w:after="0"/>
              <w:rPr>
                <w:sz w:val="1"/>
                <w:szCs w:val="1"/>
                <w:color w:val="auto"/>
              </w:rPr>
            </w:pPr>
          </w:p>
        </w:tc>
      </w:tr>
      <w:tr>
        <w:trPr>
          <w:trHeight w:val="63"/>
        </w:trPr>
        <w:tc>
          <w:tcPr>
            <w:tcW w:w="48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Scheduled Vesting Date:</w:t>
            </w:r>
          </w:p>
        </w:tc>
        <w:tc>
          <w:tcPr>
            <w:tcW w:w="37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date described in Section 2(a) of the</w:t>
            </w:r>
          </w:p>
        </w:tc>
        <w:tc>
          <w:tcPr>
            <w:tcW w:w="0" w:type="dxa"/>
            <w:vAlign w:val="bottom"/>
          </w:tcPr>
          <w:p>
            <w:pPr>
              <w:spacing w:after="0"/>
              <w:rPr>
                <w:sz w:val="1"/>
                <w:szCs w:val="1"/>
                <w:color w:val="auto"/>
              </w:rPr>
            </w:pPr>
          </w:p>
        </w:tc>
      </w:tr>
      <w:tr>
        <w:trPr>
          <w:trHeight w:val="234"/>
        </w:trPr>
        <w:tc>
          <w:tcPr>
            <w:tcW w:w="48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103"/>
        </w:trPr>
        <w:tc>
          <w:tcPr>
            <w:tcW w:w="4860" w:type="dxa"/>
            <w:vAlign w:val="bottom"/>
            <w:tcBorders>
              <w:left w:val="single" w:sz="8" w:color="auto"/>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Performance Period:</w:t>
            </w:r>
          </w:p>
        </w:tc>
        <w:tc>
          <w:tcPr>
            <w:tcW w:w="37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Multiple performance periods are set forth in</w:t>
            </w:r>
          </w:p>
        </w:tc>
        <w:tc>
          <w:tcPr>
            <w:tcW w:w="0" w:type="dxa"/>
            <w:vAlign w:val="bottom"/>
          </w:tcPr>
          <w:p>
            <w:pPr>
              <w:spacing w:after="0"/>
              <w:rPr>
                <w:sz w:val="1"/>
                <w:szCs w:val="1"/>
                <w:color w:val="auto"/>
              </w:rPr>
            </w:pPr>
          </w:p>
        </w:tc>
      </w:tr>
      <w:tr>
        <w:trPr>
          <w:trHeight w:val="184"/>
        </w:trPr>
        <w:tc>
          <w:tcPr>
            <w:tcW w:w="48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Exhibit A, which include the annual and</w:t>
            </w:r>
          </w:p>
        </w:tc>
        <w:tc>
          <w:tcPr>
            <w:tcW w:w="0" w:type="dxa"/>
            <w:vAlign w:val="bottom"/>
          </w:tcPr>
          <w:p>
            <w:pPr>
              <w:spacing w:after="0"/>
              <w:rPr>
                <w:sz w:val="1"/>
                <w:szCs w:val="1"/>
                <w:color w:val="auto"/>
              </w:rPr>
            </w:pPr>
          </w:p>
        </w:tc>
      </w:tr>
      <w:tr>
        <w:trPr>
          <w:trHeight w:val="180"/>
        </w:trPr>
        <w:tc>
          <w:tcPr>
            <w:tcW w:w="48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cumulative periods within the three-year period</w:t>
            </w:r>
          </w:p>
        </w:tc>
        <w:tc>
          <w:tcPr>
            <w:tcW w:w="0" w:type="dxa"/>
            <w:vAlign w:val="bottom"/>
          </w:tcPr>
          <w:p>
            <w:pPr>
              <w:spacing w:after="0"/>
              <w:rPr>
                <w:sz w:val="1"/>
                <w:szCs w:val="1"/>
                <w:color w:val="auto"/>
              </w:rPr>
            </w:pPr>
          </w:p>
        </w:tc>
      </w:tr>
      <w:tr>
        <w:trPr>
          <w:trHeight w:val="175"/>
        </w:trPr>
        <w:tc>
          <w:tcPr>
            <w:tcW w:w="48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beginning on August 1, 2022 and ending on July</w:t>
            </w:r>
          </w:p>
        </w:tc>
        <w:tc>
          <w:tcPr>
            <w:tcW w:w="0" w:type="dxa"/>
            <w:vAlign w:val="bottom"/>
          </w:tcPr>
          <w:p>
            <w:pPr>
              <w:spacing w:after="0"/>
              <w:rPr>
                <w:sz w:val="1"/>
                <w:szCs w:val="1"/>
                <w:color w:val="auto"/>
              </w:rPr>
            </w:pPr>
          </w:p>
        </w:tc>
      </w:tr>
      <w:tr>
        <w:trPr>
          <w:trHeight w:val="239"/>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31, 2025.</w:t>
            </w:r>
          </w:p>
        </w:tc>
        <w:tc>
          <w:tcPr>
            <w:tcW w:w="0" w:type="dxa"/>
            <w:vAlign w:val="bottom"/>
          </w:tcPr>
          <w:p>
            <w:pPr>
              <w:spacing w:after="0"/>
              <w:rPr>
                <w:sz w:val="1"/>
                <w:szCs w:val="1"/>
                <w:color w:val="auto"/>
              </w:rPr>
            </w:pPr>
          </w:p>
        </w:tc>
      </w:tr>
      <w:tr>
        <w:trPr>
          <w:trHeight w:val="232"/>
        </w:trPr>
        <w:tc>
          <w:tcPr>
            <w:tcW w:w="4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 Goals: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See Exhibit A</w:t>
            </w:r>
          </w:p>
        </w:tc>
        <w:tc>
          <w:tcPr>
            <w:tcW w:w="0" w:type="dxa"/>
            <w:vAlign w:val="bottom"/>
          </w:tcPr>
          <w:p>
            <w:pPr>
              <w:spacing w:after="0"/>
              <w:rPr>
                <w:sz w:val="1"/>
                <w:szCs w:val="1"/>
                <w:color w:val="auto"/>
              </w:rPr>
            </w:pPr>
          </w:p>
        </w:tc>
      </w:tr>
      <w:tr>
        <w:trPr>
          <w:trHeight w:val="63"/>
        </w:trPr>
        <w:tc>
          <w:tcPr>
            <w:tcW w:w="48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
        <w:spacing w:after="0" w:line="282" w:lineRule="auto"/>
        <w:rPr>
          <w:sz w:val="20"/>
          <w:szCs w:val="20"/>
          <w:color w:val="auto"/>
        </w:rPr>
      </w:pPr>
      <w:r>
        <w:rPr>
          <w:rFonts w:ascii="Times New Roman" w:cs="Times New Roman" w:eastAsia="Times New Roman" w:hAnsi="Times New Roman"/>
          <w:sz w:val="18"/>
          <w:szCs w:val="18"/>
          <w:color w:val="auto"/>
        </w:rPr>
        <w:t>All terms, provisions and conditions applicable to Performance-Based Restricted Stock Unit Awards set forth in the Plan and not set forth in this Agreement are incorporated by reference into this Agreement. Capitalized terms not defined herein shall have the meanings specified in the Plan.</w:t>
      </w:r>
    </w:p>
    <w:p>
      <w:pPr>
        <w:spacing w:after="0" w:line="185" w:lineRule="exact"/>
        <w:rPr>
          <w:sz w:val="20"/>
          <w:szCs w:val="20"/>
          <w:color w:val="auto"/>
        </w:rPr>
      </w:pPr>
    </w:p>
    <w:p>
      <w:pPr>
        <w:ind w:left="650" w:hanging="650"/>
        <w:spacing w:after="0"/>
        <w:tabs>
          <w:tab w:leader="none" w:pos="65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of Performance-Based Restricted Stock Units</w:t>
      </w:r>
    </w:p>
    <w:p>
      <w:pPr>
        <w:spacing w:after="0" w:line="256" w:lineRule="exact"/>
        <w:rPr>
          <w:rFonts w:ascii="Times New Roman" w:cs="Times New Roman" w:eastAsia="Times New Roman" w:hAnsi="Times New Roman"/>
          <w:sz w:val="18"/>
          <w:szCs w:val="18"/>
          <w:b w:val="1"/>
          <w:bCs w:val="1"/>
          <w:color w:val="auto"/>
        </w:rPr>
      </w:pPr>
    </w:p>
    <w:p>
      <w:pPr>
        <w:jc w:val="both"/>
        <w:ind w:left="65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hereby confirms the grant to you, as of the Grant Date and subject to the terms and conditions of this Agreement and the Plan, of the number of Performance-Based Restricted Stock Units identified in the table above (the "Units"). Each Unit represents the right to receive one Share of the Corporation’s Class A Nonvoting Common Stock, $.01 par value. The Units granted to you will be credited to an account in your name maintained by the Corporation. This account shall be unfunded and maintained for bookkeeping purposes only, with the Units simply representing an unfunded and unsecured obligation of the Corporation until they become vested or have been forfeited.</w:t>
      </w:r>
    </w:p>
    <w:p>
      <w:pPr>
        <w:spacing w:after="0" w:line="206" w:lineRule="exact"/>
        <w:rPr>
          <w:rFonts w:ascii="Times New Roman" w:cs="Times New Roman" w:eastAsia="Times New Roman" w:hAnsi="Times New Roman"/>
          <w:sz w:val="18"/>
          <w:szCs w:val="18"/>
          <w:b w:val="1"/>
          <w:bCs w:val="1"/>
          <w:color w:val="auto"/>
        </w:rPr>
      </w:pPr>
    </w:p>
    <w:p>
      <w:pPr>
        <w:ind w:left="690" w:hanging="650"/>
        <w:spacing w:after="0"/>
        <w:tabs>
          <w:tab w:leader="none" w:pos="690"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and Forfeiture of Units</w:t>
      </w:r>
    </w:p>
    <w:p>
      <w:pPr>
        <w:spacing w:after="0" w:line="256" w:lineRule="exact"/>
        <w:rPr>
          <w:rFonts w:ascii="Times New Roman" w:cs="Times New Roman" w:eastAsia="Times New Roman" w:hAnsi="Times New Roman"/>
          <w:sz w:val="18"/>
          <w:szCs w:val="18"/>
          <w:b w:val="1"/>
          <w:bCs w:val="1"/>
          <w:color w:val="auto"/>
        </w:rPr>
      </w:pPr>
    </w:p>
    <w:p>
      <w:pPr>
        <w:ind w:left="69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Units shall vest at the earliest of the following times and to the degree specified. For purposes of this Section 2, use of the terms “employment” and “employed” refers to providing services to the Corporation and its Affiliates in the capacity of an Employee.</w:t>
      </w:r>
    </w:p>
    <w:p>
      <w:pPr>
        <w:spacing w:after="0" w:line="200" w:lineRule="exact"/>
        <w:rPr>
          <w:sz w:val="20"/>
          <w:szCs w:val="20"/>
          <w:color w:val="auto"/>
        </w:rPr>
      </w:pPr>
    </w:p>
    <w:p>
      <w:pPr>
        <w:spacing w:after="0" w:line="29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70"/>
          </w:cols>
          <w:pgMar w:left="490" w:top="887" w:right="339" w:bottom="1440" w:gutter="0" w:footer="0" w:header="0"/>
        </w:sectPr>
      </w:pPr>
    </w:p>
    <w:bookmarkStart w:id="107" w:name="page108"/>
    <w:bookmarkEnd w:id="107"/>
    <w:p>
      <w:pPr>
        <w:jc w:val="both"/>
        <w:ind w:left="1300" w:hanging="643"/>
        <w:spacing w:after="0" w:line="256" w:lineRule="auto"/>
        <w:tabs>
          <w:tab w:leader="none" w:pos="12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Scheduled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Units that have been earned during the Performance Period shall be eligible to vest on the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Date, so long as the Employee’s employment has been continuous since the Grant Date. The actual number of earned Units that will vest on the Scheduled Vesting Date will be determined by the Committee as provided in Exhibit A. For these purposes, the “Scheduled Vesting Date” means the date the Committee certifies (i) the degree to which the applicable Performance Goals for the Performance Period have been satisfied, and (ii) the number of Units that have been earned during the Performance Period as provided in Exhibit A, which certification shall occur no later than October 15 of the fiscal year immediately following the fiscal year during which the Performance Period ended.</w:t>
      </w:r>
    </w:p>
    <w:p>
      <w:pPr>
        <w:spacing w:after="0" w:line="209" w:lineRule="exact"/>
        <w:rPr>
          <w:rFonts w:ascii="Times New Roman" w:cs="Times New Roman" w:eastAsia="Times New Roman" w:hAnsi="Times New Roman"/>
          <w:sz w:val="18"/>
          <w:szCs w:val="18"/>
          <w:color w:val="auto"/>
        </w:rPr>
      </w:pPr>
    </w:p>
    <w:p>
      <w:pPr>
        <w:jc w:val="both"/>
        <w:ind w:left="1300" w:hanging="643"/>
        <w:spacing w:after="0" w:line="261" w:lineRule="auto"/>
        <w:tabs>
          <w:tab w:leader="none" w:pos="12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Death, Disability, or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employment is terminated prior to the last day of the Performance Period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death, disability (as defined in Section 22(e)(3) of the Code), or retirement (separation not for Cause after age 60 with at least five years of service with the Corporation or a Subsidiary), a pro-rata number of Units shall be determined to have been earned and will vest based on the following calculation:</w:t>
      </w:r>
    </w:p>
    <w:p>
      <w:pPr>
        <w:spacing w:after="0" w:line="208" w:lineRule="exact"/>
        <w:rPr>
          <w:rFonts w:ascii="Times New Roman" w:cs="Times New Roman" w:eastAsia="Times New Roman" w:hAnsi="Times New Roman"/>
          <w:sz w:val="18"/>
          <w:szCs w:val="18"/>
          <w:color w:val="auto"/>
        </w:rPr>
      </w:pPr>
    </w:p>
    <w:p>
      <w:pPr>
        <w:ind w:left="1960" w:hanging="655"/>
        <w:spacing w:after="0" w:line="282" w:lineRule="auto"/>
        <w:tabs>
          <w:tab w:leader="none" w:pos="195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if any, that would have otherwise been earned by the Employee as a result of satisfaction of the Performance Goals for the respective Performance Period; multiplied by</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full months that the Employee was employed during the Performance Period; and divided by the number of months in the Performance Period.</w:t>
      </w:r>
    </w:p>
    <w:p>
      <w:pPr>
        <w:spacing w:after="0" w:line="18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pro-rata number of vested Units shall be issued and delivered as soon as practicable after the Scheduled Vesting Date. Any Units that do not become vested pursuant to this subsection shall be immediately forfeited.</w:t>
      </w:r>
    </w:p>
    <w:p>
      <w:pPr>
        <w:spacing w:after="0" w:line="187" w:lineRule="exact"/>
        <w:rPr>
          <w:sz w:val="20"/>
          <w:szCs w:val="20"/>
          <w:color w:val="auto"/>
        </w:rPr>
      </w:pPr>
    </w:p>
    <w:p>
      <w:pPr>
        <w:ind w:left="1300" w:right="20" w:hanging="643"/>
        <w:spacing w:after="0" w:line="284" w:lineRule="auto"/>
        <w:tabs>
          <w:tab w:leader="none" w:pos="129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Change in Control, as defined in Exhibit B, occurs while the Employee continues to be employed, then the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vest as of the Date of the Change in Control to the extent provided below:</w:t>
      </w:r>
    </w:p>
    <w:p>
      <w:pPr>
        <w:spacing w:after="0" w:line="187" w:lineRule="exact"/>
        <w:rPr>
          <w:rFonts w:ascii="Times New Roman" w:cs="Times New Roman" w:eastAsia="Times New Roman" w:hAnsi="Times New Roman"/>
          <w:sz w:val="18"/>
          <w:szCs w:val="18"/>
          <w:color w:val="auto"/>
        </w:rPr>
      </w:pPr>
    </w:p>
    <w:p>
      <w:pPr>
        <w:ind w:left="1960" w:hanging="825"/>
        <w:spacing w:after="0" w:line="282" w:lineRule="auto"/>
        <w:tabs>
          <w:tab w:leader="none" w:pos="196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on or after the last day of the Performance Period, the number of Units determined to have been earned as of the end of the Performance Period in accordance with Exhibit A shall vest.</w:t>
      </w:r>
    </w:p>
    <w:p>
      <w:pPr>
        <w:spacing w:after="0" w:line="188" w:lineRule="exact"/>
        <w:rPr>
          <w:rFonts w:ascii="Times New Roman" w:cs="Times New Roman" w:eastAsia="Times New Roman" w:hAnsi="Times New Roman"/>
          <w:sz w:val="18"/>
          <w:szCs w:val="18"/>
          <w:color w:val="auto"/>
        </w:rPr>
      </w:pPr>
    </w:p>
    <w:p>
      <w:pPr>
        <w:ind w:left="1960" w:hanging="875"/>
        <w:spacing w:after="0" w:line="282" w:lineRule="auto"/>
        <w:tabs>
          <w:tab w:leader="none" w:pos="196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prior to the end of the Performance Period, the Units shall become 100% vested at target and the conditions described under Section 2 and Exhibit A shall cease to apply.</w:t>
      </w:r>
    </w:p>
    <w:p>
      <w:pPr>
        <w:spacing w:after="0" w:line="188" w:lineRule="exact"/>
        <w:rPr>
          <w:rFonts w:ascii="Times New Roman" w:cs="Times New Roman" w:eastAsia="Times New Roman" w:hAnsi="Times New Roman"/>
          <w:sz w:val="18"/>
          <w:szCs w:val="18"/>
          <w:color w:val="auto"/>
        </w:rPr>
      </w:pPr>
    </w:p>
    <w:p>
      <w:pPr>
        <w:ind w:left="1960" w:hanging="924"/>
        <w:spacing w:after="0" w:line="282" w:lineRule="auto"/>
        <w:tabs>
          <w:tab w:leader="none" w:pos="196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described in Section 13.05 of the Plan shall cause the Units to become vested unless such event is a Change in Control.</w:t>
      </w:r>
    </w:p>
    <w:p>
      <w:pPr>
        <w:spacing w:after="0" w:line="186" w:lineRule="exact"/>
        <w:rPr>
          <w:rFonts w:ascii="Times New Roman" w:cs="Times New Roman" w:eastAsia="Times New Roman" w:hAnsi="Times New Roman"/>
          <w:sz w:val="18"/>
          <w:szCs w:val="18"/>
          <w:color w:val="auto"/>
        </w:rPr>
      </w:pPr>
    </w:p>
    <w:p>
      <w:pPr>
        <w:ind w:left="1300" w:hanging="643"/>
        <w:spacing w:after="0" w:line="284" w:lineRule="auto"/>
        <w:tabs>
          <w:tab w:leader="none" w:pos="129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Forfeiture of Unvested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employment is terminated prior to the Scheduled Vesting Date under circumstances other than as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Sections 2(a) through (c), all unvested Units shall immediately be forfeited.</w:t>
      </w:r>
    </w:p>
    <w:p>
      <w:pPr>
        <w:spacing w:after="0" w:line="183"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any Units vest pursuant to Appendix A or Section 2 of this Agreement, the Corporation shall, as soon as practicable (but no later than October 15 of the year following the fiscal year in which such Units vest), cause to be issued and delivered to the Employee, or to the Employee’s designated beneficiary or estate in the event of death, one Share in payment and settlement of each vested Unit. Delivery of the Shares shall be effected by the electronic delivery of the Shares to a designated brokerage account, shall be subject to satisfaction of withholding tax obligations as provided in Section 4 and compliance with all applicable legal requirements as provided in Section 13.03 of the Plan, and shall be in complete satisfaction and settlement of such vested Units. The Corporation will pay any original issue or transfer taxes with respect to the issuance and delivery of the Shares to the Employee, and all fees and expenses incurred by it in connection therewith.</w:t>
      </w:r>
    </w:p>
    <w:p>
      <w:pPr>
        <w:spacing w:after="0" w:line="211"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may require, as a condition to the issuance of shares, that the Employee concurrently pay to the Corporation (either in cash or, at the request of Employee, but subject to such rules and regulations as the</w:t>
      </w: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889" w:right="339" w:bottom="1440" w:gutter="0" w:footer="0" w:header="0"/>
        </w:sectPr>
      </w:pPr>
    </w:p>
    <w:bookmarkStart w:id="108" w:name="page109"/>
    <w:bookmarkEnd w:id="108"/>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Administrator may adopt from time to time, in Shares of Delivered Stock) the entire amount or a portion of any taxes which the Corporation is required to withhold by reason of the vesting or settlement of the Units, in such amount as the Administrator or the Corporation in its discretion may determine. If and to the extent that withholding of any federal, state or local tax is required in connection with the vesting or settlement of the Units, the Employee may, subject to such rules and regulations as the Corporation may adopt from time to time, elect to have the Corporation hold back from the Shares to be issued upon the vesting or settlement of the Units,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12" w:lineRule="exact"/>
        <w:rPr>
          <w:sz w:val="20"/>
          <w:szCs w:val="20"/>
          <w:color w:val="auto"/>
        </w:rPr>
      </w:pPr>
    </w:p>
    <w:p>
      <w:pPr>
        <w:ind w:left="660" w:hanging="651"/>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Dividends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dividends will be paid or accrued on any Performance-Based Restricted Stock Units prior to the issuance of Shares.</w:t>
      </w:r>
    </w:p>
    <w:p>
      <w:pPr>
        <w:spacing w:after="0" w:line="24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Shareholder Rights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Units subject to this Award do not entitle the Employee to any rights of a shareholder of the Corporation’s Class A Nonvoting Common Stock. The Employee will not have any of the rights of a shareholder of the Corporation in connection with the grant of Units subject to this Agreement unless and until Shares are issued to the Employee upon settlement of the Units as provided in Section 3.</w:t>
      </w:r>
    </w:p>
    <w:p>
      <w:pPr>
        <w:spacing w:after="0" w:line="19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Restrictions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Performance-Based Restricted Stock Units shall be forfeited.</w:t>
      </w:r>
    </w:p>
    <w:p>
      <w:pPr>
        <w:spacing w:after="0" w:line="19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Non-Solicitation and Non-Compete</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grant of this Award, Employee agrees to, understands and acknowledges the following:</w:t>
      </w:r>
    </w:p>
    <w:p>
      <w:pPr>
        <w:spacing w:after="0" w:line="252" w:lineRule="exact"/>
        <w:rPr>
          <w:rFonts w:ascii="Times New Roman" w:cs="Times New Roman" w:eastAsia="Times New Roman" w:hAnsi="Times New Roman"/>
          <w:sz w:val="18"/>
          <w:szCs w:val="18"/>
          <w:b w:val="1"/>
          <w:bCs w:val="1"/>
          <w:color w:val="auto"/>
        </w:rPr>
      </w:pPr>
    </w:p>
    <w:p>
      <w:pPr>
        <w:jc w:val="both"/>
        <w:ind w:left="1300" w:hanging="643"/>
        <w:spacing w:after="0" w:line="252" w:lineRule="auto"/>
        <w:tabs>
          <w:tab w:leader="none" w:pos="129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protection as to trade secrets shall not necessarily expire at the end of the two (2)-year period).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the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w:t>
      </w: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891" w:right="339" w:bottom="1440" w:gutter="0" w:footer="0" w:header="0"/>
        </w:sectPr>
      </w:pPr>
    </w:p>
    <w:bookmarkStart w:id="109" w:name="page110"/>
    <w:bookmarkEnd w:id="109"/>
    <w:p>
      <w:pPr>
        <w:ind w:left="643"/>
        <w:spacing w:after="0"/>
        <w:rPr>
          <w:sz w:val="20"/>
          <w:szCs w:val="20"/>
          <w:color w:val="auto"/>
        </w:rPr>
      </w:pPr>
      <w:r>
        <w:rPr>
          <w:rFonts w:ascii="Times New Roman" w:cs="Times New Roman" w:eastAsia="Times New Roman" w:hAnsi="Times New Roman"/>
          <w:sz w:val="18"/>
          <w:szCs w:val="18"/>
          <w:color w:val="auto"/>
        </w:rPr>
        <w:t>Company, including without limitation,</w:t>
      </w:r>
    </w:p>
    <w:p>
      <w:pPr>
        <w:spacing w:after="0" w:line="252" w:lineRule="exact"/>
        <w:rPr>
          <w:sz w:val="20"/>
          <w:szCs w:val="20"/>
          <w:color w:val="auto"/>
        </w:rPr>
      </w:pPr>
    </w:p>
    <w:p>
      <w:pPr>
        <w:jc w:val="both"/>
        <w:ind w:left="1303" w:hanging="825"/>
        <w:spacing w:after="0" w:line="266" w:lineRule="auto"/>
        <w:tabs>
          <w:tab w:leader="none" w:pos="13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02" w:lineRule="exact"/>
        <w:rPr>
          <w:rFonts w:ascii="Times New Roman" w:cs="Times New Roman" w:eastAsia="Times New Roman" w:hAnsi="Times New Roman"/>
          <w:sz w:val="18"/>
          <w:szCs w:val="18"/>
          <w:color w:val="auto"/>
        </w:rPr>
      </w:pPr>
    </w:p>
    <w:p>
      <w:pPr>
        <w:ind w:left="1303" w:hanging="875"/>
        <w:spacing w:after="0" w:line="282" w:lineRule="auto"/>
        <w:tabs>
          <w:tab w:leader="none" w:pos="13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designs, methods, discoveries, works of authorship, creations, improvements or ideas developed or otherwise produced, acquired or used by the Company;</w:t>
      </w:r>
    </w:p>
    <w:p>
      <w:pPr>
        <w:spacing w:after="0" w:line="188" w:lineRule="exact"/>
        <w:rPr>
          <w:rFonts w:ascii="Times New Roman" w:cs="Times New Roman" w:eastAsia="Times New Roman" w:hAnsi="Times New Roman"/>
          <w:sz w:val="18"/>
          <w:szCs w:val="18"/>
          <w:color w:val="auto"/>
        </w:rPr>
      </w:pPr>
    </w:p>
    <w:p>
      <w:pPr>
        <w:jc w:val="both"/>
        <w:ind w:left="1303" w:hanging="924"/>
        <w:spacing w:after="0" w:line="261" w:lineRule="auto"/>
        <w:tabs>
          <w:tab w:leader="none" w:pos="13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06" w:lineRule="exact"/>
        <w:rPr>
          <w:rFonts w:ascii="Times New Roman" w:cs="Times New Roman" w:eastAsia="Times New Roman" w:hAnsi="Times New Roman"/>
          <w:sz w:val="18"/>
          <w:szCs w:val="18"/>
          <w:color w:val="auto"/>
        </w:rPr>
      </w:pPr>
    </w:p>
    <w:p>
      <w:pPr>
        <w:jc w:val="both"/>
        <w:ind w:left="1303" w:hanging="915"/>
        <w:spacing w:after="0" w:line="266" w:lineRule="auto"/>
        <w:tabs>
          <w:tab w:leader="none" w:pos="13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02" w:lineRule="exact"/>
        <w:rPr>
          <w:rFonts w:ascii="Times New Roman" w:cs="Times New Roman" w:eastAsia="Times New Roman" w:hAnsi="Times New Roman"/>
          <w:sz w:val="18"/>
          <w:szCs w:val="18"/>
          <w:color w:val="auto"/>
        </w:rPr>
      </w:pPr>
    </w:p>
    <w:p>
      <w:pPr>
        <w:jc w:val="both"/>
        <w:ind w:left="1303" w:right="20" w:hanging="865"/>
        <w:spacing w:after="0" w:line="266" w:lineRule="auto"/>
        <w:tabs>
          <w:tab w:leader="none" w:pos="13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02" w:lineRule="exact"/>
        <w:rPr>
          <w:rFonts w:ascii="Times New Roman" w:cs="Times New Roman" w:eastAsia="Times New Roman" w:hAnsi="Times New Roman"/>
          <w:sz w:val="18"/>
          <w:szCs w:val="18"/>
          <w:color w:val="auto"/>
        </w:rPr>
      </w:pPr>
    </w:p>
    <w:p>
      <w:pPr>
        <w:jc w:val="both"/>
        <w:ind w:left="1303" w:hanging="915"/>
        <w:spacing w:after="0" w:line="261" w:lineRule="auto"/>
        <w:tabs>
          <w:tab w:leader="none" w:pos="13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04" w:lineRule="exact"/>
        <w:rPr>
          <w:rFonts w:ascii="Times New Roman" w:cs="Times New Roman" w:eastAsia="Times New Roman" w:hAnsi="Times New Roman"/>
          <w:sz w:val="18"/>
          <w:szCs w:val="18"/>
          <w:color w:val="auto"/>
        </w:rPr>
      </w:pPr>
    </w:p>
    <w:p>
      <w:pPr>
        <w:jc w:val="both"/>
        <w:ind w:left="643" w:hanging="643"/>
        <w:spacing w:after="0" w:line="258" w:lineRule="auto"/>
        <w:tabs>
          <w:tab w:leader="none" w:pos="63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Post-Employment Customer Non-Solicitation Agreement</w:t>
      </w:r>
      <w:r>
        <w:rPr>
          <w:rFonts w:ascii="Times New Roman" w:cs="Times New Roman" w:eastAsia="Times New Roman" w:hAnsi="Times New Roman"/>
          <w:sz w:val="18"/>
          <w:szCs w:val="18"/>
          <w:color w:val="auto"/>
        </w:rPr>
        <w:t>. For one (1) year following Employee’s separation from Company,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not </w:t>
      </w:r>
      <w:r>
        <w:rPr>
          <w:rFonts w:ascii="Times New Roman" w:cs="Times New Roman" w:eastAsia="Times New Roman" w:hAnsi="Times New Roman"/>
          <w:sz w:val="18"/>
          <w:szCs w:val="18"/>
          <w:color w:val="252525"/>
        </w:rPr>
        <w:t>contact—or support others in contacting—customers of Company with whom Employee had business contact during the 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two (2) years of Employee’s employment with Company, for the purpose of selling or providing products or services competitive with those offered by Company (“</w:t>
      </w:r>
      <w:r>
        <w:rPr>
          <w:rFonts w:ascii="Times New Roman" w:cs="Times New Roman" w:eastAsia="Times New Roman" w:hAnsi="Times New Roman"/>
          <w:sz w:val="18"/>
          <w:szCs w:val="18"/>
          <w:color w:val="000000"/>
        </w:rPr>
        <w:t>Competitive Products”). “Competitive Products” shall mean products and services competitive with those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products and services for which Employee was responsible during the last two (2) years of Employee’s employment with Company.</w:t>
      </w:r>
    </w:p>
    <w:p>
      <w:pPr>
        <w:spacing w:after="0" w:line="210" w:lineRule="exact"/>
        <w:rPr>
          <w:rFonts w:ascii="Times New Roman" w:cs="Times New Roman" w:eastAsia="Times New Roman" w:hAnsi="Times New Roman"/>
          <w:sz w:val="18"/>
          <w:szCs w:val="18"/>
          <w:color w:val="auto"/>
        </w:rPr>
      </w:pPr>
    </w:p>
    <w:p>
      <w:pPr>
        <w:jc w:val="both"/>
        <w:ind w:left="643" w:hanging="643"/>
        <w:spacing w:after="0" w:line="257" w:lineRule="auto"/>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Post-Employment Non-Solicitation Agreement Based Upon Customer Knowledge</w:t>
      </w:r>
      <w:r>
        <w:rPr>
          <w:rFonts w:ascii="Times New Roman" w:cs="Times New Roman" w:eastAsia="Times New Roman" w:hAnsi="Times New Roman"/>
          <w:sz w:val="18"/>
          <w:szCs w:val="18"/>
          <w:color w:val="auto"/>
        </w:rPr>
        <w:t>. For one (1) year following Employee’s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Company, Employee will not </w:t>
      </w:r>
      <w:r>
        <w:rPr>
          <w:rFonts w:ascii="Times New Roman" w:cs="Times New Roman" w:eastAsia="Times New Roman" w:hAnsi="Times New Roman"/>
          <w:sz w:val="18"/>
          <w:szCs w:val="18"/>
          <w:color w:val="252525"/>
        </w:rPr>
        <w:t>contact—or support others in contacting—customers of Company about whom Employee possesses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Confidential Information or for whom Employee supervised others in serving during the last two (2) years of Employee’s employment with Company, for the purpose of selling or providing </w:t>
      </w:r>
      <w:r>
        <w:rPr>
          <w:rFonts w:ascii="Times New Roman" w:cs="Times New Roman" w:eastAsia="Times New Roman" w:hAnsi="Times New Roman"/>
          <w:sz w:val="18"/>
          <w:szCs w:val="18"/>
          <w:color w:val="000000"/>
        </w:rPr>
        <w:t>products or services competitive with those offered by Company (“Competitive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Products”). “Competitive Products” shall mean products and services competitive with those products and services for which Employee was responsible during the last two (2) years of Employee’s employment with Company.</w:t>
      </w:r>
    </w:p>
    <w:p>
      <w:pPr>
        <w:spacing w:after="0" w:line="209" w:lineRule="exact"/>
        <w:rPr>
          <w:rFonts w:ascii="Times New Roman" w:cs="Times New Roman" w:eastAsia="Times New Roman" w:hAnsi="Times New Roman"/>
          <w:sz w:val="18"/>
          <w:szCs w:val="18"/>
          <w:color w:val="auto"/>
        </w:rPr>
      </w:pPr>
    </w:p>
    <w:p>
      <w:pPr>
        <w:jc w:val="both"/>
        <w:ind w:left="643" w:hanging="643"/>
        <w:spacing w:after="0" w:line="261" w:lineRule="auto"/>
        <w:tabs>
          <w:tab w:leader="none" w:pos="63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252525"/>
        </w:rPr>
        <w:t>Post-Employment Non-Compete Agreement</w:t>
      </w:r>
      <w:r>
        <w:rPr>
          <w:rFonts w:ascii="Times New Roman" w:cs="Times New Roman" w:eastAsia="Times New Roman" w:hAnsi="Times New Roman"/>
          <w:sz w:val="18"/>
          <w:szCs w:val="18"/>
          <w:color w:val="252525"/>
        </w:rPr>
        <w:t>. For one (1) year following Employee’s separation from Company, Employee will not,</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06" w:lineRule="exact"/>
        <w:rPr>
          <w:rFonts w:ascii="Times New Roman" w:cs="Times New Roman" w:eastAsia="Times New Roman" w:hAnsi="Times New Roman"/>
          <w:sz w:val="18"/>
          <w:szCs w:val="18"/>
          <w:color w:val="auto"/>
        </w:rPr>
      </w:pPr>
    </w:p>
    <w:p>
      <w:pPr>
        <w:jc w:val="both"/>
        <w:ind w:left="643" w:hanging="643"/>
        <w:spacing w:after="0" w:line="261" w:lineRule="auto"/>
        <w:tabs>
          <w:tab w:leader="none" w:pos="640" w:val="left"/>
        </w:tabs>
        <w:numPr>
          <w:ilvl w:val="0"/>
          <w:numId w:val="8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Post-Employment Restriction on Working With Competitive Products</w:t>
      </w:r>
      <w:r>
        <w:rPr>
          <w:rFonts w:ascii="Times New Roman" w:cs="Times New Roman" w:eastAsia="Times New Roman" w:hAnsi="Times New Roman"/>
          <w:sz w:val="18"/>
          <w:szCs w:val="18"/>
          <w:color w:val="252525"/>
        </w:rPr>
        <w:t>. For one (1) year following Employee’s separation from Company,</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06" w:lineRule="exact"/>
        <w:rPr>
          <w:rFonts w:ascii="Times New Roman" w:cs="Times New Roman" w:eastAsia="Times New Roman" w:hAnsi="Times New Roman"/>
          <w:sz w:val="18"/>
          <w:szCs w:val="18"/>
          <w:color w:val="252525"/>
        </w:rPr>
      </w:pPr>
    </w:p>
    <w:p>
      <w:pPr>
        <w:ind w:left="643" w:hanging="643"/>
        <w:spacing w:after="0"/>
        <w:tabs>
          <w:tab w:leader="none" w:pos="643" w:val="left"/>
        </w:tabs>
        <w:numPr>
          <w:ilvl w:val="0"/>
          <w:numId w:val="8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Post-Employment Restriction on Advising Investors</w:t>
      </w:r>
      <w:r>
        <w:rPr>
          <w:rFonts w:ascii="Times New Roman" w:cs="Times New Roman" w:eastAsia="Times New Roman" w:hAnsi="Times New Roman"/>
          <w:sz w:val="18"/>
          <w:szCs w:val="18"/>
          <w:color w:val="252525"/>
        </w:rPr>
        <w:t>. For one (1) year following Employee’s separation</w:t>
      </w:r>
    </w:p>
    <w:p>
      <w:pPr>
        <w:spacing w:after="0" w:line="200" w:lineRule="exact"/>
        <w:rPr>
          <w:sz w:val="20"/>
          <w:szCs w:val="20"/>
          <w:color w:val="auto"/>
        </w:rPr>
      </w:pPr>
    </w:p>
    <w:p>
      <w:pPr>
        <w:spacing w:after="0" w:line="365"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3"/>
          </w:cols>
          <w:pgMar w:left="1057" w:top="891" w:right="339" w:bottom="1440" w:gutter="0" w:footer="0" w:header="0"/>
        </w:sectPr>
      </w:pPr>
    </w:p>
    <w:bookmarkStart w:id="110" w:name="page111"/>
    <w:bookmarkEnd w:id="110"/>
    <w:p>
      <w:pPr>
        <w:ind w:left="1300" w:right="20"/>
        <w:spacing w:after="0" w:line="282" w:lineRule="auto"/>
        <w:rPr>
          <w:sz w:val="20"/>
          <w:szCs w:val="20"/>
          <w:color w:val="auto"/>
        </w:rPr>
      </w:pPr>
      <w:r>
        <w:rPr>
          <w:rFonts w:ascii="Times New Roman" w:cs="Times New Roman" w:eastAsia="Times New Roman" w:hAnsi="Times New Roman"/>
          <w:sz w:val="18"/>
          <w:szCs w:val="18"/>
          <w:color w:val="252525"/>
        </w:rPr>
        <w:t>from Company, Employee will not, directly or indirectly, advise a private equity firm or other investor regarding buying, investing in, or divesting from Company or any of its competitors.</w:t>
      </w:r>
    </w:p>
    <w:p>
      <w:pPr>
        <w:spacing w:after="0" w:line="187" w:lineRule="exact"/>
        <w:rPr>
          <w:sz w:val="20"/>
          <w:szCs w:val="20"/>
          <w:color w:val="auto"/>
        </w:rPr>
      </w:pPr>
    </w:p>
    <w:p>
      <w:pPr>
        <w:jc w:val="both"/>
        <w:ind w:left="1300" w:hanging="643"/>
        <w:spacing w:after="0" w:line="267" w:lineRule="auto"/>
        <w:tabs>
          <w:tab w:leader="none" w:pos="1294" w:val="left"/>
        </w:tabs>
        <w:numPr>
          <w:ilvl w:val="1"/>
          <w:numId w:val="8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Post-Employment Restriction on Soliciting Employees</w:t>
      </w:r>
      <w:r>
        <w:rPr>
          <w:rFonts w:ascii="Times New Roman" w:cs="Times New Roman" w:eastAsia="Times New Roman" w:hAnsi="Times New Roman"/>
          <w:sz w:val="18"/>
          <w:szCs w:val="18"/>
          <w:color w:val="252525"/>
        </w:rPr>
        <w:t>. For one (1) year following Employee’s separation from Company, Employee will</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not solicit or encourage other employees of Company to provide services to a competitor of Company or to otherwise terminate their relationship with Company.</w:t>
      </w:r>
    </w:p>
    <w:p>
      <w:pPr>
        <w:spacing w:after="0" w:line="200" w:lineRule="exact"/>
        <w:rPr>
          <w:rFonts w:ascii="Times New Roman" w:cs="Times New Roman" w:eastAsia="Times New Roman" w:hAnsi="Times New Roman"/>
          <w:sz w:val="18"/>
          <w:szCs w:val="18"/>
          <w:color w:val="252525"/>
        </w:rPr>
      </w:pPr>
    </w:p>
    <w:p>
      <w:pPr>
        <w:jc w:val="both"/>
        <w:ind w:left="1300" w:hanging="643"/>
        <w:spacing w:after="0" w:line="258" w:lineRule="auto"/>
        <w:tabs>
          <w:tab w:leader="none" w:pos="1294" w:val="left"/>
        </w:tabs>
        <w:numPr>
          <w:ilvl w:val="1"/>
          <w:numId w:val="8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Duty of Loyalty and Related Obligations</w:t>
      </w:r>
      <w:r>
        <w:rPr>
          <w:rFonts w:ascii="Times New Roman" w:cs="Times New Roman" w:eastAsia="Times New Roman" w:hAnsi="Times New Roman"/>
          <w:sz w:val="18"/>
          <w:szCs w:val="18"/>
          <w:color w:val="252525"/>
        </w:rPr>
        <w:t>. Employee acknowledges and agrees that Employee owes Company a duty of loyalty while</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0" w:lineRule="exact"/>
        <w:rPr>
          <w:rFonts w:ascii="Times New Roman" w:cs="Times New Roman" w:eastAsia="Times New Roman" w:hAnsi="Times New Roman"/>
          <w:sz w:val="18"/>
          <w:szCs w:val="18"/>
          <w:color w:val="252525"/>
        </w:rPr>
      </w:pPr>
    </w:p>
    <w:p>
      <w:pPr>
        <w:jc w:val="both"/>
        <w:ind w:left="1300" w:hanging="643"/>
        <w:spacing w:after="0" w:line="267" w:lineRule="auto"/>
        <w:tabs>
          <w:tab w:leader="none" w:pos="1294" w:val="left"/>
        </w:tabs>
        <w:numPr>
          <w:ilvl w:val="1"/>
          <w:numId w:val="8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Non-Disparagement and Social Media</w:t>
      </w:r>
      <w:r>
        <w:rPr>
          <w:rFonts w:ascii="Times New Roman" w:cs="Times New Roman" w:eastAsia="Times New Roman" w:hAnsi="Times New Roman"/>
          <w:sz w:val="18"/>
          <w:szCs w:val="18"/>
          <w:color w:val="252525"/>
        </w:rPr>
        <w:t>. Employee agrees not to disparage Company or any of its officers, directors, or employees on</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social media, on any public platform, or to persons external to Company when such comments have the potential to harm Company (</w:t>
      </w:r>
      <w:r>
        <w:rPr>
          <w:rFonts w:ascii="Times New Roman" w:cs="Times New Roman" w:eastAsia="Times New Roman" w:hAnsi="Times New Roman"/>
          <w:sz w:val="18"/>
          <w:szCs w:val="18"/>
          <w:i w:val="1"/>
          <w:iCs w:val="1"/>
          <w:color w:val="252525"/>
        </w:rPr>
        <w:t>i.e.</w:t>
      </w:r>
      <w:r>
        <w:rPr>
          <w:rFonts w:ascii="Times New Roman" w:cs="Times New Roman" w:eastAsia="Times New Roman" w:hAnsi="Times New Roman"/>
          <w:sz w:val="18"/>
          <w:szCs w:val="18"/>
          <w:color w:val="252525"/>
        </w:rPr>
        <w:t>, making disparaging comments about Company to distributors, customers, suppliers, etc.).</w:t>
      </w:r>
    </w:p>
    <w:p>
      <w:pPr>
        <w:spacing w:after="0" w:line="200" w:lineRule="exact"/>
        <w:rPr>
          <w:rFonts w:ascii="Times New Roman" w:cs="Times New Roman" w:eastAsia="Times New Roman" w:hAnsi="Times New Roman"/>
          <w:sz w:val="18"/>
          <w:szCs w:val="18"/>
          <w:color w:val="252525"/>
        </w:rPr>
      </w:pPr>
    </w:p>
    <w:p>
      <w:pPr>
        <w:jc w:val="both"/>
        <w:ind w:left="1300" w:hanging="643"/>
        <w:spacing w:after="0" w:line="267" w:lineRule="auto"/>
        <w:tabs>
          <w:tab w:leader="none" w:pos="1294" w:val="left"/>
        </w:tabs>
        <w:numPr>
          <w:ilvl w:val="1"/>
          <w:numId w:val="8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auto"/>
        </w:rPr>
        <w:t>Other Business Relationships</w:t>
      </w:r>
      <w:r>
        <w:rPr>
          <w:rFonts w:ascii="Times New Roman" w:cs="Times New Roman" w:eastAsia="Times New Roman" w:hAnsi="Times New Roman"/>
          <w:sz w:val="18"/>
          <w:szCs w:val="18"/>
          <w:color w:val="auto"/>
        </w:rPr>
        <w:t>. Employee agrees, for a one (1)-year period following Employee’s separation from Company, not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encourage or advise any vendors, suppliers, or others possessing a business relationship with Company to terminate that relationship or to otherwise modify that relationship to Company’s detriment.</w:t>
      </w:r>
    </w:p>
    <w:p>
      <w:pPr>
        <w:spacing w:after="0" w:line="202" w:lineRule="exact"/>
        <w:rPr>
          <w:rFonts w:ascii="Times New Roman" w:cs="Times New Roman" w:eastAsia="Times New Roman" w:hAnsi="Times New Roman"/>
          <w:sz w:val="18"/>
          <w:szCs w:val="18"/>
          <w:color w:val="252525"/>
        </w:rPr>
      </w:pPr>
    </w:p>
    <w:p>
      <w:pPr>
        <w:jc w:val="both"/>
        <w:ind w:left="1300" w:hanging="643"/>
        <w:spacing w:after="0" w:line="254" w:lineRule="auto"/>
        <w:tabs>
          <w:tab w:leader="none" w:pos="129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compliance with this Section 8 is necessary to protect the Company, and that a breach of any of this Section 8 will result in irreparable and continuing damage to the Company for which there will be no adequate remedy at law. In the event of a breach of this Section 8,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8, or to enjoin Employee from performing services in breach of Section 8(b)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218" w:lineRule="exact"/>
        <w:rPr>
          <w:rFonts w:ascii="Times New Roman" w:cs="Times New Roman" w:eastAsia="Times New Roman" w:hAnsi="Times New Roman"/>
          <w:sz w:val="18"/>
          <w:szCs w:val="18"/>
          <w:color w:val="auto"/>
        </w:rPr>
      </w:pPr>
    </w:p>
    <w:p>
      <w:pPr>
        <w:jc w:val="both"/>
        <w:ind w:left="1300" w:hanging="643"/>
        <w:spacing w:after="0" w:line="266" w:lineRule="auto"/>
        <w:tabs>
          <w:tab w:leader="none" w:pos="129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that, in the event of a breach of this Section 8,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02"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the terms of this Section 8 shall survive the termination of Employee's employment with the Company.</w:t>
      </w:r>
    </w:p>
    <w:p>
      <w:pPr>
        <w:spacing w:after="0" w:line="252" w:lineRule="exact"/>
        <w:rPr>
          <w:rFonts w:ascii="Times New Roman" w:cs="Times New Roman" w:eastAsia="Times New Roman" w:hAnsi="Times New Roman"/>
          <w:sz w:val="18"/>
          <w:szCs w:val="18"/>
          <w:color w:val="auto"/>
        </w:rPr>
      </w:pPr>
    </w:p>
    <w:p>
      <w:pPr>
        <w:jc w:val="both"/>
        <w:ind w:left="1300" w:hanging="643"/>
        <w:spacing w:after="0" w:line="261" w:lineRule="auto"/>
        <w:tabs>
          <w:tab w:leader="none" w:pos="129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READ THIS SECTION 8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2"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Clawback</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2"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will be binding in all respects on heirs, representatives, successors and assigns of the Employee, and</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891"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on the successors and assigns of the Corporation.</w:t>
      </w:r>
    </w:p>
    <w:p>
      <w:pPr>
        <w:spacing w:after="0" w:line="248" w:lineRule="exact"/>
        <w:rPr>
          <w:sz w:val="20"/>
          <w:szCs w:val="20"/>
          <w:color w:val="auto"/>
        </w:rPr>
      </w:pPr>
    </w:p>
    <w:p>
      <w:pPr>
        <w:ind w:left="640" w:hanging="631"/>
        <w:spacing w:after="0"/>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 of Plan Controlling</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2"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Wisconsin Contract</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has been granted in Wisconsin and shall be construed under the laws of that state.</w:t>
      </w:r>
    </w:p>
    <w:p>
      <w:pPr>
        <w:spacing w:after="0" w:line="24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Times New Roman" w:cs="Times New Roman" w:eastAsia="Times New Roman" w:hAnsi="Times New Roman"/>
          <w:sz w:val="18"/>
          <w:szCs w:val="18"/>
          <w:color w:val="252525"/>
        </w:rPr>
        <w:t>A court of competent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jurisdiction is expressly authorized to modify overbroad provisions so as to make them enforceable to the maximum extent permitted by law and is further authorized to strike whole provisions that cannot be so modified.</w:t>
      </w:r>
    </w:p>
    <w:p>
      <w:pPr>
        <w:spacing w:after="0" w:line="206"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Contract</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84"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Immunity</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Defend Trade Secrets Act, Employee is hereby advised that:</w:t>
      </w:r>
    </w:p>
    <w:p>
      <w:pPr>
        <w:spacing w:after="0" w:line="252"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11"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9"/>
        </w:numPr>
        <w:rPr>
          <w:rFonts w:ascii="Times New Roman" w:cs="Times New Roman" w:eastAsia="Times New Roman" w:hAnsi="Times New Roman"/>
          <w:sz w:val="18"/>
          <w:szCs w:val="18"/>
          <w:b w:val="1"/>
          <w:bCs w:val="1"/>
          <w:color w:val="252525"/>
        </w:rPr>
      </w:pPr>
      <w:r>
        <w:rPr>
          <w:rFonts w:ascii="Times New Roman" w:cs="Times New Roman" w:eastAsia="Times New Roman" w:hAnsi="Times New Roman"/>
          <w:sz w:val="18"/>
          <w:szCs w:val="18"/>
          <w:b w:val="1"/>
          <w:bCs w:val="1"/>
          <w:u w:val="single" w:color="auto"/>
          <w:color w:val="auto"/>
        </w:rPr>
        <w:t>Data Privacy</w:t>
      </w:r>
    </w:p>
    <w:p>
      <w:pPr>
        <w:spacing w:after="0" w:line="256" w:lineRule="exact"/>
        <w:rPr>
          <w:rFonts w:ascii="Times New Roman" w:cs="Times New Roman" w:eastAsia="Times New Roman" w:hAnsi="Times New Roman"/>
          <w:sz w:val="18"/>
          <w:szCs w:val="18"/>
          <w:b w:val="1"/>
          <w:bCs w:val="1"/>
          <w:color w:val="252525"/>
        </w:rPr>
      </w:pPr>
    </w:p>
    <w:p>
      <w:pPr>
        <w:jc w:val="both"/>
        <w:ind w:left="660"/>
        <w:spacing w:after="0" w:line="266" w:lineRule="auto"/>
        <w:rPr>
          <w:rFonts w:ascii="Times New Roman" w:cs="Times New Roman" w:eastAsia="Times New Roman" w:hAnsi="Times New Roman"/>
          <w:sz w:val="18"/>
          <w:szCs w:val="18"/>
          <w:b w:val="1"/>
          <w:bCs w:val="1"/>
          <w:color w:val="252525"/>
        </w:rPr>
      </w:pPr>
      <w:r>
        <w:rPr>
          <w:rFonts w:ascii="Times New Roman" w:cs="Times New Roman" w:eastAsia="Times New Roman" w:hAnsi="Times New Roman"/>
          <w:sz w:val="18"/>
          <w:szCs w:val="18"/>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202" w:lineRule="exact"/>
        <w:rPr>
          <w:rFonts w:ascii="Times New Roman" w:cs="Times New Roman" w:eastAsia="Times New Roman" w:hAnsi="Times New Roman"/>
          <w:sz w:val="18"/>
          <w:szCs w:val="18"/>
          <w:b w:val="1"/>
          <w:bCs w:val="1"/>
          <w:color w:val="252525"/>
        </w:rPr>
      </w:pPr>
    </w:p>
    <w:p>
      <w:pPr>
        <w:jc w:val="both"/>
        <w:ind w:left="660"/>
        <w:spacing w:after="0" w:line="255" w:lineRule="auto"/>
        <w:rPr>
          <w:rFonts w:ascii="Times New Roman" w:cs="Times New Roman" w:eastAsia="Times New Roman" w:hAnsi="Times New Roman"/>
          <w:sz w:val="18"/>
          <w:szCs w:val="18"/>
          <w:b w:val="1"/>
          <w:bCs w:val="1"/>
          <w:color w:val="252525"/>
        </w:rPr>
      </w:pPr>
      <w:r>
        <w:rPr>
          <w:rFonts w:ascii="Times New Roman" w:cs="Times New Roman" w:eastAsia="Times New Roman" w:hAnsi="Times New Roman"/>
          <w:sz w:val="18"/>
          <w:szCs w:val="18"/>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400" w:top="891" w:right="339" w:bottom="1440" w:gutter="0" w:footer="0" w:header="0"/>
        </w:sectPr>
      </w:pPr>
    </w:p>
    <w:bookmarkStart w:id="112" w:name="page113"/>
    <w:bookmarkEnd w:id="112"/>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212" w:lineRule="exact"/>
        <w:rPr>
          <w:sz w:val="20"/>
          <w:szCs w:val="20"/>
          <w:color w:val="auto"/>
        </w:rPr>
      </w:pPr>
    </w:p>
    <w:p>
      <w:pPr>
        <w:ind w:left="660" w:hanging="651"/>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 and Acceptance</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1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WITNESS WHEREOF, the Corporation has granted this Award as of the day and year first above written.</w:t>
      </w: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RUSSELL SHALLER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Russell Shaller</w:t>
      </w:r>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400" w:top="1134"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Goals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887" w:right="1440" w:bottom="1440" w:gutter="0" w:footer="0" w:header="0"/>
        </w:sectPr>
      </w:pPr>
    </w:p>
    <w:bookmarkStart w:id="114" w:name="page115"/>
    <w:bookmarkEnd w:id="114"/>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Change in Control Definition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means the occurrence of any one of the following events:</w:t>
      </w:r>
    </w:p>
    <w:p>
      <w:pPr>
        <w:spacing w:after="0" w:line="256" w:lineRule="exact"/>
        <w:rPr>
          <w:sz w:val="20"/>
          <w:szCs w:val="20"/>
          <w:color w:val="auto"/>
        </w:rPr>
      </w:pPr>
    </w:p>
    <w:p>
      <w:pPr>
        <w:jc w:val="both"/>
        <w:ind w:firstLine="657"/>
        <w:spacing w:after="0" w:line="253" w:lineRule="auto"/>
        <w:tabs>
          <w:tab w:leader="none" w:pos="12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221" w:lineRule="exact"/>
        <w:rPr>
          <w:rFonts w:ascii="Times New Roman" w:cs="Times New Roman" w:eastAsia="Times New Roman" w:hAnsi="Times New Roman"/>
          <w:sz w:val="18"/>
          <w:szCs w:val="18"/>
          <w:color w:val="auto"/>
        </w:rPr>
      </w:pPr>
    </w:p>
    <w:p>
      <w:pPr>
        <w:jc w:val="both"/>
        <w:ind w:firstLine="657"/>
        <w:spacing w:after="0" w:line="253" w:lineRule="auto"/>
        <w:tabs>
          <w:tab w:leader="none" w:pos="120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21" w:lineRule="exact"/>
        <w:rPr>
          <w:rFonts w:ascii="Times New Roman" w:cs="Times New Roman" w:eastAsia="Times New Roman" w:hAnsi="Times New Roman"/>
          <w:sz w:val="18"/>
          <w:szCs w:val="18"/>
          <w:color w:val="auto"/>
        </w:rPr>
      </w:pPr>
    </w:p>
    <w:p>
      <w:pPr>
        <w:jc w:val="both"/>
        <w:ind w:firstLine="657"/>
        <w:spacing w:after="0" w:line="253" w:lineRule="auto"/>
        <w:tabs>
          <w:tab w:leader="none" w:pos="12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4" w:lineRule="exact"/>
        <w:rPr>
          <w:rFonts w:ascii="Times New Roman" w:cs="Times New Roman" w:eastAsia="Times New Roman" w:hAnsi="Times New Roman"/>
          <w:sz w:val="18"/>
          <w:szCs w:val="18"/>
          <w:color w:val="auto"/>
        </w:rPr>
      </w:pPr>
    </w:p>
    <w:p>
      <w:pPr>
        <w:jc w:val="both"/>
        <w:ind w:firstLine="657"/>
        <w:spacing w:after="0" w:line="254" w:lineRule="auto"/>
        <w:tabs>
          <w:tab w:leader="none" w:pos="120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and the subsequent consummation of (i) 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w:t>
      </w: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400" w:top="887" w:right="339" w:bottom="1440" w:gutter="0" w:footer="0" w:header="0"/>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18"/>
          <w:szCs w:val="18"/>
          <w:color w:val="auto"/>
        </w:rPr>
        <w:t>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400" w:top="89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558"/>
        </w:trPr>
        <w:tc>
          <w:tcPr>
            <w:tcW w:w="2860" w:type="dxa"/>
            <w:vAlign w:val="bottom"/>
          </w:tcPr>
          <w:p>
            <w:pPr>
              <w:spacing w:after="0"/>
              <w:rPr>
                <w:sz w:val="24"/>
                <w:szCs w:val="24"/>
                <w:color w:val="auto"/>
              </w:rPr>
            </w:pPr>
          </w:p>
        </w:tc>
        <w:tc>
          <w:tcPr>
            <w:tcW w:w="638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SCHEDULE OF SUBSIDIARIES OF BRADY CORPORATION</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860" w:type="dxa"/>
            <w:vAlign w:val="bottom"/>
          </w:tcPr>
          <w:p>
            <w:pPr>
              <w:spacing w:after="0"/>
              <w:rPr>
                <w:sz w:val="20"/>
                <w:szCs w:val="20"/>
                <w:color w:val="auto"/>
              </w:rPr>
            </w:pPr>
          </w:p>
        </w:tc>
        <w:tc>
          <w:tcPr>
            <w:tcW w:w="638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July 31, 2022</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0"/>
        </w:trPr>
        <w:tc>
          <w:tcPr>
            <w:tcW w:w="2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2"/>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4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Wisconsin</w:t>
            </w:r>
          </w:p>
        </w:tc>
        <w:tc>
          <w:tcPr>
            <w:tcW w:w="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Parent</w:t>
            </w:r>
          </w:p>
        </w:tc>
        <w:tc>
          <w:tcPr>
            <w:tcW w:w="40" w:type="dxa"/>
            <w:vAlign w:val="bottom"/>
          </w:tcPr>
          <w:p>
            <w:pPr>
              <w:spacing w:after="0"/>
              <w:rPr>
                <w:sz w:val="18"/>
                <w:szCs w:val="18"/>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AIO Acquisition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All-On-One Products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Personnel Concepts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Holdings Mexico LLC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Nordic ID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Code Corporation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Tricor Direct,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Champion Americas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Clement Communications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Emedco</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Worldmark of Wisconsin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International Co.</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Worldwide, Inc.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Sorbent Products Company</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TISCOR</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Precision Dynamics Corporation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California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Brady People ID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Dual Core</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IDenticard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 IDenticard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Pharmex</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PromoVision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TimeMed Labeling Systems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Idem Indemnity,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Vermont</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Magicard US, Inc.</w:t>
            </w:r>
          </w:p>
        </w:tc>
        <w:tc>
          <w:tcPr>
            <w:tcW w:w="4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Washington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20"/>
                <w:szCs w:val="20"/>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Australia Holdings Pty. Ltd.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Australia Pty. Ltd.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Scafftag Australia</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Seton Australia</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Trafalgar First Aid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Carroll Australasia Pty. Ltd.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Precision Dynamics Europe SRL</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 Brady N.V.</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W.H.B. do Brasil Ltda.</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Brazil</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W.H.B. Identification Solutions Inc.</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Identicam Systems</w:t>
            </w:r>
          </w:p>
        </w:tc>
        <w:tc>
          <w:tcPr>
            <w:tcW w:w="4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IDenticard</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(Beijing) Co. Ltd.</w:t>
            </w:r>
          </w:p>
        </w:tc>
        <w:tc>
          <w:tcPr>
            <w:tcW w:w="4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1238"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(Xiamen) Co., Ltd.</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China</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Investment Management (Shanghai) Co., Ltd.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China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Printing (Shenzhen) Co., Ltd.</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China</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Technology (Wuxi) Co. Ltd.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China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A/S</w:t>
            </w:r>
          </w:p>
        </w:tc>
        <w:tc>
          <w:tcPr>
            <w:tcW w:w="372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Denmark</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Nordic ID Oyj</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Finland</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Braton Europe S.A.R.L.</w:t>
            </w:r>
          </w:p>
        </w:tc>
        <w:tc>
          <w:tcPr>
            <w:tcW w:w="372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France</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Groupe S.A.S.</w:t>
            </w:r>
          </w:p>
        </w:tc>
        <w:tc>
          <w:tcPr>
            <w:tcW w:w="3720" w:type="dxa"/>
            <w:vAlign w:val="bottom"/>
            <w:shd w:val="clear" w:color="auto" w:fill="CCEEFF"/>
          </w:tcPr>
          <w:p>
            <w:pPr>
              <w:jc w:val="center"/>
              <w:ind w:left="1319"/>
              <w:spacing w:after="0"/>
              <w:rPr>
                <w:sz w:val="20"/>
                <w:szCs w:val="20"/>
                <w:color w:val="auto"/>
              </w:rPr>
            </w:pPr>
            <w:r>
              <w:rPr>
                <w:rFonts w:ascii="Times New Roman" w:cs="Times New Roman" w:eastAsia="Times New Roman" w:hAnsi="Times New Roman"/>
                <w:sz w:val="16"/>
                <w:szCs w:val="16"/>
                <w:color w:val="auto"/>
              </w:rPr>
              <w:t>France</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Signals</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Securimed S.A.S.</w:t>
            </w:r>
          </w:p>
        </w:tc>
        <w:tc>
          <w:tcPr>
            <w:tcW w:w="3720" w:type="dxa"/>
            <w:vAlign w:val="bottom"/>
            <w:shd w:val="clear" w:color="auto" w:fill="CCEEFF"/>
          </w:tcPr>
          <w:p>
            <w:pPr>
              <w:jc w:val="center"/>
              <w:ind w:left="1319"/>
              <w:spacing w:after="0"/>
              <w:rPr>
                <w:sz w:val="20"/>
                <w:szCs w:val="20"/>
                <w:color w:val="auto"/>
              </w:rPr>
            </w:pPr>
            <w:r>
              <w:rPr>
                <w:rFonts w:ascii="Times New Roman" w:cs="Times New Roman" w:eastAsia="Times New Roman" w:hAnsi="Times New Roman"/>
                <w:sz w:val="16"/>
                <w:szCs w:val="16"/>
                <w:color w:val="auto"/>
              </w:rPr>
              <w:t>France</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GmbH</w:t>
            </w:r>
          </w:p>
        </w:tc>
        <w:tc>
          <w:tcPr>
            <w:tcW w:w="372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Germany</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Transposafe</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Nordic ID GmbH</w:t>
            </w:r>
          </w:p>
        </w:tc>
        <w:tc>
          <w:tcPr>
            <w:tcW w:w="372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Germany</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Bakee Metal Manufactory Company Limited</w:t>
            </w:r>
          </w:p>
        </w:tc>
        <w:tc>
          <w:tcPr>
            <w:tcW w:w="3720" w:type="dxa"/>
            <w:vAlign w:val="bottom"/>
            <w:shd w:val="clear" w:color="auto" w:fill="CCEEFF"/>
          </w:tcPr>
          <w:p>
            <w:pPr>
              <w:jc w:val="center"/>
              <w:ind w:left="1319"/>
              <w:spacing w:after="0"/>
              <w:rPr>
                <w:sz w:val="20"/>
                <w:szCs w:val="20"/>
                <w:color w:val="auto"/>
              </w:rPr>
            </w:pPr>
            <w:r>
              <w:rPr>
                <w:rFonts w:ascii="Times New Roman" w:cs="Times New Roman" w:eastAsia="Times New Roman" w:hAnsi="Times New Roman"/>
                <w:sz w:val="16"/>
                <w:szCs w:val="16"/>
                <w:color w:val="auto"/>
              </w:rPr>
              <w:t>Hong Kong</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Corporation Hong Kong Limited</w:t>
            </w:r>
          </w:p>
        </w:tc>
        <w:tc>
          <w:tcPr>
            <w:tcW w:w="372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Hong Kong</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Company India Private Limited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India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Italia, S.r.l.</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Italy</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Nippon Brady K.K.</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Japan</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Finance Luxembourg S.à.r.l.</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Luxembourg</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Luxembourg S.à.r.l.</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Luxembourg</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S.à.r.l.</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Luxembourg</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Technology SDN. BHD.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8"/>
              </w:rPr>
              <w:t>Malaysia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Mexico, S. de R.L. de C.V.</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Mexico</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 Brady S. de R.L. de C.V.</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Mexico</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B.V.</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Netherlands</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Finance B.V.</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Netherlands</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Code Corporation B.V.</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Netherlands</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AS</w:t>
            </w:r>
          </w:p>
        </w:tc>
        <w:tc>
          <w:tcPr>
            <w:tcW w:w="3720" w:type="dxa"/>
            <w:vAlign w:val="bottom"/>
            <w:shd w:val="clear" w:color="auto" w:fill="CCEEFF"/>
          </w:tcPr>
          <w:p>
            <w:pPr>
              <w:jc w:val="center"/>
              <w:ind w:left="1319"/>
              <w:spacing w:after="0"/>
              <w:rPr>
                <w:sz w:val="20"/>
                <w:szCs w:val="20"/>
                <w:color w:val="auto"/>
              </w:rPr>
            </w:pPr>
            <w:r>
              <w:rPr>
                <w:rFonts w:ascii="Times New Roman" w:cs="Times New Roman" w:eastAsia="Times New Roman" w:hAnsi="Times New Roman"/>
                <w:sz w:val="16"/>
                <w:szCs w:val="16"/>
                <w:color w:val="auto"/>
              </w:rPr>
              <w:t>Norway</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Pervaco AS</w:t>
            </w:r>
          </w:p>
        </w:tc>
        <w:tc>
          <w:tcPr>
            <w:tcW w:w="372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Norway</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Philippines Direct Marketing Inc.</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Philippines</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Polska Sp. Z.o.o.</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Poland</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LLC</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8"/>
              </w:rPr>
              <w:t>Russia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Asia Holding Pte. Ltd.</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Singapore</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Asia Pacific Pte. Ltd.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Singapore</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Corporation Asia Pte. Ltd.</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Singapore</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Singapore Pte. Ltd.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Singapore</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Cortex Pte. Ltd.</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Singapore</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s.r.o.</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Slovakia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Grafo Wiremarkers Pty. Ltd.</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9"/>
              </w:rPr>
              <w:t>South Africa</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Wiremarkers Africa Pty. Ltd.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9"/>
              </w:rPr>
              <w:t>South Africa</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IDS Korea LLC</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South Korea</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Identificación S.L.U.</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Spain</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Nordic ID Iberia, S.L.</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Spain</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AB</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w w:val="98"/>
              </w:rPr>
              <w:t>Sweden</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Sweden Holding AB</w:t>
            </w:r>
          </w:p>
        </w:tc>
        <w:tc>
          <w:tcPr>
            <w:tcW w:w="372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w w:val="98"/>
              </w:rPr>
              <w:t>Sweden</w:t>
            </w:r>
          </w:p>
        </w:tc>
        <w:tc>
          <w:tcPr>
            <w:tcW w:w="1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(Thailand) Co., Ltd.</w:t>
            </w:r>
          </w:p>
        </w:tc>
        <w:tc>
          <w:tcPr>
            <w:tcW w:w="3720" w:type="dxa"/>
            <w:vAlign w:val="bottom"/>
            <w:shd w:val="clear" w:color="auto" w:fill="CCEEFF"/>
          </w:tcPr>
          <w:p>
            <w:pPr>
              <w:jc w:val="center"/>
              <w:ind w:left="1339"/>
              <w:spacing w:after="0"/>
              <w:rPr>
                <w:sz w:val="20"/>
                <w:szCs w:val="20"/>
                <w:color w:val="auto"/>
              </w:rPr>
            </w:pPr>
            <w:r>
              <w:rPr>
                <w:rFonts w:ascii="Times New Roman" w:cs="Times New Roman" w:eastAsia="Times New Roman" w:hAnsi="Times New Roman"/>
                <w:sz w:val="16"/>
                <w:szCs w:val="16"/>
                <w:color w:val="auto"/>
              </w:rPr>
              <w:t>Thailand</w:t>
            </w:r>
          </w:p>
        </w:tc>
        <w:tc>
          <w:tcPr>
            <w:tcW w:w="1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bl>
    <w:p>
      <w:pPr>
        <w:sectPr>
          <w:pgSz w:w="11900" w:h="16838" w:orient="portrait"/>
          <w:cols w:equalWidth="0" w:num="1">
            <w:col w:w="11200"/>
          </w:cols>
          <w:pgMar w:left="320" w:top="936" w:right="37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Etiket ve Isaretleme Ticaret Ltd. Sirketi</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Turkey</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Middle East FZE</w:t>
            </w:r>
          </w:p>
        </w:tc>
        <w:tc>
          <w:tcPr>
            <w:tcW w:w="4220" w:type="dxa"/>
            <w:vAlign w:val="bottom"/>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Arab Emirates</w:t>
            </w:r>
          </w:p>
        </w:tc>
        <w:tc>
          <w:tcPr>
            <w:tcW w:w="17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 (UK) Limited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 Limited</w:t>
            </w:r>
          </w:p>
        </w:tc>
        <w:tc>
          <w:tcPr>
            <w:tcW w:w="4220" w:type="dxa"/>
            <w:vAlign w:val="bottom"/>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BIG</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Safetyshop</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Scafftag</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Signs and Labels</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European Holdings Limited</w:t>
            </w:r>
          </w:p>
        </w:tc>
        <w:tc>
          <w:tcPr>
            <w:tcW w:w="4220" w:type="dxa"/>
            <w:vAlign w:val="bottom"/>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Magicard Holdings Limited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Magicard Limited</w:t>
            </w:r>
          </w:p>
        </w:tc>
        <w:tc>
          <w:tcPr>
            <w:tcW w:w="4220" w:type="dxa"/>
            <w:vAlign w:val="bottom"/>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Vietnam Company Limited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7"/>
              </w:rPr>
              <w:t>Vietnam</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bl>
    <w:p>
      <w:pPr>
        <w:sectPr>
          <w:pgSz w:w="11900" w:h="16838" w:orient="portrait"/>
          <w:cols w:equalWidth="0" w:num="1">
            <w:col w:w="11200"/>
          </w:cols>
          <w:pgMar w:left="320" w:top="936" w:right="3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333-38857, 333-92417, 333-134503, 333-137686, 333-141402, 333-162538, 333-177039 and 333-212625 on Form S-8 and Registration Statement No. 333-248835 on Form S-3 of our reports dated September 1, 2022, relating to the financial statements of Brady Corporation and the effectiveness of Brady Corporation’s internal control over financial reporting, appearing in this Annual Report on Form 10-K of Brady Corporation for the year ended July 31,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2022</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2022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2022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decimal"/>
      <w:start w:val="1"/>
    </w:lvl>
  </w:abstractNum>
  <w:abstractNum w:abstractNumId="11">
    <w:nsid w:val="39386575"/>
    <w:multiLevelType w:val="hybridMultilevel"/>
    <w:lvl w:ilvl="0">
      <w:lvlJc w:val="left"/>
      <w:lvlText w:val="(%1)"/>
      <w:numFmt w:val="lowerRoman"/>
      <w:start w:val="3"/>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10"/>
    </w:lvl>
    <w:lvl w:ilvl="1">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3"/>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2"/>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1"/>
    </w:lvl>
    <w:lvl w:ilvl="1">
      <w:lvlJc w:val="left"/>
      <w:lvlText w:val="(%2)"/>
      <w:numFmt w:val="decimal"/>
      <w:start w:val="1"/>
    </w:lvl>
  </w:abstractNum>
  <w:abstractNum w:abstractNumId="57">
    <w:nsid w:val="3B0FD379"/>
    <w:multiLevelType w:val="hybridMultilevel"/>
    <w:lvl w:ilvl="0">
      <w:lvlJc w:val="left"/>
      <w:lvlText w:val="(%1)"/>
      <w:numFmt w:val="lowerLetter"/>
      <w:start w:val="2"/>
    </w:lvl>
    <w:lvl w:ilvl="1">
      <w:lvlJc w:val="left"/>
      <w:lvlText w:val="%2"/>
      <w:numFmt w:val="decimal"/>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lowerLetter"/>
      <w:start w:val="1"/>
    </w:lvl>
    <w:lvl w:ilvl="1">
      <w:lvlJc w:val="left"/>
      <w:lvlText w:val="(%2)"/>
      <w:numFmt w:val="decimal"/>
      <w:start w:val="1"/>
    </w:lvl>
  </w:abstractNum>
  <w:abstractNum w:abstractNumId="60">
    <w:nsid w:val="60B6DF70"/>
    <w:multiLevelType w:val="hybridMultilevel"/>
    <w:lvl w:ilvl="0">
      <w:lvlJc w:val="left"/>
      <w:lvlText w:val="(%1)"/>
      <w:numFmt w:val="lowerLetter"/>
      <w:start w:val="3"/>
    </w:lvl>
    <w:lvl w:ilvl="1">
      <w:lvlJc w:val="left"/>
      <w:lvlText w:val="%2"/>
      <w:numFmt w:val="decimal"/>
      <w:start w:val="1"/>
    </w:lvl>
  </w:abstractNum>
  <w:abstractNum w:abstractNumId="61">
    <w:nsid w:val="6A5EE64"/>
    <w:multiLevelType w:val="hybridMultilevel"/>
    <w:lvl w:ilvl="0">
      <w:lvlJc w:val="left"/>
      <w:lvlText w:val="(%1)"/>
      <w:numFmt w:val="lowerLetter"/>
      <w:start w:val="4"/>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21"/>
    </w:lvl>
  </w:abstractNum>
  <w:abstractNum w:abstractNumId="65">
    <w:nsid w:val="71EA1109"/>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66">
    <w:nsid w:val="100F59DC"/>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67">
    <w:nsid w:val="7FB7E0AA"/>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68">
    <w:nsid w:val="6EB5BD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9">
    <w:nsid w:val="6F6DD9AC"/>
    <w:multiLevelType w:val="hybridMultilevel"/>
    <w:lvl w:ilvl="0">
      <w:lvlJc w:val="left"/>
      <w:lvlText w:val="(%1)"/>
      <w:numFmt w:val="decimal"/>
      <w:start w:val="35"/>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5"/>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5"/>
    </w:lvl>
  </w:abstractNum>
  <w:abstractNum w:abstractNumId="77">
    <w:nsid w:val="74DE0EE3"/>
    <w:multiLevelType w:val="hybridMultilevel"/>
    <w:lvl w:ilvl="0">
      <w:lvlJc w:val="left"/>
      <w:lvlText w:val="(%1)"/>
      <w:numFmt w:val="lowerLetter"/>
      <w:start w:val="8"/>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decimal"/>
      <w:start w:val="1"/>
    </w:lvl>
    <w:lvl w:ilvl="1">
      <w:lvlJc w:val="left"/>
      <w:lvlText w:val="%2."/>
      <w:numFmt w:val="decimal"/>
      <w:start w:val="2"/>
    </w:lvl>
  </w:abstractNum>
  <w:abstractNum w:abstractNumId="80">
    <w:nsid w:val="46B7D447"/>
    <w:multiLevelType w:val="hybridMultilevel"/>
    <w:lvl w:ilvl="0">
      <w:lvlJc w:val="left"/>
      <w:lvlText w:val="(%1)"/>
      <w:numFmt w:val="lowerLetter"/>
      <w:start w:val="1"/>
    </w:lvl>
    <w:lvl w:ilvl="1">
      <w:lvlJc w:val="left"/>
      <w:lvlText w:val="(%2)"/>
      <w:numFmt w:val="lowerRoman"/>
      <w:start w:val="1"/>
    </w:lvl>
  </w:abstractNum>
  <w:abstractNum w:abstractNumId="81">
    <w:nsid w:val="4A2AC3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2">
    <w:nsid w:val="39EE01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3">
    <w:nsid w:val="57FC4FBB"/>
    <w:multiLevelType w:val="hybridMultilevel"/>
    <w:lvl w:ilvl="0">
      <w:lvlJc w:val="left"/>
      <w:lvlText w:val="%1."/>
      <w:numFmt w:val="decimal"/>
      <w:start w:val="5"/>
    </w:lvl>
    <w:lvl w:ilvl="1">
      <w:lvlJc w:val="left"/>
      <w:lvlText w:val="(%2)"/>
      <w:numFmt w:val="lowerLetter"/>
      <w:start w:val="1"/>
    </w:lvl>
  </w:abstractNum>
  <w:abstractNum w:abstractNumId="84">
    <w:nsid w:val="CC1016F"/>
    <w:multiLevelType w:val="hybridMultilevel"/>
    <w:lvl w:ilvl="0">
      <w:lvlJc w:val="left"/>
      <w:lvlText w:val="%1"/>
      <w:numFmt w:val="lowerLetter"/>
      <w:start w:val="1"/>
    </w:lvl>
    <w:lvl w:ilvl="1">
      <w:lvlJc w:val="left"/>
      <w:lvlText w:val="(%2)"/>
      <w:numFmt w:val="lowerRoman"/>
      <w:start w:val="1"/>
    </w:lvl>
  </w:abstractNum>
  <w:abstractNum w:abstractNumId="85">
    <w:nsid w:val="43F18422"/>
    <w:multiLevelType w:val="hybridMultilevel"/>
    <w:lvl w:ilvl="0">
      <w:lvlJc w:val="left"/>
      <w:lvlText w:val="(%1)"/>
      <w:numFmt w:val="lowerLetter"/>
      <w:start w:val="2"/>
    </w:lvl>
    <w:lvl w:ilvl="1">
      <w:lvlJc w:val="left"/>
      <w:lvlText w:val="%2"/>
      <w:numFmt w:val="lowerRoman"/>
      <w:start w:val="1"/>
    </w:lvl>
  </w:abstractNum>
  <w:abstractNum w:abstractNumId="86">
    <w:nsid w:val="60EF0119"/>
    <w:multiLevelType w:val="hybridMultilevel"/>
    <w:lvl w:ilvl="0">
      <w:lvlJc w:val="left"/>
      <w:lvlText w:val="%1"/>
      <w:numFmt w:val="decimal"/>
      <w:start w:val="1"/>
    </w:lvl>
    <w:lvl w:ilvl="1">
      <w:lvlJc w:val="left"/>
      <w:lvlText w:val="(%2)"/>
      <w:numFmt w:val="lowerLetter"/>
      <w:start w:val="7"/>
    </w:lvl>
  </w:abstractNum>
  <w:abstractNum w:abstractNumId="87">
    <w:nsid w:val="26F324BA"/>
    <w:multiLevelType w:val="hybridMultilevel"/>
    <w:lvl w:ilvl="0">
      <w:lvlJc w:val="left"/>
      <w:lvlText w:val="%1."/>
      <w:numFmt w:val="decimal"/>
      <w:start w:val="9"/>
    </w:lvl>
    <w:lvl w:ilvl="1">
      <w:lvlJc w:val="left"/>
      <w:lvlText w:val="%2"/>
      <w:numFmt w:val="lowerLetter"/>
      <w:start w:val="1"/>
    </w:lvl>
  </w:abstractNum>
  <w:abstractNum w:abstractNumId="88">
    <w:nsid w:val="7F01579B"/>
    <w:multiLevelType w:val="hybridMultilevel"/>
    <w:lvl w:ilvl="0">
      <w:lvlJc w:val="left"/>
      <w:lvlText w:val="%1."/>
      <w:numFmt w:val="decimal"/>
      <w:start w:val="11"/>
    </w:lvl>
  </w:abstractNum>
  <w:abstractNum w:abstractNumId="89">
    <w:nsid w:val="49DA307D"/>
    <w:multiLevelType w:val="hybridMultilevel"/>
    <w:lvl w:ilvl="0">
      <w:lvlJc w:val="left"/>
      <w:lvlText w:val="%1."/>
      <w:numFmt w:val="decimal"/>
      <w:start w:val="17"/>
    </w:lvl>
  </w:abstractNum>
  <w:abstractNum w:abstractNumId="90">
    <w:nsid w:val="7055A5F5"/>
    <w:multiLevelType w:val="hybridMultilevel"/>
    <w:lvl w:ilvl="0">
      <w:lvlJc w:val="left"/>
      <w:lvlText w:val="(%1)"/>
      <w:numFmt w:val="lowerLetter"/>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5"/>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7"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4"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80" Type="http://schemas.openxmlformats.org/officeDocument/2006/relationships/image" Target="media/image163.png"/><Relationship Id="rId182" Type="http://schemas.openxmlformats.org/officeDocument/2006/relationships/image" Target="media/image164.png"/><Relationship Id="rId184" Type="http://schemas.openxmlformats.org/officeDocument/2006/relationships/image" Target="media/image165.png"/><Relationship Id="rId188" Type="http://schemas.openxmlformats.org/officeDocument/2006/relationships/image" Target="media/image166.png"/><Relationship Id="rId191" Type="http://schemas.openxmlformats.org/officeDocument/2006/relationships/image" Target="media/image167.png"/><Relationship Id="rId194" Type="http://schemas.openxmlformats.org/officeDocument/2006/relationships/image" Target="media/image168.png"/><Relationship Id="rId196" Type="http://schemas.openxmlformats.org/officeDocument/2006/relationships/image" Target="media/image169.png"/><Relationship Id="rId198" Type="http://schemas.openxmlformats.org/officeDocument/2006/relationships/image" Target="media/image170.png"/><Relationship Id="rId201" Type="http://schemas.openxmlformats.org/officeDocument/2006/relationships/image" Target="media/image171.png"/><Relationship Id="rId203" Type="http://schemas.openxmlformats.org/officeDocument/2006/relationships/image" Target="media/image172.png"/><Relationship Id="rId205" Type="http://schemas.openxmlformats.org/officeDocument/2006/relationships/image" Target="media/image173.png"/><Relationship Id="rId207" Type="http://schemas.openxmlformats.org/officeDocument/2006/relationships/image" Target="media/image174.png"/><Relationship Id="rId210" Type="http://schemas.openxmlformats.org/officeDocument/2006/relationships/image" Target="media/image175.png"/><Relationship Id="rId213" Type="http://schemas.openxmlformats.org/officeDocument/2006/relationships/image" Target="media/image176.png"/><Relationship Id="rId215" Type="http://schemas.openxmlformats.org/officeDocument/2006/relationships/image" Target="media/image177.png"/><Relationship Id="rId218" Type="http://schemas.openxmlformats.org/officeDocument/2006/relationships/image" Target="media/image178.png"/><Relationship Id="rId222" Type="http://schemas.openxmlformats.org/officeDocument/2006/relationships/image" Target="media/image179.png"/><Relationship Id="rId224" Type="http://schemas.openxmlformats.org/officeDocument/2006/relationships/image" Target="media/image180.png"/><Relationship Id="rId228" Type="http://schemas.openxmlformats.org/officeDocument/2006/relationships/image" Target="media/image181.png"/><Relationship Id="rId231"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8"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164" Type="http://schemas.openxmlformats.org/officeDocument/2006/relationships/hyperlink" Target="http://www.sec.gov/Archives/edgar/data/746598/000074659812000124/exhibit21-agreement.htm" TargetMode="External"/><Relationship Id="rId165" Type="http://schemas.openxmlformats.org/officeDocument/2006/relationships/hyperlink" Target="http://www.sec.gov/Archives/edgar/data/746598/000074659814000038/exhibit21precisepurchaseag.htm" TargetMode="External"/><Relationship Id="rId166" Type="http://schemas.openxmlformats.org/officeDocument/2006/relationships/hyperlink" Target="https://www.sec.gov/Archives/edgar/data/746598/000074659821000057/exhibit21combinationagreem.htm" TargetMode="External"/><Relationship Id="rId168" Type="http://schemas.openxmlformats.org/officeDocument/2006/relationships/hyperlink" Target="https://www.sec.gov/Archives/edgar/data/746598/000074659821000070/exhibit21agreementforpurch.htm" TargetMode="External"/><Relationship Id="rId169" Type="http://schemas.openxmlformats.org/officeDocument/2006/relationships/hyperlink" Target="https://www.sec.gov/Archives/edgar/data/746598/000074659821000080/exhibit21agreementforpurch.htm" TargetMode="External"/><Relationship Id="rId172" Type="http://schemas.openxmlformats.org/officeDocument/2006/relationships/hyperlink" Target="https://www.sec.gov/Archives/edgar/data/746598/000074659820000095/exhibit31bylawsasamend.htm" TargetMode="External"/><Relationship Id="rId173" Type="http://schemas.openxmlformats.org/officeDocument/2006/relationships/hyperlink" Target="https://www.sec.gov/Archives/edgar/data/746598/000074659819000128/brc-20190731xex41.htm" TargetMode="External"/><Relationship Id="rId175" Type="http://schemas.openxmlformats.org/officeDocument/2006/relationships/hyperlink" Target="https://www.sec.gov/Archives/edgar/data/746598/000074659820000097/brc-20200731xex101.htm" TargetMode="External"/><Relationship Id="rId178" Type="http://schemas.openxmlformats.org/officeDocument/2006/relationships/hyperlink" Target="http://www.sec.gov/Archives/edgar/data/746598/000074659818000086/brc-2018731xex104.htm" TargetMode="External"/><Relationship Id="rId179" Type="http://schemas.openxmlformats.org/officeDocument/2006/relationships/hyperlink" Target="http://www.sec.gov/Archives/edgar/data/746598/000074659818000086/brc-2018731xex105.htm" TargetMode="External"/><Relationship Id="rId181" Type="http://schemas.openxmlformats.org/officeDocument/2006/relationships/hyperlink" Target="http://www.sec.gov/Archives/edgar/data/746598/000074659816000242/exhibit1012017omnibusincen.htm" TargetMode="External"/><Relationship Id="rId183" Type="http://schemas.openxmlformats.org/officeDocument/2006/relationships/hyperlink" Target="http://www.sec.gov/Archives/edgar/data/746598/000074659816000259/exhibit101-stockoptionagre.htm" TargetMode="External"/><Relationship Id="rId185" Type="http://schemas.openxmlformats.org/officeDocument/2006/relationships/hyperlink" Target="https://www.sec.gov/Archives/edgar/data/746598/000074659822000022/exhibit101completeandperma.htm" TargetMode="External"/><Relationship Id="rId186" Type="http://schemas.openxmlformats.org/officeDocument/2006/relationships/hyperlink" Target="https://www.sec.gov/Archives/edgar/data/746598/000074659820000097/brc-20200731xex1011.htm" TargetMode="External"/><Relationship Id="rId187" Type="http://schemas.openxmlformats.org/officeDocument/2006/relationships/hyperlink" Target="http://www.sec.gov/Archives/edgar/data/746598/000074659816000259/exhibit102-rsuagreement.htm" TargetMode="External"/><Relationship Id="rId189" Type="http://schemas.openxmlformats.org/officeDocument/2006/relationships/hyperlink" Target="https://www.sec.gov/Archives/edgar/data/746598/000074659819000128/brc-20190731xex1057.htm" TargetMode="External"/><Relationship Id="rId190" Type="http://schemas.openxmlformats.org/officeDocument/2006/relationships/hyperlink" Target="http://www.sec.gov/Archives/edgar/data/746598/000074659818000086/brc-2018731xex1014.htm" TargetMode="External"/><Relationship Id="rId192" Type="http://schemas.openxmlformats.org/officeDocument/2006/relationships/hyperlink" Target="https://www.sec.gov/Archives/edgar/data/746598/000074659822000029/exhibit101completeandperma.htm" TargetMode="External"/><Relationship Id="rId193" Type="http://schemas.openxmlformats.org/officeDocument/2006/relationships/hyperlink" Target="https://www.sec.gov/Archives/edgar/data/746598/000074659819000128/brc-20190731xex1058.htm" TargetMode="External"/><Relationship Id="rId195" Type="http://schemas.openxmlformats.org/officeDocument/2006/relationships/hyperlink" Target="https://www.sec.gov/Archives/edgar/data/746598/000074659822000022/exhibit102offerletterrusse.htm" TargetMode="External"/><Relationship Id="rId197" Type="http://schemas.openxmlformats.org/officeDocument/2006/relationships/hyperlink" Target="http://www.sec.gov/Archives/edgar/data/746598/000074659815000132/brc-2015731xex1059.htm" TargetMode="External"/><Relationship Id="rId199" Type="http://schemas.openxmlformats.org/officeDocument/2006/relationships/hyperlink" Target="http://www.sec.gov/Archives/edgar/data/746598/000074659818000086/brc-2018731xex1058.htm" TargetMode="External"/><Relationship Id="rId200" Type="http://schemas.openxmlformats.org/officeDocument/2006/relationships/hyperlink" Target="https://www.sec.gov/Archives/edgar/data/746598/000074659822000022/exhibit103restrictedstocku.htm" TargetMode="External"/><Relationship Id="rId202" Type="http://schemas.openxmlformats.org/officeDocument/2006/relationships/hyperlink" Target="http://www.sec.gov/Archives/edgar/data/746598/000074659818000086/brc-2018731xex1021.htm" TargetMode="External"/><Relationship Id="rId204" Type="http://schemas.openxmlformats.org/officeDocument/2006/relationships/hyperlink" Target="https://www.sec.gov/Archives/edgar/data/746598/000074659822000022/exhibit104changeofcontrola.htm" TargetMode="External"/><Relationship Id="rId206" Type="http://schemas.openxmlformats.org/officeDocument/2006/relationships/hyperlink" Target="https://www.sec.gov/Archives/edgar/data/746598/000074659821000102/brc-20210731xex1025.htm" TargetMode="External"/><Relationship Id="rId208" Type="http://schemas.openxmlformats.org/officeDocument/2006/relationships/hyperlink" Target="https://www.sec.gov/Archives/edgar/data/746598/000074659822000057/exhibit101offerletterolivi.htm" TargetMode="External"/><Relationship Id="rId209" Type="http://schemas.openxmlformats.org/officeDocument/2006/relationships/hyperlink" Target="http://www.sec.gov/Archives/edgar/data/746598/000074659818000086/brc-2018731xex1059.htm" TargetMode="External"/><Relationship Id="rId211" Type="http://schemas.openxmlformats.org/officeDocument/2006/relationships/hyperlink" Target="https://www.sec.gov/Archives/edgar/data/746598/000074659822000057/exhibit102non-competeolivi.htm" TargetMode="External"/><Relationship Id="rId212" Type="http://schemas.openxmlformats.org/officeDocument/2006/relationships/hyperlink" Target="https://www.sec.gov/Archives/edgar/data/0000746598/000074659821000203/exhibit101creditagreementa.htm" TargetMode="External"/><Relationship Id="rId214" Type="http://schemas.openxmlformats.org/officeDocument/2006/relationships/hyperlink" Target="http://www.sec.gov/Archives/edgar/data/746598/000074659814000040/brc-20140131xex102.htm" TargetMode="External"/><Relationship Id="rId216" Type="http://schemas.openxmlformats.org/officeDocument/2006/relationships/hyperlink" Target="https://www.sec.gov/Archives/edgar/data/746598/000074659821000102/brc-20210731xex1034.htm" TargetMode="External"/><Relationship Id="rId217" Type="http://schemas.openxmlformats.org/officeDocument/2006/relationships/hyperlink" Target="https://www.sec.gov/Archives/edgar/data/746598/000074659820000097/brc-20200731xex1035.htm" TargetMode="External"/><Relationship Id="rId219" Type="http://schemas.openxmlformats.org/officeDocument/2006/relationships/hyperlink" Target="https://www.sec.gov/Archives/edgar/data/746598/000074659820000097/brc-20200731xex1036.htm" TargetMode="External"/><Relationship Id="rId220" Type="http://schemas.openxmlformats.org/officeDocument/2006/relationships/hyperlink" Target="http://www.sec.gov/Archives/edgar/data/746598/000095012311087053/c21968exv10w39.htm" TargetMode="External"/><Relationship Id="rId221" Type="http://schemas.openxmlformats.org/officeDocument/2006/relationships/hyperlink" Target="http://www.sec.gov/Archives/edgar/data/746598/000095012311087053/c21968exv10w40.htm" TargetMode="External"/><Relationship Id="rId223" Type="http://schemas.openxmlformats.org/officeDocument/2006/relationships/hyperlink" Target="http://www.sec.gov/Archives/edgar/data/746598/000095012311087053/c21968exv10w41.htm" TargetMode="External"/><Relationship Id="rId225" Type="http://schemas.openxmlformats.org/officeDocument/2006/relationships/hyperlink" Target="http://www.sec.gov/Archives/edgar/data/746598/000119312512406801/d385957dex1044.htm" TargetMode="External"/><Relationship Id="rId226" Type="http://schemas.openxmlformats.org/officeDocument/2006/relationships/hyperlink" Target="http://www.sec.gov/Archives/edgar/data/746598/000119312512406801/d385957dex1045.htm" TargetMode="External"/><Relationship Id="rId227" Type="http://schemas.openxmlformats.org/officeDocument/2006/relationships/hyperlink" Target="http://www.sec.gov/Archives/edgar/data/746598/000074659819000121/exhibit101creditagreement-.htm" TargetMode="External"/><Relationship Id="rId229" Type="http://schemas.openxmlformats.org/officeDocument/2006/relationships/hyperlink" Target="http://www.sec.gov/Archives/edgar/data/746598/000074659813000223/brc-2013731xex1048.htm" TargetMode="External"/><Relationship Id="rId230" Type="http://schemas.openxmlformats.org/officeDocument/2006/relationships/hyperlink" Target="http://www.sec.gov/Archives/edgar/data/746598/000074659813000223/brc-2013731xex1049.htm" TargetMode="External"/><Relationship Id="rId232" Type="http://schemas.openxmlformats.org/officeDocument/2006/relationships/hyperlink" Target="http://www.sec.gov/Archives/edgar/data/746598/000074659815000132/brc-2015731xex1060.htm" TargetMode="External"/><Relationship Id="rId233" Type="http://schemas.openxmlformats.org/officeDocument/2006/relationships/hyperlink" Target="http://www.sec.gov/Archives/edgar/data/746598/000074659814000167/brc-2014731xex1061.htm" TargetMode="External"/><Relationship Id="rId236" Type="http://schemas.openxmlformats.org/officeDocument/2006/relationships/hyperlink" Target="http://www.sec.gov/Archives/edgar/data/746598/000074659814000167/brc-2014731xex1062.htm" TargetMode="External"/><Relationship Id="rId237" Type="http://schemas.openxmlformats.org/officeDocument/2006/relationships/hyperlink" Target="https://www.sec.gov/Archives/edgar/data/746598/000074659820000097/brc-20200731xex1056.htm" TargetMode="External"/><Relationship Id="rId239" Type="http://schemas.openxmlformats.org/officeDocument/2006/relationships/hyperlink" Target="https://www.sec.gov/Archives/edgar/data/746598/000074659820000097/brc-20200731xex10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2022-09-01T06:28:24Z</dcterms:created>
  <dcterms:modified xsi:type="dcterms:W3CDTF">2022-09-01T06:28:24Z</dcterms:modified>
</cp:coreProperties>
</file>