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8, 2008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919" w:right="239" w:bottom="1440" w:gutter="0" w:footer="0" w:header="0"/>
        </w:sectPr>
      </w:pPr>
    </w:p>
    <w:p>
      <w:pPr>
        <w:spacing w:after="0" w:line="194"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4020"/>
          </w:cols>
          <w:pgMar w:left="240" w:top="919" w:right="239"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0"/>
          <w:szCs w:val="20"/>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type w:val="continuous"/>
        </w:sectPr>
      </w:pPr>
    </w:p>
    <w:bookmarkStart w:id="2" w:name="page3"/>
    <w:bookmarkEnd w:id="2"/>
    <w:p>
      <w:pPr>
        <w:ind w:left="580" w:right="40" w:hanging="541"/>
        <w:spacing w:after="0" w:line="246"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Appointment of Chief Financial Officer</w:t>
      </w:r>
    </w:p>
    <w:p>
      <w:pPr>
        <w:spacing w:after="0" w:line="122" w:lineRule="exact"/>
        <w:rPr>
          <w:sz w:val="20"/>
          <w:szCs w:val="20"/>
          <w:color w:val="auto"/>
        </w:rPr>
      </w:pPr>
    </w:p>
    <w:p>
      <w:pPr>
        <w:ind w:right="120" w:firstLine="250"/>
        <w:spacing w:after="0" w:line="236" w:lineRule="auto"/>
        <w:rPr>
          <w:sz w:val="20"/>
          <w:szCs w:val="20"/>
          <w:color w:val="auto"/>
        </w:rPr>
      </w:pPr>
      <w:r>
        <w:rPr>
          <w:rFonts w:ascii="Arial" w:cs="Arial" w:eastAsia="Arial" w:hAnsi="Arial"/>
          <w:sz w:val="18"/>
          <w:szCs w:val="18"/>
          <w:color w:val="auto"/>
        </w:rPr>
        <w:t>On January 9, 2008, Brady Corporation (the “Company”) issued a press release announcing that Thomas J. Felmer has been appointed Senior Vice President and Chief Financial Officer of the Company, effective as of January 9, 2008. Mr. Felmer, age 46, joined the Company in 1989 and has served as president of the Company’s Direct Marketing Americas / People ID businesses since 2004. Mr. Felmer has no family relationship with any director or executive officer of the Company, nor is he a party to any related party transactions with the Company. Pursuant to the Company’s Bylaws, Mr. Felmer will serve in these executive positions at the discretion of the Company’s Board of Directors. Mr. Felmer is a party to a 2004 change of control agreement with the Company, the terms of which are described in the Company’s Form 10-K for the year ended July 31, 2007 and the form of which is attached as Exhibit 10.1 to the Company’s Current Report on Form 8-K filed November 24, 2004.</w:t>
      </w:r>
    </w:p>
    <w:p>
      <w:pPr>
        <w:spacing w:after="0" w:line="100" w:lineRule="exact"/>
        <w:rPr>
          <w:sz w:val="20"/>
          <w:szCs w:val="20"/>
          <w:color w:val="auto"/>
        </w:rPr>
      </w:pPr>
    </w:p>
    <w:p>
      <w:pPr>
        <w:ind w:right="840" w:firstLine="240"/>
        <w:spacing w:after="0" w:line="246" w:lineRule="auto"/>
        <w:rPr>
          <w:sz w:val="20"/>
          <w:szCs w:val="20"/>
          <w:color w:val="auto"/>
        </w:rPr>
      </w:pPr>
      <w:r>
        <w:rPr>
          <w:rFonts w:ascii="Arial" w:cs="Arial" w:eastAsia="Arial" w:hAnsi="Arial"/>
          <w:sz w:val="18"/>
          <w:szCs w:val="18"/>
          <w:color w:val="auto"/>
        </w:rPr>
        <w:t>A copy of the press release announcing Mr. Felmer’s appointment is attached hereto as Exhibit 99.1 and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122" w:lineRule="exact"/>
        <w:rPr>
          <w:sz w:val="20"/>
          <w:szCs w:val="20"/>
          <w:color w:val="auto"/>
        </w:rPr>
      </w:pPr>
    </w:p>
    <w:p>
      <w:pPr>
        <w:ind w:right="200" w:firstLine="250"/>
        <w:spacing w:after="0" w:line="237" w:lineRule="auto"/>
        <w:rPr>
          <w:sz w:val="20"/>
          <w:szCs w:val="20"/>
          <w:color w:val="auto"/>
        </w:rPr>
      </w:pPr>
      <w:r>
        <w:rPr>
          <w:rFonts w:ascii="Arial" w:cs="Arial" w:eastAsia="Arial" w:hAnsi="Arial"/>
          <w:sz w:val="18"/>
          <w:szCs w:val="18"/>
          <w:color w:val="auto"/>
        </w:rPr>
        <w:t>On January 8, 2008, the Company granted equity awards in the form of restricted stock of the Company to certain of its executive officers, including but not limited to those named below. All grants of restricted stock were made under the Company’s 2006 Omnibus Incentive Stock Plan and were approved by the Compensation Committee of the Company’s Board of Directors. The restricted stock will vest on January 15, 2013, provided the executive remains continuously employed by the Company through that date and subject to the satisfaction of certain performance criteria. The foregoing description is qualified in its entirety by the full text of the form of restricted stock agreement pursuant to which the restricted stock awards were made, a copy of which is attached hereto as Exhibit 10.1 and is incorporated herein by reference.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760" w:type="dxa"/>
            <w:vAlign w:val="bottom"/>
            <w:gridSpan w:val="2"/>
          </w:tcPr>
          <w:p>
            <w:pPr>
              <w:ind w:left="320"/>
              <w:spacing w:after="0"/>
              <w:rPr>
                <w:sz w:val="20"/>
                <w:szCs w:val="20"/>
                <w:color w:val="auto"/>
              </w:rPr>
            </w:pPr>
            <w:r>
              <w:rPr>
                <w:rFonts w:ascii="Arial" w:cs="Arial" w:eastAsia="Arial" w:hAnsi="Arial"/>
                <w:sz w:val="14"/>
                <w:szCs w:val="14"/>
                <w:color w:val="auto"/>
              </w:rPr>
              <w:t>Shares of</w:t>
            </w:r>
          </w:p>
        </w:tc>
      </w:tr>
      <w:tr>
        <w:trPr>
          <w:trHeight w:val="157"/>
        </w:trPr>
        <w:tc>
          <w:tcPr>
            <w:tcW w:w="3040" w:type="dxa"/>
            <w:vAlign w:val="bottom"/>
            <w:gridSpan w:val="2"/>
          </w:tcPr>
          <w:p>
            <w:pPr>
              <w:spacing w:after="0" w:line="157" w:lineRule="exact"/>
              <w:rPr>
                <w:sz w:val="20"/>
                <w:szCs w:val="20"/>
                <w:color w:val="auto"/>
              </w:rPr>
            </w:pPr>
            <w:r>
              <w:rPr>
                <w:rFonts w:ascii="Arial" w:cs="Arial" w:eastAsia="Arial" w:hAnsi="Arial"/>
                <w:sz w:val="14"/>
                <w:szCs w:val="14"/>
                <w:color w:val="auto"/>
              </w:rPr>
              <w:t>Name of Executive Officer</w:t>
            </w:r>
          </w:p>
        </w:tc>
        <w:tc>
          <w:tcPr>
            <w:tcW w:w="320" w:type="dxa"/>
            <w:vAlign w:val="bottom"/>
          </w:tcPr>
          <w:p>
            <w:pPr>
              <w:spacing w:after="0"/>
              <w:rPr>
                <w:sz w:val="13"/>
                <w:szCs w:val="13"/>
                <w:color w:val="auto"/>
              </w:rPr>
            </w:pPr>
          </w:p>
        </w:tc>
        <w:tc>
          <w:tcPr>
            <w:tcW w:w="6300" w:type="dxa"/>
            <w:vAlign w:val="bottom"/>
          </w:tcPr>
          <w:p>
            <w:pPr>
              <w:spacing w:after="0" w:line="157" w:lineRule="exact"/>
              <w:rPr>
                <w:sz w:val="20"/>
                <w:szCs w:val="20"/>
                <w:color w:val="auto"/>
              </w:rPr>
            </w:pPr>
            <w:r>
              <w:rPr>
                <w:rFonts w:ascii="Arial" w:cs="Arial" w:eastAsia="Arial" w:hAnsi="Arial"/>
                <w:sz w:val="14"/>
                <w:szCs w:val="14"/>
                <w:color w:val="auto"/>
              </w:rPr>
              <w:t>Title</w:t>
            </w:r>
          </w:p>
        </w:tc>
        <w:tc>
          <w:tcPr>
            <w:tcW w:w="1760" w:type="dxa"/>
            <w:vAlign w:val="bottom"/>
            <w:gridSpan w:val="2"/>
          </w:tcPr>
          <w:p>
            <w:pPr>
              <w:ind w:left="320"/>
              <w:spacing w:after="0" w:line="157" w:lineRule="exact"/>
              <w:rPr>
                <w:sz w:val="20"/>
                <w:szCs w:val="20"/>
                <w:color w:val="auto"/>
              </w:rPr>
            </w:pPr>
            <w:r>
              <w:rPr>
                <w:rFonts w:ascii="Arial" w:cs="Arial" w:eastAsia="Arial" w:hAnsi="Arial"/>
                <w:sz w:val="14"/>
                <w:szCs w:val="14"/>
                <w:color w:val="auto"/>
              </w:rPr>
              <w:t>Restricted Stock</w:t>
            </w:r>
          </w:p>
        </w:tc>
      </w:tr>
      <w:tr>
        <w:trPr>
          <w:trHeight w:val="196"/>
        </w:trPr>
        <w:tc>
          <w:tcPr>
            <w:tcW w:w="20" w:type="dxa"/>
            <w:vAlign w:val="bottom"/>
          </w:tcPr>
          <w:p>
            <w:pPr>
              <w:spacing w:after="0"/>
              <w:rPr>
                <w:sz w:val="17"/>
                <w:szCs w:val="17"/>
                <w:color w:val="auto"/>
              </w:rPr>
            </w:pPr>
          </w:p>
        </w:tc>
        <w:tc>
          <w:tcPr>
            <w:tcW w:w="3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Frank M. Jaehnert</w:t>
            </w:r>
          </w:p>
        </w:tc>
        <w:tc>
          <w:tcPr>
            <w:tcW w:w="320" w:type="dxa"/>
            <w:vAlign w:val="bottom"/>
            <w:shd w:val="clear" w:color="auto" w:fill="CCEEFF"/>
          </w:tcPr>
          <w:p>
            <w:pPr>
              <w:spacing w:after="0"/>
              <w:rPr>
                <w:sz w:val="17"/>
                <w:szCs w:val="17"/>
                <w:color w:val="auto"/>
              </w:rPr>
            </w:pPr>
          </w:p>
        </w:tc>
        <w:tc>
          <w:tcPr>
            <w:tcW w:w="6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President and Chief Executive Officer</w:t>
            </w:r>
          </w:p>
        </w:tc>
        <w:tc>
          <w:tcPr>
            <w:tcW w:w="32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50,000</w:t>
            </w: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Thomas J. Felmer</w:t>
            </w:r>
          </w:p>
        </w:tc>
        <w:tc>
          <w:tcPr>
            <w:tcW w:w="320" w:type="dxa"/>
            <w:vAlign w:val="bottom"/>
          </w:tcPr>
          <w:p>
            <w:pPr>
              <w:spacing w:after="0"/>
              <w:rPr>
                <w:sz w:val="17"/>
                <w:szCs w:val="17"/>
                <w:color w:val="auto"/>
              </w:rPr>
            </w:pPr>
          </w:p>
        </w:tc>
        <w:tc>
          <w:tcPr>
            <w:tcW w:w="6300" w:type="dxa"/>
            <w:vAlign w:val="bottom"/>
          </w:tcPr>
          <w:p>
            <w:pPr>
              <w:spacing w:after="0" w:line="202" w:lineRule="exact"/>
              <w:rPr>
                <w:sz w:val="20"/>
                <w:szCs w:val="20"/>
                <w:color w:val="auto"/>
              </w:rPr>
            </w:pPr>
            <w:r>
              <w:rPr>
                <w:rFonts w:ascii="Arial" w:cs="Arial" w:eastAsia="Arial" w:hAnsi="Arial"/>
                <w:sz w:val="18"/>
                <w:szCs w:val="18"/>
                <w:color w:val="auto"/>
              </w:rPr>
              <w:t>Senior Vice President and Chief Financial Officer</w:t>
            </w:r>
          </w:p>
        </w:tc>
        <w:tc>
          <w:tcPr>
            <w:tcW w:w="1760" w:type="dxa"/>
            <w:vAlign w:val="bottom"/>
            <w:gridSpan w:val="2"/>
          </w:tcPr>
          <w:p>
            <w:pPr>
              <w:jc w:val="right"/>
              <w:ind w:right="430"/>
              <w:spacing w:after="0" w:line="202" w:lineRule="exact"/>
              <w:rPr>
                <w:sz w:val="20"/>
                <w:szCs w:val="20"/>
                <w:color w:val="auto"/>
              </w:rPr>
            </w:pPr>
            <w:r>
              <w:rPr>
                <w:rFonts w:ascii="Arial" w:cs="Arial" w:eastAsia="Arial" w:hAnsi="Arial"/>
                <w:sz w:val="18"/>
                <w:szCs w:val="18"/>
                <w:color w:val="auto"/>
              </w:rPr>
              <w:t>35,000</w:t>
            </w: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Peter C. Sephton</w:t>
            </w:r>
          </w:p>
        </w:tc>
        <w:tc>
          <w:tcPr>
            <w:tcW w:w="320" w:type="dxa"/>
            <w:vAlign w:val="bottom"/>
            <w:shd w:val="clear" w:color="auto" w:fill="CCEEFF"/>
          </w:tcPr>
          <w:p>
            <w:pPr>
              <w:spacing w:after="0"/>
              <w:rPr>
                <w:sz w:val="17"/>
                <w:szCs w:val="17"/>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President - Brady Europe</w:t>
            </w:r>
          </w:p>
        </w:tc>
        <w:tc>
          <w:tcPr>
            <w:tcW w:w="1760" w:type="dxa"/>
            <w:vAlign w:val="bottom"/>
            <w:gridSpan w:val="2"/>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35,000</w:t>
            </w:r>
          </w:p>
        </w:tc>
      </w:tr>
      <w:tr>
        <w:trPr>
          <w:trHeight w:val="217"/>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Matthew O. Williamson</w:t>
            </w:r>
          </w:p>
        </w:tc>
        <w:tc>
          <w:tcPr>
            <w:tcW w:w="3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President - Brady Americas</w:t>
            </w:r>
          </w:p>
        </w:tc>
        <w:tc>
          <w:tcPr>
            <w:tcW w:w="1760" w:type="dxa"/>
            <w:vAlign w:val="bottom"/>
            <w:gridSpan w:val="2"/>
          </w:tcPr>
          <w:p>
            <w:pPr>
              <w:jc w:val="right"/>
              <w:ind w:right="430"/>
              <w:spacing w:after="0"/>
              <w:rPr>
                <w:sz w:val="20"/>
                <w:szCs w:val="20"/>
                <w:color w:val="auto"/>
              </w:rPr>
            </w:pPr>
            <w:r>
              <w:rPr>
                <w:rFonts w:ascii="Arial" w:cs="Arial" w:eastAsia="Arial" w:hAnsi="Arial"/>
                <w:sz w:val="18"/>
                <w:szCs w:val="18"/>
                <w:color w:val="auto"/>
              </w:rPr>
              <w:t>35,000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204"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24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Form of Restricted Stock Agreement</w:t>
      </w:r>
    </w:p>
    <w:p>
      <w:pPr>
        <w:spacing w:after="0" w:line="198" w:lineRule="exact"/>
        <w:rPr>
          <w:sz w:val="20"/>
          <w:szCs w:val="20"/>
          <w:color w:val="auto"/>
        </w:rPr>
      </w:pPr>
    </w:p>
    <w:p>
      <w:pPr>
        <w:ind w:left="2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Brady Corporation dated January 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January 9, 2008</w:t>
      </w:r>
      <w:r>
        <w:rPr>
          <w:sz w:val="20"/>
          <w:szCs w:val="20"/>
          <w:color w:val="auto"/>
        </w:rPr>
        <w:tab/>
      </w:r>
      <w:r>
        <w:rPr>
          <w:rFonts w:ascii="Arial" w:cs="Arial" w:eastAsia="Arial" w:hAnsi="Arial"/>
          <w:sz w:val="17"/>
          <w:szCs w:val="17"/>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Frank M. Jaehnert</w:t>
      </w: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510540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76" w:right="459" w:bottom="1440" w:gutter="0" w:footer="0" w:header="0"/>
        </w:sectPr>
      </w:pPr>
    </w:p>
    <w:bookmarkStart w:id="4" w:name="page5"/>
    <w:bookmarkEnd w:id="4"/>
    <w:p>
      <w:pPr>
        <w:ind w:left="5060"/>
        <w:spacing w:after="0"/>
        <w:rPr>
          <w:sz w:val="20"/>
          <w:szCs w:val="20"/>
          <w:color w:val="auto"/>
        </w:rPr>
      </w:pPr>
      <w:r>
        <w:rPr>
          <w:rFonts w:ascii="Arial" w:cs="Arial" w:eastAsia="Arial" w:hAnsi="Arial"/>
          <w:sz w:val="18"/>
          <w:szCs w:val="18"/>
          <w:color w:val="auto"/>
        </w:rPr>
        <w:t>EXHIBIT INDEX</w:t>
      </w:r>
    </w:p>
    <w:p>
      <w:pPr>
        <w:spacing w:after="0" w:line="204"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24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Form of Restricted Stock Agreement</w:t>
      </w:r>
    </w:p>
    <w:p>
      <w:pPr>
        <w:spacing w:after="0" w:line="198" w:lineRule="exact"/>
        <w:rPr>
          <w:sz w:val="20"/>
          <w:szCs w:val="20"/>
          <w:color w:val="auto"/>
        </w:rPr>
      </w:pPr>
    </w:p>
    <w:p>
      <w:pPr>
        <w:ind w:left="2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Brady Corporation dated January 9, 2008.</w:t>
      </w:r>
    </w:p>
    <w:p>
      <w:pPr>
        <w:sectPr>
          <w:pgSz w:w="11900" w:h="16838" w:orient="portrait"/>
          <w:cols w:equalWidth="0" w:num="1">
            <w:col w:w="10219"/>
          </w:cols>
          <w:pgMar w:left="240" w:top="976"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3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ind w:left="1640"/>
              <w:spacing w:after="0"/>
              <w:rPr>
                <w:sz w:val="20"/>
                <w:szCs w:val="20"/>
                <w:color w:val="auto"/>
              </w:rPr>
            </w:pPr>
            <w:r>
              <w:rPr>
                <w:rFonts w:ascii="Arial" w:cs="Arial" w:eastAsia="Arial" w:hAnsi="Arial"/>
                <w:sz w:val="18"/>
                <w:szCs w:val="18"/>
                <w:b w:val="1"/>
                <w:bCs w:val="1"/>
                <w:color w:val="auto"/>
                <w:w w:val="97"/>
              </w:rPr>
              <w:t>Exhibit 10.1</w:t>
            </w:r>
          </w:p>
        </w:tc>
      </w:tr>
      <w:tr>
        <w:trPr>
          <w:trHeight w:val="527"/>
        </w:trPr>
        <w:tc>
          <w:tcPr>
            <w:tcW w:w="3380" w:type="dxa"/>
            <w:vAlign w:val="bottom"/>
          </w:tcPr>
          <w:p>
            <w:pPr>
              <w:spacing w:after="0"/>
              <w:rPr>
                <w:sz w:val="24"/>
                <w:szCs w:val="24"/>
                <w:color w:val="auto"/>
              </w:rPr>
            </w:pPr>
          </w:p>
        </w:tc>
        <w:tc>
          <w:tcPr>
            <w:tcW w:w="5300" w:type="dxa"/>
            <w:vAlign w:val="bottom"/>
            <w:gridSpan w:val="3"/>
          </w:tcPr>
          <w:p>
            <w:pPr>
              <w:jc w:val="center"/>
              <w:ind w:right="620"/>
              <w:spacing w:after="0"/>
              <w:rPr>
                <w:sz w:val="20"/>
                <w:szCs w:val="20"/>
                <w:color w:val="auto"/>
              </w:rPr>
            </w:pPr>
            <w:r>
              <w:rPr>
                <w:rFonts w:ascii="Arial" w:cs="Arial" w:eastAsia="Arial" w:hAnsi="Arial"/>
                <w:sz w:val="18"/>
                <w:szCs w:val="18"/>
                <w:color w:val="auto"/>
                <w:w w:val="99"/>
              </w:rPr>
              <w:t>BRADY CORPORATION</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11"/>
        </w:trPr>
        <w:tc>
          <w:tcPr>
            <w:tcW w:w="3380" w:type="dxa"/>
            <w:vAlign w:val="bottom"/>
          </w:tcPr>
          <w:p>
            <w:pPr>
              <w:spacing w:after="0"/>
              <w:rPr>
                <w:sz w:val="24"/>
                <w:szCs w:val="24"/>
                <w:color w:val="auto"/>
              </w:rPr>
            </w:pPr>
          </w:p>
        </w:tc>
        <w:tc>
          <w:tcPr>
            <w:tcW w:w="530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PERFORMANCE-BASED</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11"/>
        </w:trPr>
        <w:tc>
          <w:tcPr>
            <w:tcW w:w="3380" w:type="dxa"/>
            <w:vAlign w:val="bottom"/>
          </w:tcPr>
          <w:p>
            <w:pPr>
              <w:spacing w:after="0"/>
              <w:rPr>
                <w:sz w:val="24"/>
                <w:szCs w:val="24"/>
                <w:color w:val="auto"/>
              </w:rPr>
            </w:pPr>
          </w:p>
        </w:tc>
        <w:tc>
          <w:tcPr>
            <w:tcW w:w="5300" w:type="dxa"/>
            <w:vAlign w:val="bottom"/>
            <w:gridSpan w:val="3"/>
          </w:tcPr>
          <w:p>
            <w:pPr>
              <w:jc w:val="center"/>
              <w:ind w:right="620"/>
              <w:spacing w:after="0"/>
              <w:rPr>
                <w:sz w:val="20"/>
                <w:szCs w:val="20"/>
                <w:color w:val="auto"/>
              </w:rPr>
            </w:pPr>
            <w:r>
              <w:rPr>
                <w:rFonts w:ascii="Arial" w:cs="Arial" w:eastAsia="Arial" w:hAnsi="Arial"/>
                <w:sz w:val="18"/>
                <w:szCs w:val="18"/>
                <w:color w:val="auto"/>
                <w:w w:val="99"/>
              </w:rPr>
              <w:t>RESTRICTED STOCK AGREEMENT</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11"/>
        </w:trPr>
        <w:tc>
          <w:tcPr>
            <w:tcW w:w="3380" w:type="dxa"/>
            <w:vAlign w:val="bottom"/>
          </w:tcPr>
          <w:p>
            <w:pPr>
              <w:spacing w:after="0"/>
              <w:rPr>
                <w:sz w:val="24"/>
                <w:szCs w:val="24"/>
                <w:color w:val="auto"/>
              </w:rPr>
            </w:pPr>
          </w:p>
        </w:tc>
        <w:tc>
          <w:tcPr>
            <w:tcW w:w="5300" w:type="dxa"/>
            <w:vAlign w:val="bottom"/>
            <w:gridSpan w:val="3"/>
          </w:tcPr>
          <w:p>
            <w:pPr>
              <w:jc w:val="center"/>
              <w:ind w:right="640"/>
              <w:spacing w:after="0"/>
              <w:rPr>
                <w:sz w:val="20"/>
                <w:szCs w:val="20"/>
                <w:color w:val="auto"/>
              </w:rPr>
            </w:pPr>
            <w:r>
              <w:rPr>
                <w:rFonts w:ascii="Arial" w:cs="Arial" w:eastAsia="Arial" w:hAnsi="Arial"/>
                <w:sz w:val="18"/>
                <w:szCs w:val="18"/>
                <w:color w:val="auto"/>
              </w:rPr>
              <w:t>(January 8, 2008)</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70"/>
        </w:trPr>
        <w:tc>
          <w:tcPr>
            <w:tcW w:w="6720" w:type="dxa"/>
            <w:vAlign w:val="bottom"/>
            <w:gridSpan w:val="3"/>
          </w:tcPr>
          <w:p>
            <w:pPr>
              <w:ind w:left="260"/>
              <w:spacing w:after="0"/>
              <w:rPr>
                <w:sz w:val="20"/>
                <w:szCs w:val="20"/>
                <w:color w:val="auto"/>
              </w:rPr>
            </w:pPr>
            <w:r>
              <w:rPr>
                <w:rFonts w:ascii="Arial" w:cs="Arial" w:eastAsia="Arial" w:hAnsi="Arial"/>
                <w:sz w:val="18"/>
                <w:szCs w:val="18"/>
                <w:color w:val="auto"/>
              </w:rPr>
              <w:t>Brady Corporation (the “Corporation”), a Wisconsin corporation, hereby grants to</w:t>
            </w:r>
          </w:p>
        </w:tc>
        <w:tc>
          <w:tcPr>
            <w:tcW w:w="1960" w:type="dxa"/>
            <w:vAlign w:val="bottom"/>
          </w:tcPr>
          <w:p>
            <w:pPr>
              <w:spacing w:after="0"/>
              <w:rPr>
                <w:sz w:val="23"/>
                <w:szCs w:val="23"/>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(the “Employee”) a Restricted</w:t>
            </w:r>
          </w:p>
        </w:tc>
      </w:tr>
      <w:tr>
        <w:trPr>
          <w:trHeight w:val="20"/>
        </w:trPr>
        <w:tc>
          <w:tcPr>
            <w:tcW w:w="3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83"/>
        </w:trPr>
        <w:tc>
          <w:tcPr>
            <w:tcW w:w="3380" w:type="dxa"/>
            <w:vAlign w:val="bottom"/>
          </w:tcPr>
          <w:p>
            <w:pPr>
              <w:spacing w:after="0" w:line="182" w:lineRule="exact"/>
              <w:rPr>
                <w:sz w:val="20"/>
                <w:szCs w:val="20"/>
                <w:color w:val="auto"/>
              </w:rPr>
            </w:pPr>
            <w:r>
              <w:rPr>
                <w:rFonts w:ascii="Arial" w:cs="Arial" w:eastAsia="Arial" w:hAnsi="Arial"/>
                <w:sz w:val="18"/>
                <w:szCs w:val="18"/>
                <w:color w:val="auto"/>
              </w:rPr>
              <w:t>Stock Award (the “Award”) with respect to</w:t>
            </w:r>
          </w:p>
        </w:tc>
        <w:tc>
          <w:tcPr>
            <w:tcW w:w="2040" w:type="dxa"/>
            <w:vAlign w:val="bottom"/>
            <w:tcBorders>
              <w:bottom w:val="single" w:sz="8" w:color="auto"/>
            </w:tcBorders>
          </w:tcPr>
          <w:p>
            <w:pPr>
              <w:spacing w:after="0"/>
              <w:rPr>
                <w:sz w:val="15"/>
                <w:szCs w:val="15"/>
                <w:color w:val="auto"/>
              </w:rPr>
            </w:pPr>
          </w:p>
        </w:tc>
        <w:tc>
          <w:tcPr>
            <w:tcW w:w="6000" w:type="dxa"/>
            <w:vAlign w:val="bottom"/>
            <w:gridSpan w:val="4"/>
          </w:tcPr>
          <w:p>
            <w:pPr>
              <w:spacing w:after="0" w:line="182" w:lineRule="exact"/>
              <w:rPr>
                <w:sz w:val="20"/>
                <w:szCs w:val="20"/>
                <w:color w:val="auto"/>
              </w:rPr>
            </w:pPr>
            <w:r>
              <w:rPr>
                <w:rFonts w:ascii="Arial" w:cs="Arial" w:eastAsia="Arial" w:hAnsi="Arial"/>
                <w:sz w:val="18"/>
                <w:szCs w:val="18"/>
                <w:color w:val="auto"/>
              </w:rPr>
              <w:t>shares (the “Shares”) of Class A Common Stock, $.01 par value, of the</w:t>
            </w:r>
          </w:p>
        </w:tc>
      </w:tr>
      <w:tr>
        <w:trPr>
          <w:trHeight w:val="223"/>
        </w:trPr>
        <w:tc>
          <w:tcPr>
            <w:tcW w:w="8680" w:type="dxa"/>
            <w:vAlign w:val="bottom"/>
            <w:gridSpan w:val="4"/>
          </w:tcPr>
          <w:p>
            <w:pPr>
              <w:spacing w:after="0"/>
              <w:rPr>
                <w:sz w:val="20"/>
                <w:szCs w:val="20"/>
                <w:color w:val="auto"/>
              </w:rPr>
            </w:pPr>
            <w:r>
              <w:rPr>
                <w:rFonts w:ascii="Arial" w:cs="Arial" w:eastAsia="Arial" w:hAnsi="Arial"/>
                <w:sz w:val="18"/>
                <w:szCs w:val="18"/>
                <w:color w:val="auto"/>
              </w:rPr>
              <w:t>Corporation (the “Common Stock”), all in accordance with and subject to the following terms and conditions:</w:t>
            </w: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bl>
    <w:p>
      <w:pPr>
        <w:spacing w:after="0" w:line="94" w:lineRule="exact"/>
        <w:rPr>
          <w:sz w:val="20"/>
          <w:szCs w:val="20"/>
          <w:color w:val="auto"/>
        </w:rPr>
      </w:pPr>
    </w:p>
    <w:p>
      <w:pPr>
        <w:jc w:val="both"/>
        <w:ind w:firstLine="258"/>
        <w:spacing w:after="0"/>
        <w:tabs>
          <w:tab w:leader="none" w:pos="45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Plan; Defined Terms</w:t>
      </w:r>
      <w:r>
        <w:rPr>
          <w:rFonts w:ascii="Arial" w:cs="Arial" w:eastAsia="Arial" w:hAnsi="Arial"/>
          <w:sz w:val="18"/>
          <w:szCs w:val="18"/>
          <w:color w:val="auto"/>
        </w:rPr>
        <w:t>. This Award is made pursuant to the Brady Corporation 2006 Omnibus Incentive Stock Plan (the “Plan”). In the event of any conflict between any provisions of this Award and the provisions of the Plan, the provisions of the Plan shall control. Terms defined in the Plan where used herein shall have the meanings as so defined. Employee acknowledges receipt of a copy of the Plan.</w:t>
      </w:r>
    </w:p>
    <w:p>
      <w:pPr>
        <w:spacing w:after="0" w:line="94" w:lineRule="exact"/>
        <w:rPr>
          <w:rFonts w:ascii="Arial" w:cs="Arial" w:eastAsia="Arial" w:hAnsi="Arial"/>
          <w:sz w:val="18"/>
          <w:szCs w:val="18"/>
          <w:color w:val="auto"/>
        </w:rPr>
      </w:pPr>
    </w:p>
    <w:p>
      <w:pPr>
        <w:ind w:right="460" w:firstLine="258"/>
        <w:spacing w:after="0" w:line="246" w:lineRule="auto"/>
        <w:tabs>
          <w:tab w:leader="none" w:pos="45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Vesting Requirements</w:t>
      </w:r>
      <w:r>
        <w:rPr>
          <w:rFonts w:ascii="Arial" w:cs="Arial" w:eastAsia="Arial" w:hAnsi="Arial"/>
          <w:sz w:val="18"/>
          <w:szCs w:val="18"/>
          <w:color w:val="auto"/>
        </w:rPr>
        <w:t xml:space="preserve">. The vesting of this Award (other than pursuant to accelerated vesting in certain circumstances as provided in Section 3 below) shall be subject to the satisfaction of the conditions set forth in </w:t>
      </w:r>
      <w:r>
        <w:rPr>
          <w:rFonts w:ascii="Arial" w:cs="Arial" w:eastAsia="Arial" w:hAnsi="Arial"/>
          <w:sz w:val="18"/>
          <w:szCs w:val="18"/>
          <w:u w:val="single" w:color="auto"/>
          <w:color w:val="auto"/>
        </w:rPr>
        <w:t>both</w:t>
      </w:r>
      <w:r>
        <w:rPr>
          <w:rFonts w:ascii="Arial" w:cs="Arial" w:eastAsia="Arial" w:hAnsi="Arial"/>
          <w:sz w:val="18"/>
          <w:szCs w:val="18"/>
          <w:color w:val="auto"/>
        </w:rPr>
        <w:t xml:space="preserve"> Section 2(a) and Section 2(b) below:</w:t>
      </w:r>
    </w:p>
    <w:p>
      <w:pPr>
        <w:spacing w:after="0" w:line="88" w:lineRule="exact"/>
        <w:rPr>
          <w:rFonts w:ascii="Arial" w:cs="Arial" w:eastAsia="Arial" w:hAnsi="Arial"/>
          <w:sz w:val="18"/>
          <w:szCs w:val="18"/>
          <w:color w:val="auto"/>
        </w:rPr>
      </w:pPr>
    </w:p>
    <w:p>
      <w:pPr>
        <w:ind w:right="60" w:firstLine="508"/>
        <w:spacing w:after="0" w:line="237" w:lineRule="auto"/>
        <w:tabs>
          <w:tab w:leader="none" w:pos="77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Performance Vesting Requirement (Earnings per Share Improvement)</w:t>
      </w:r>
      <w:r>
        <w:rPr>
          <w:rFonts w:ascii="Arial" w:cs="Arial" w:eastAsia="Arial" w:hAnsi="Arial"/>
          <w:sz w:val="18"/>
          <w:szCs w:val="18"/>
          <w:color w:val="auto"/>
        </w:rPr>
        <w:t>. The performance vesting requirement under this Section 2(a) shall be satisfied only if the Earnings Per Share for any one of the Corporation’s fiscal years ending July 31, 2009, July 31, 2010, July 31, 2011 or July 31, 2012 are at least 10% greater than the Earnings Per Share for the Corporation’s fiscal year ending July 31, 2008. For purposes of this Agreement, “Earnings per Share” shall mean the basic earnings per share of the Corporation’s Class A Common Stock calculated in accordance with the standards of the Public Company Accounting Oversight Board as in effect for the fiscal year ended July 31, 2008. If the performance vesting requirement is not satisfied for any of the four designated fiscal years, the Award shall be immediately forfeited.</w:t>
      </w:r>
    </w:p>
    <w:p>
      <w:pPr>
        <w:spacing w:after="0" w:line="97" w:lineRule="exact"/>
        <w:rPr>
          <w:rFonts w:ascii="Arial" w:cs="Arial" w:eastAsia="Arial" w:hAnsi="Arial"/>
          <w:sz w:val="18"/>
          <w:szCs w:val="18"/>
          <w:color w:val="auto"/>
        </w:rPr>
      </w:pPr>
    </w:p>
    <w:p>
      <w:pPr>
        <w:ind w:right="200" w:firstLine="508"/>
        <w:spacing w:after="0"/>
        <w:tabs>
          <w:tab w:leader="none" w:pos="77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Service Vesting Requirement</w:t>
      </w:r>
      <w:r>
        <w:rPr>
          <w:rFonts w:ascii="Arial" w:cs="Arial" w:eastAsia="Arial" w:hAnsi="Arial"/>
          <w:sz w:val="18"/>
          <w:szCs w:val="18"/>
          <w:color w:val="auto"/>
        </w:rPr>
        <w:t>. In addition to the performance vesting requirement of Section 2(a) above, the Award shall become vested only if the Employee remains continuously employed by the Corporation (or an Affiliate) from the date hereof until January 15, 2013. If this service vesting requirement is not satisfied, this Award shall be immediately forfeited.</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period of time during which the Shares covered by this Award are forfeitable is referred to as the “Restricted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6" w:name="page7"/>
    <w:bookmarkEnd w:id="6"/>
    <w:p>
      <w:pPr>
        <w:ind w:left="460" w:hanging="20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Accelerated Vesting</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60" w:firstLine="508"/>
        <w:spacing w:after="0" w:line="238" w:lineRule="auto"/>
        <w:tabs>
          <w:tab w:leader="none" w:pos="77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of the termination of the Employee’s employment with the Corporation (and any Affiliate) prior to the end of the Restricted Period due to death or disability, the Shares shall become unrestricted and fully vested. For purposes of this Agreement, “Disability” means that the Employee is disabled as a result of sickness or injury, such that he is unable to satisfactorily perform the material duties of his or her job, as determined by the Committee, on the basis of medical evidence satisfactory to it.</w:t>
      </w:r>
    </w:p>
    <w:p>
      <w:pPr>
        <w:spacing w:after="0" w:line="94" w:lineRule="exact"/>
        <w:rPr>
          <w:rFonts w:ascii="Arial" w:cs="Arial" w:eastAsia="Arial" w:hAnsi="Arial"/>
          <w:sz w:val="18"/>
          <w:szCs w:val="18"/>
          <w:color w:val="auto"/>
        </w:rPr>
      </w:pPr>
    </w:p>
    <w:p>
      <w:pPr>
        <w:ind w:right="40" w:firstLine="508"/>
        <w:spacing w:after="0" w:line="246" w:lineRule="auto"/>
        <w:tabs>
          <w:tab w:leader="none" w:pos="77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the event of the termination of the Employee’s employment with the Corporation (and any Affiliate) prior to the end of the Restricted Period due to a Change in Control, the Shares shall become unrestricted and fully vested.</w:t>
      </w:r>
    </w:p>
    <w:p>
      <w:pPr>
        <w:spacing w:after="0" w:line="89" w:lineRule="exact"/>
        <w:rPr>
          <w:sz w:val="20"/>
          <w:szCs w:val="20"/>
          <w:color w:val="auto"/>
        </w:rPr>
      </w:pPr>
    </w:p>
    <w:p>
      <w:pPr>
        <w:ind w:right="20" w:firstLine="500"/>
        <w:spacing w:after="0"/>
        <w:rPr>
          <w:sz w:val="20"/>
          <w:szCs w:val="20"/>
          <w:color w:val="auto"/>
        </w:rPr>
      </w:pPr>
      <w:r>
        <w:rPr>
          <w:rFonts w:ascii="Arial" w:cs="Arial" w:eastAsia="Arial" w:hAnsi="Arial"/>
          <w:sz w:val="18"/>
          <w:szCs w:val="18"/>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collectively, directly or indirectly controls in excess of 50% of the voting common stock of the Corporation.</w:t>
      </w:r>
    </w:p>
    <w:p>
      <w:pPr>
        <w:spacing w:after="0" w:line="95" w:lineRule="exact"/>
        <w:rPr>
          <w:sz w:val="20"/>
          <w:szCs w:val="20"/>
          <w:color w:val="auto"/>
        </w:rPr>
      </w:pPr>
    </w:p>
    <w:p>
      <w:pPr>
        <w:ind w:firstLine="500"/>
        <w:spacing w:after="0" w:line="236" w:lineRule="auto"/>
        <w:rPr>
          <w:sz w:val="20"/>
          <w:szCs w:val="20"/>
          <w:color w:val="auto"/>
        </w:rPr>
      </w:pPr>
      <w:r>
        <w:rPr>
          <w:rFonts w:ascii="Arial" w:cs="Arial" w:eastAsia="Arial" w:hAnsi="Arial"/>
          <w:sz w:val="18"/>
          <w:szCs w:val="18"/>
          <w:color w:val="auto"/>
        </w:rPr>
        <w:t>For purposes of this Agreement, a termination due to Change of Control shall occur if within the 12 month period beginning with the date a Change of Control occurs (i) the Employee’s employment with the Corporation (and any Affiliate) is involuntarily terminated (other than by reason of death, disability or Cause) or (ii) the Employee’s employment with the Corporation (and any Affiliate)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 more than 50 miles from the Employee’s principal work location immediately prior to the date the Change of Control occurs.</w:t>
      </w:r>
    </w:p>
    <w:p>
      <w:pPr>
        <w:spacing w:after="0" w:line="99" w:lineRule="exact"/>
        <w:rPr>
          <w:sz w:val="20"/>
          <w:szCs w:val="20"/>
          <w:color w:val="auto"/>
        </w:rPr>
      </w:pPr>
    </w:p>
    <w:p>
      <w:pPr>
        <w:ind w:right="260" w:firstLine="500"/>
        <w:spacing w:after="0" w:line="237" w:lineRule="auto"/>
        <w:rPr>
          <w:sz w:val="20"/>
          <w:szCs w:val="20"/>
          <w:color w:val="auto"/>
        </w:rPr>
      </w:pPr>
      <w:r>
        <w:rPr>
          <w:rFonts w:ascii="Arial" w:cs="Arial" w:eastAsia="Arial" w:hAnsi="Arial"/>
          <w:sz w:val="18"/>
          <w:szCs w:val="18"/>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Committee.</w:t>
      </w:r>
    </w:p>
    <w:p>
      <w:pPr>
        <w:spacing w:after="0" w:line="95" w:lineRule="exact"/>
        <w:rPr>
          <w:sz w:val="20"/>
          <w:szCs w:val="20"/>
          <w:color w:val="auto"/>
        </w:rPr>
      </w:pPr>
    </w:p>
    <w:p>
      <w:pPr>
        <w:ind w:right="800" w:firstLine="508"/>
        <w:spacing w:after="0" w:line="246"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w:t>
      </w:r>
    </w:p>
    <w:p>
      <w:pPr>
        <w:spacing w:after="0" w:line="169" w:lineRule="exact"/>
        <w:rPr>
          <w:rFonts w:ascii="Arial" w:cs="Arial" w:eastAsia="Arial" w:hAnsi="Arial"/>
          <w:sz w:val="18"/>
          <w:szCs w:val="18"/>
          <w:color w:val="auto"/>
        </w:rPr>
      </w:pPr>
    </w:p>
    <w:p>
      <w:pPr>
        <w:ind w:left="5660" w:hanging="106"/>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 w:name="page8"/>
    <w:bookmarkEnd w:id="7"/>
    <w:p>
      <w:pPr>
        <w:ind w:right="40"/>
        <w:spacing w:after="0" w:line="239" w:lineRule="auto"/>
        <w:rPr>
          <w:sz w:val="20"/>
          <w:szCs w:val="20"/>
          <w:color w:val="auto"/>
        </w:rPr>
      </w:pPr>
      <w:r>
        <w:rPr>
          <w:rFonts w:ascii="Arial" w:cs="Arial" w:eastAsia="Arial" w:hAnsi="Arial"/>
          <w:sz w:val="18"/>
          <w:szCs w:val="18"/>
          <w:color w:val="auto"/>
        </w:rPr>
        <w:t>corporation, (ii) the adoption of any plan for the dissolution of the Corporation, or (iii) the sale or exchange of all or substantially all the assets of the Corporation for cash or for shares of stock or other securities of another corporation, all restrictions imposed on any then-restricted Shares shall terminate (such that any Shares shall become fully transferable) immediately prior to any such event in which the Corporation is not the surviving corporation.</w:t>
      </w:r>
    </w:p>
    <w:p>
      <w:pPr>
        <w:spacing w:after="0" w:line="94" w:lineRule="exact"/>
        <w:rPr>
          <w:sz w:val="20"/>
          <w:szCs w:val="20"/>
          <w:color w:val="auto"/>
        </w:rPr>
      </w:pPr>
    </w:p>
    <w:p>
      <w:pPr>
        <w:ind w:right="900" w:firstLine="508"/>
        <w:spacing w:after="0" w:line="246" w:lineRule="auto"/>
        <w:tabs>
          <w:tab w:leader="none" w:pos="770"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the lapsing of the restrictions would result in any excise tax to the Employee as a result of Section 280G of the Code, the Corporation shall pay the Employee an amount equal to such excise tax.</w:t>
      </w:r>
    </w:p>
    <w:p>
      <w:pPr>
        <w:spacing w:after="0" w:line="88" w:lineRule="exact"/>
        <w:rPr>
          <w:rFonts w:ascii="Arial" w:cs="Arial" w:eastAsia="Arial" w:hAnsi="Arial"/>
          <w:sz w:val="18"/>
          <w:szCs w:val="18"/>
          <w:color w:val="auto"/>
        </w:rPr>
      </w:pPr>
    </w:p>
    <w:p>
      <w:pPr>
        <w:ind w:right="100" w:firstLine="258"/>
        <w:spacing w:after="0"/>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Dividend Rights</w:t>
      </w:r>
      <w:r>
        <w:rPr>
          <w:rFonts w:ascii="Arial" w:cs="Arial" w:eastAsia="Arial" w:hAnsi="Arial"/>
          <w:sz w:val="18"/>
          <w:szCs w:val="18"/>
          <w:color w:val="auto"/>
        </w:rPr>
        <w:t>. The Employee shall have the right to receive any cash dividends otherwise payable with respect to the Shares, as paid, and the Employee shall have all other rights as holder of such Shares, provided, however, the Corporation shall retain custody of all stock certificates representing shares as to which such restriction has not lapsed.</w:t>
      </w:r>
    </w:p>
    <w:p>
      <w:pPr>
        <w:spacing w:after="0" w:line="94" w:lineRule="exact"/>
        <w:rPr>
          <w:rFonts w:ascii="Arial" w:cs="Arial" w:eastAsia="Arial" w:hAnsi="Arial"/>
          <w:sz w:val="18"/>
          <w:szCs w:val="18"/>
          <w:color w:val="auto"/>
        </w:rPr>
      </w:pPr>
    </w:p>
    <w:p>
      <w:pPr>
        <w:ind w:right="60" w:firstLine="258"/>
        <w:spacing w:after="0" w:line="246" w:lineRule="auto"/>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 Nothing contained in this Agreement shall give the Employee the right to be retained in the employment of the Corporation or affect the right of the Corporation to dismiss the Employee.</w:t>
      </w:r>
    </w:p>
    <w:p>
      <w:pPr>
        <w:spacing w:after="0" w:line="88" w:lineRule="exact"/>
        <w:rPr>
          <w:rFonts w:ascii="Arial" w:cs="Arial" w:eastAsia="Arial" w:hAnsi="Arial"/>
          <w:sz w:val="18"/>
          <w:szCs w:val="18"/>
          <w:color w:val="auto"/>
        </w:rPr>
      </w:pPr>
    </w:p>
    <w:p>
      <w:pPr>
        <w:ind w:right="40" w:firstLine="258"/>
        <w:spacing w:after="0" w:line="239" w:lineRule="auto"/>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This Award and the Shares (until they become unrestricted pursuant to the terms hereof) are non-transferable and may not be assigned, pledged or hypothecated and shall not be subject to execution, attachment or similar process. Upon any attempt to effect any such disposition, or upon the levy of any such process, the Award shall immediately become null and void and the Shares shall be forfeited.</w:t>
      </w:r>
    </w:p>
    <w:p>
      <w:pPr>
        <w:spacing w:after="0" w:line="93" w:lineRule="exact"/>
        <w:rPr>
          <w:rFonts w:ascii="Arial" w:cs="Arial" w:eastAsia="Arial" w:hAnsi="Arial"/>
          <w:sz w:val="18"/>
          <w:szCs w:val="18"/>
          <w:color w:val="auto"/>
        </w:rPr>
      </w:pPr>
    </w:p>
    <w:p>
      <w:pPr>
        <w:ind w:firstLine="258"/>
        <w:spacing w:after="0" w:line="237" w:lineRule="auto"/>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Corporation may require payment of or withhold any tax which it believes is payable as a result of the Shares becoming unrestricted and fully vested, and the Corporation may defer making delivery with respect to Shares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Committee may adopt from time to time, to have the Corporation withhold that number of Shares (valued at Fair Market Value on the date of vesting and rounded upward) required to settle such withholding taxes.</w:t>
      </w:r>
    </w:p>
    <w:p>
      <w:pPr>
        <w:spacing w:after="0" w:line="95" w:lineRule="exact"/>
        <w:rPr>
          <w:rFonts w:ascii="Arial" w:cs="Arial" w:eastAsia="Arial" w:hAnsi="Arial"/>
          <w:sz w:val="18"/>
          <w:szCs w:val="18"/>
          <w:color w:val="auto"/>
        </w:rPr>
      </w:pPr>
    </w:p>
    <w:p>
      <w:pPr>
        <w:ind w:right="180" w:firstLine="258"/>
        <w:spacing w:after="0"/>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Death of Employee</w:t>
      </w:r>
      <w:r>
        <w:rPr>
          <w:rFonts w:ascii="Arial" w:cs="Arial" w:eastAsia="Arial" w:hAnsi="Arial"/>
          <w:sz w:val="18"/>
          <w:szCs w:val="18"/>
          <w:color w:val="auto"/>
        </w:rPr>
        <w:t>. If any of the Shares shall vest upon the death of the Employee, they shall be registered in the name of the estate of the Employee unless the Corporation shall have theretofore received in writing a beneficiary designation, in which event they shall be registered in the name of the designated beneficiary.</w:t>
      </w:r>
    </w:p>
    <w:p>
      <w:pPr>
        <w:spacing w:after="0" w:line="94" w:lineRule="exact"/>
        <w:rPr>
          <w:rFonts w:ascii="Arial" w:cs="Arial" w:eastAsia="Arial" w:hAnsi="Arial"/>
          <w:sz w:val="18"/>
          <w:szCs w:val="18"/>
          <w:color w:val="auto"/>
        </w:rPr>
      </w:pPr>
    </w:p>
    <w:p>
      <w:pPr>
        <w:jc w:val="both"/>
        <w:ind w:right="580" w:firstLine="258"/>
        <w:spacing w:after="0" w:line="239" w:lineRule="auto"/>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Adjustment of Shares</w:t>
      </w:r>
      <w:r>
        <w:rPr>
          <w:rFonts w:ascii="Arial" w:cs="Arial" w:eastAsia="Arial" w:hAnsi="Arial"/>
          <w:sz w:val="18"/>
          <w:szCs w:val="18"/>
          <w:color w:val="auto"/>
        </w:rPr>
        <w:t>. 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93" w:lineRule="exact"/>
        <w:rPr>
          <w:rFonts w:ascii="Arial" w:cs="Arial" w:eastAsia="Arial" w:hAnsi="Arial"/>
          <w:sz w:val="18"/>
          <w:szCs w:val="18"/>
          <w:color w:val="auto"/>
        </w:rPr>
      </w:pPr>
    </w:p>
    <w:p>
      <w:pPr>
        <w:ind w:left="560" w:hanging="30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Wisconsin Contract</w:t>
      </w:r>
      <w:r>
        <w:rPr>
          <w:rFonts w:ascii="Arial" w:cs="Arial" w:eastAsia="Arial" w:hAnsi="Arial"/>
          <w:sz w:val="18"/>
          <w:szCs w:val="18"/>
          <w:color w:val="auto"/>
        </w:rPr>
        <w:t>. This Award has been granted in Wisconsin and shall be construed under the laws of that state.</w:t>
      </w:r>
    </w:p>
    <w:p>
      <w:pPr>
        <w:spacing w:after="0" w:line="184" w:lineRule="exact"/>
        <w:rPr>
          <w:rFonts w:ascii="Arial" w:cs="Arial" w:eastAsia="Arial" w:hAnsi="Arial"/>
          <w:sz w:val="18"/>
          <w:szCs w:val="18"/>
          <w:color w:val="auto"/>
        </w:rPr>
      </w:pPr>
    </w:p>
    <w:p>
      <w:pPr>
        <w:ind w:left="5660" w:hanging="106"/>
        <w:spacing w:after="0"/>
        <w:tabs>
          <w:tab w:leader="none" w:pos="5660" w:val="left"/>
        </w:tabs>
        <w:numPr>
          <w:ilvl w:val="2"/>
          <w:numId w:val="6"/>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IN WITNESS WHEREOF, this Restricted Stock Agreement has been duly executed as of January 8, 2008.</w:t>
      </w:r>
    </w:p>
    <w:p>
      <w:pPr>
        <w:spacing w:after="0" w:line="21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ind w:left="4960"/>
        <w:spacing w:after="0"/>
        <w:tabs>
          <w:tab w:leader="none" w:pos="5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Frank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-1905</wp:posOffset>
            </wp:positionV>
            <wp:extent cx="2504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8"/>
          <w:szCs w:val="18"/>
          <w:color w:val="auto"/>
        </w:rPr>
        <w:t>Frank Jaehnert, President</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Attest: /s/ Hoyt R. Stastney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-1905</wp:posOffset>
            </wp:positionV>
            <wp:extent cx="250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8"/>
          <w:szCs w:val="18"/>
          <w:color w:val="auto"/>
        </w:rPr>
        <w:t>Hoyt R. Stastney, Secretary</w:t>
      </w:r>
    </w:p>
    <w:p>
      <w:pPr>
        <w:spacing w:after="0" w:line="200" w:lineRule="exact"/>
        <w:rPr>
          <w:sz w:val="20"/>
          <w:szCs w:val="20"/>
          <w:color w:val="auto"/>
        </w:rPr>
      </w:pPr>
    </w:p>
    <w:p>
      <w:pPr>
        <w:spacing w:after="0" w:line="39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9959"/>
          </w:cols>
          <w:pgMar w:left="500" w:top="949"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 Barbara Bolens (414) 438-6940</w:t>
      </w:r>
    </w:p>
    <w:p>
      <w:pPr>
        <w:spacing w:after="0"/>
        <w:rPr>
          <w:sz w:val="20"/>
          <w:szCs w:val="20"/>
          <w:color w:val="auto"/>
        </w:rPr>
      </w:pPr>
      <w:r>
        <w:rPr>
          <w:rFonts w:ascii="Arial" w:cs="Arial" w:eastAsia="Arial" w:hAnsi="Arial"/>
          <w:sz w:val="18"/>
          <w:szCs w:val="18"/>
          <w:color w:val="auto"/>
        </w:rPr>
        <w:t>Media contact — Carole Herbstreit (414) 438-6882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names Thomas J. Felmer Chief Financial Officer</w:t>
      </w:r>
    </w:p>
    <w:p>
      <w:pPr>
        <w:spacing w:after="0" w:line="12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MILWAUKEE (January 9, 2008)—Brady Corporation (NYSE:BRC), a world leader in identification solutions, announced today that Thomas J. Felmer has been named senior vice president and chief financial officer. Felmer succeeds David Mathieson, who resigned from Brady last month to join RSC Holdings, Inc. of Scottsdale, Arizona.</w:t>
      </w:r>
    </w:p>
    <w:p>
      <w:pPr>
        <w:spacing w:after="0" w:line="95"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color w:val="auto"/>
        </w:rPr>
        <w:t>Felmer, 46, joined Brady in 1989 and has served as president of Brady’s Direct Marketing Americas / People ID businesses since 2004. He has also held a series of leadership positions in the U.S. and Europe including international group vice president, general manager and head of global sales/marketing processes. He holds a degree in business administration from the University of Wisconsin – Green Bay and has completed the Advanced Management Program at INSEAD, Fontainbleau, France.</w:t>
      </w:r>
    </w:p>
    <w:p>
      <w:pPr>
        <w:spacing w:after="0" w:line="94" w:lineRule="exact"/>
        <w:rPr>
          <w:sz w:val="20"/>
          <w:szCs w:val="20"/>
          <w:color w:val="auto"/>
        </w:rPr>
      </w:pPr>
    </w:p>
    <w:p>
      <w:pPr>
        <w:ind w:right="80" w:firstLine="250"/>
        <w:spacing w:after="0" w:line="239" w:lineRule="auto"/>
        <w:rPr>
          <w:sz w:val="20"/>
          <w:szCs w:val="20"/>
          <w:color w:val="auto"/>
        </w:rPr>
      </w:pPr>
      <w:r>
        <w:rPr>
          <w:rFonts w:ascii="Arial" w:cs="Arial" w:eastAsia="Arial" w:hAnsi="Arial"/>
          <w:sz w:val="18"/>
          <w:szCs w:val="18"/>
          <w:color w:val="auto"/>
        </w:rPr>
        <w:t>“Tom Felmer understands the complexity of Brady’s global businesses and the opportunities to move the company to the next level. In his years at Brady, he has consistently driven positive results and demonstrated both strong strategic thinking and a focused mindset for creating shareholder value. He will be a valued strategic partner in not only leading our finance function, but also in working with our management team to further chart the course for Brady’s future,” said Frank M. Jaehnert, Brady president and chief executive officer.</w:t>
      </w:r>
    </w:p>
    <w:p>
      <w:pPr>
        <w:spacing w:after="0" w:line="94" w:lineRule="exact"/>
        <w:rPr>
          <w:sz w:val="20"/>
          <w:szCs w:val="20"/>
          <w:color w:val="auto"/>
        </w:rPr>
      </w:pPr>
    </w:p>
    <w:p>
      <w:pPr>
        <w:ind w:right="300" w:firstLine="250"/>
        <w:spacing w:after="0"/>
        <w:rPr>
          <w:sz w:val="20"/>
          <w:szCs w:val="20"/>
          <w:color w:val="auto"/>
        </w:rPr>
      </w:pPr>
      <w:r>
        <w:rPr>
          <w:rFonts w:ascii="Arial" w:cs="Arial" w:eastAsia="Arial" w:hAnsi="Arial"/>
          <w:sz w:val="18"/>
          <w:szCs w:val="18"/>
          <w:color w:val="auto"/>
        </w:rPr>
        <w:t>“I’m excited to have the opportunity to help create shareholder value across all of Brady’s businesses and to help shape our strategies to achieve our ambitious goals going forward. I also look forward to working with Brady’s strong finance team to continue our commitment to financial excellence and fiscal conservatism,” said Felmer.</w:t>
      </w:r>
    </w:p>
    <w:p>
      <w:pPr>
        <w:spacing w:after="0" w:line="95" w:lineRule="exact"/>
        <w:rPr>
          <w:sz w:val="20"/>
          <w:szCs w:val="20"/>
          <w:color w:val="auto"/>
        </w:rPr>
      </w:pPr>
    </w:p>
    <w:p>
      <w:pPr>
        <w:ind w:right="340" w:firstLine="250"/>
        <w:spacing w:after="0" w:line="237"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8,600 people at operations in the Americas, Europe and Asia/Pacific. Brady’s fiscal 2007 sales were approximately $1.363 billion. More information is available on the Internet at www.bradycorp.com.</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14"/>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1."/>
      <w:numFmt w:val="decimal"/>
      <w:start w:val="3"/>
    </w:lvl>
    <w:lvl w:ilvl="1">
      <w:lvlJc w:val="left"/>
      <w:lvlText w:val="(%2)"/>
      <w:numFmt w:val="lowerLetter"/>
      <w:start w:val="1"/>
    </w:lvl>
  </w:abstractNum>
  <w:abstractNum w:abstractNumId="3">
    <w:nsid w:val="46E87CCD"/>
    <w:multiLevelType w:val="hybridMultilevel"/>
    <w:lvl w:ilvl="0">
      <w:lvlJc w:val="left"/>
      <w:lvlText w:val="(%1)"/>
      <w:numFmt w:val="lowerLetter"/>
      <w:start w:val="3"/>
    </w:lvl>
    <w:lvl w:ilvl="1">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5">
    <w:nsid w:val="507ED7AB"/>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2019-12-13T14:24:34Z</dcterms:created>
  <dcterms:modified xsi:type="dcterms:W3CDTF">2019-12-13T14:24:34Z</dcterms:modified>
</cp:coreProperties>
</file>