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6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60" w:type="dxa"/>
            <w:vAlign w:val="bottom"/>
            <w:gridSpan w:val="5"/>
          </w:tcPr>
          <w:p>
            <w:pPr>
              <w:jc w:val="center"/>
              <w:ind w:right="136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9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900" w:type="dxa"/>
            <w:vAlign w:val="bottom"/>
            <w:gridSpan w:val="4"/>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February 20, 2024, there were 44,792,961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$6,531 and $8,467, respectively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177,078</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524,820</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590,535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592,646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1,407,604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258,036</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398,338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44,792,328 and 45,008,724 shares,</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stock—6,469,159 and 6,252,763 shares, respectively, of Class A nonvoting common stock, at cost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1,407,604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648,818</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337,114</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311,704</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29,310</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182,227</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211,537</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100,167</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98,845</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21,418</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77,427</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49,806</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50,049</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recognized in other comprehensive income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680"/>
              <w:spacing w:after="0" w:line="162" w:lineRule="exact"/>
              <w:rPr>
                <w:sz w:val="20"/>
                <w:szCs w:val="20"/>
                <w:color w:val="auto"/>
              </w:rPr>
            </w:pPr>
            <w:r>
              <w:rPr>
                <w:rFonts w:ascii="Times New Roman" w:cs="Times New Roman" w:eastAsia="Times New Roman" w:hAnsi="Times New Roman"/>
                <w:sz w:val="16"/>
                <w:szCs w:val="16"/>
                <w:color w:val="auto"/>
              </w:rPr>
              <w:t>Pension and other post-retirement benefits actuarial (gain) loss</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0" w:type="dxa"/>
            <w:vAlign w:val="bottom"/>
          </w:tcPr>
          <w:p>
            <w:pPr>
              <w:spacing w:after="0"/>
              <w:rPr>
                <w:sz w:val="1"/>
                <w:szCs w:val="1"/>
                <w:color w:val="auto"/>
              </w:rPr>
            </w:pPr>
          </w:p>
        </w:tc>
      </w:tr>
      <w:tr>
        <w:trPr>
          <w:trHeight w:val="23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2024</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$0.2350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$0.2350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January 31, 2024</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$0.4700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$0.4534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2023</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346,064</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920,482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(228,855)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(126,514)</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911,725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31,144</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348,513</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947,051</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(233,338)</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967,404</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January 31, 2023</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$0.4600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$0.4434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967,404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818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108,210</w:t>
            </w:r>
          </w:p>
        </w:tc>
        <w:tc>
          <w:tcPr>
            <w:tcW w:w="0" w:type="dxa"/>
            <w:vAlign w:val="bottom"/>
          </w:tcPr>
          <w:p>
            <w:pPr>
              <w:spacing w:after="0"/>
              <w:rPr>
                <w:sz w:val="1"/>
                <w:szCs w:val="1"/>
                <w:color w:val="auto"/>
              </w:rPr>
            </w:pPr>
          </w:p>
        </w:tc>
      </w:tr>
      <w:tr>
        <w:trPr>
          <w:trHeight w:val="26"/>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January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2024 and July 31, 2023, its results of operations and comprehensive income for the three and six months ended January 31, 2024 and 2023, and cash flows for the six months ended January 31, 2024 and 2023. The condensed consolidated balance sheet as of July 31, 2023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2023.</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2025 Form 10-K and interim periods thereafter. The Company is currently evaluating the ASU to determine its impact on the Company's disclosures.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evaluating the ASU to determine its impact on the Company’s disclosures.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January 31, 2024 and July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46,844</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164,944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177,078</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$299,746 and $292,680 as of January 31, 2024 and July 31, 2023,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January 31, 2024 and July 31, 2023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44,714</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48,566</w:t>
            </w: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other intangible assets as of January 31, 2024 compared to July 31, 2023 was primarily due to the effect of currency fluctuations during the six-month period.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$2,364 and $3,258 for the three months ended January 31, 2024 and 2023, respectively, and $4,719 and $6,889 for the six months ended January 31, 2024 and 2023,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January 31, 2024,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$3,804 and $3,868 for the three months ended January 31, 2024 and 2023, respectively, and $7,869 and $7,648 for the six months ended January 31, 2024 and 2023,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six months ended January 31, 2024 and 2023.</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six months ended January 31, 2024 and 2023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r>
      <w:tr>
        <w:trPr>
          <w:trHeight w:val="27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6,545</w:t>
            </w:r>
          </w:p>
        </w:tc>
      </w:tr>
    </w:tbl>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from cash flow hedges, and the unamortized gain on post-retirement plans, net of their related tax effects.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six months ended January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(101,231)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(99,941)</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January 31, 2024 compared to July 31, 2023 was primarily due to the appreciation of the U.S. dollar against certain other currencies during the six-month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six months ended January 31, 2023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(98,577)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January 31, 2023 compared to July 31, 2022 was primarily due to the depreciation of the U.S. dollar against certain other currencies during the six-month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six months ended January 31, 2024 and 2023, unrealized gains on cash flow hedges were reclassified to "Cost of goods sold" and unamortized gains on post-retirement plans were reclassified into "Investment and other income" on the condensed consolidated statements of income.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income (loss) for the three and six months ended January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42"/>
        </w:trPr>
        <w:tc>
          <w:tcPr>
            <w:tcW w:w="52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20" w:type="dxa"/>
            <w:vAlign w:val="bottom"/>
            <w:tcBorders>
              <w:top w:val="single" w:sz="8" w:color="auto"/>
            </w:tcBorders>
            <w:vMerge w:val="restart"/>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2"/>
                <w:szCs w:val="12"/>
                <w:color w:val="auto"/>
              </w:rPr>
            </w:pPr>
          </w:p>
        </w:tc>
        <w:tc>
          <w:tcPr>
            <w:tcW w:w="1100" w:type="dxa"/>
            <w:vAlign w:val="bottom"/>
            <w:tcBorders>
              <w:top w:val="single" w:sz="8" w:color="auto"/>
            </w:tcBorders>
            <w:vMerge w:val="restart"/>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tcPr>
          <w:p>
            <w:pPr>
              <w:jc w:val="center"/>
              <w:ind w:left="75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$2,979 and $2,757 as of January 31, 2024 and July 31, 2023, respectively. The current portion and non-current portion of contract liabilities are included in “Other current liabilities” and “Other liabilities," respectively, on the condensed consolidated balance sheets. The Company recognized revenue of $321 and $311 during the three months ended January 31, 2024 and 2023, respectively, and $635 and $617 during the six months ended January 31, 2024 and 2023, respectively, that was included in the contract liability balance at the beginning of the respective period from the amortization of extended service warranties. Of the contract liability balance outstanding at January 31, 2024, the Company expects to recognize 21% by the end of fiscal 2024, an additional 33% by the end of fiscal 2025, and the remaining balance thereafter.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following is a summary of net sales by segment and geographic region for the three and six months ended January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386,431</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52,131</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220,067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438,562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183,952</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26,304</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106,182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648,818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and six months ended January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43,895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81,319</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30,217</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58,949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111,536</w:t>
            </w:r>
          </w:p>
        </w:tc>
      </w:tr>
      <w:tr>
        <w:trPr>
          <w:trHeight w:val="23"/>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profit from reportable segments is a measure of operating income that excludes administrative costs related to corporate functions that are otherwise included in the Company's operating income. The following is a reconciliation of total profit from reportable segments to income before income taxes for the three and six months ended January 31,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58,949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111,536</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(11,369)</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55,820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98,845</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43,628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43,628</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90,116</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76,654</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48,374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48,725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49,562 and 634,999 for the three months ended January 31, 2024 and 2023, respectively, and 181,674 and 609,266 for the six months ended January 31, 2024 and 2023,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and July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12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39,661</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r>
      <w:tr>
        <w:trPr>
          <w:trHeight w:val="237"/>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2024 and July 31, 2023, unrealized gains of $831 and $1,580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January 31, 2024 and July 31, 2023, the cumulative balance recognized in accumulated other comprehensive income were losses of $1,207 and $1,746, respectively, on any outstanding foreign currency denominated debt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9"/>
              </w:rPr>
              <w:t>776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r>
      <w:tr>
        <w:trPr>
          <w:trHeight w:val="219"/>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Gains reclassified from OCI into cost of goods sold</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20" w:right="6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36,716</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-865505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-591185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tax rate for the three months ended January 31, 2024 and 2023 was 21.8% and 21.7%, respectively. The income tax rate for the six months ended January 31, 2024 and 2023, was 21.1% and 21.7%, respectively. The decrease in the tax rate in the six-month period was primarily due to tax benefits from stock-based compensation and other permanent adjustments. The Company expects its ongoing annual income tax rate to be approximately 22% based on its current global business mix and based on tax laws and statutory rates currently in effect.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Subsequent Events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20, 2024, the Board of Directors declared a quarterly cash dividend to shareholders of the Company’s Class A and Class B Common Stock of $0.235 per share payable on April 30, 2024, to shareholders of record at the close of business on April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60"/>
        <w:spacing w:after="0" w:line="438" w:lineRule="auto"/>
        <w:rPr>
          <w:sz w:val="20"/>
          <w:szCs w:val="20"/>
          <w:color w:val="auto"/>
        </w:rPr>
      </w:pPr>
      <w:r>
        <w:rPr>
          <w:rFonts w:ascii="Times New Roman" w:cs="Times New Roman" w:eastAsia="Times New Roman" w:hAnsi="Times New Roman"/>
          <w:sz w:val="18"/>
          <w:szCs w:val="18"/>
          <w:color w:val="auto"/>
        </w:rPr>
        <w:t xml:space="preserve">ITEM 2. MANAGEMENT’S DISCUSSION AND ANALYSIS OF FINANCIAL CONDITION AND RESULTS OF OPERATIONS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Within each of the reportable segments, the Company sells products under the product identification, wire identification, healthcare identification and safety and facility identification product lines to a diverse base of customers. The product identification, wire identification, and healthcare identification product lines include high-performance and innovative products that are designed, manufactured, and distributed within the Company's value chain. The safety and facility identification product line includes a broad range of stock and custom products that the Company manufactures, as well as a wide variety of products that the Company purchases and resells as a distributor.</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improving the overall customer experience, developing technologically advanced, innovative, and proprietary products, and improving our digital capabilities.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2024:</w:t>
      </w:r>
    </w:p>
    <w:p>
      <w:pPr>
        <w:spacing w:after="0" w:line="158"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acquisitions to further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inflationary pressures and supply chain and other business disruptions through the end of fiscal 2024. While we have seen certain pressures alleviate, we expect raw materials and labor cost inflation to continue. Thus far, the Company has been able to mitigate the impact of inflation through pricing actions and the execution of sustainable efficiency gains.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the financial strength to continue to invest in organic sales growth opportunities including sales, marketing and R&amp;D, as well as inorganic sales opportunities including acquisitions, while continuing to drive sustainable efficiency gains and automation in our operations and selling, general and administrative ("SG&amp;A") functions and return capital to our shareholders in the form of dividends and share repurchases. At January 31, 2024, we had cash of $143.9 million, as well as a credit agreement with $250.1 million available for future borrowing, which can be increased up to $1,110.1 million at the Company's option and subject to certain conditions, for total available liquidity of $1,254.0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remaining undrawn amount of the credit agreement and our ability to increase that credit line as necessary are sufficient to manage the continuing impact of economic or geopolitical events which may result in reduced sales, net income, or cash provided by operating activities. Refer to Risk Factors, included in Part I, Item 1A of our Annual Report on Form 10-K for the year ended July 31, 2023, for further discussion of the possible impact of global economic or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six months ended January 31, 2024 and 2023,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322,624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654,607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648,818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333,802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311,704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48.0 %</w:t>
            </w: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187,612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182,227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r>
      <w:tr>
        <w:trPr>
          <w:trHeight w:val="207"/>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108,157</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107,659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220,146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211,537</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32.6 %</w:t>
            </w: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January 31, 2024 declined 1.1% to $322.6 million compared to $326.2 million in the same period in the prior year, which consisted of organic sales growth of 1.6% and an increase from foreign currency translation of 0.8%, which were offset by a decrease due to divestitures of 3.5%. Organic sales grew 1.2% in the Americas &amp; Asia segment and 2.5% in the Europe &amp; Australia segment during the three months ended January 31, 2024 compared to the same period in the prior year.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six months ended January 31, 2024 increased 0.9% to $654.6 million compared to $648.8 million in the same period in the prior year. The increase consisted of organic sales growth of 2.2% and an increase from foreign currency translation of 1.1%, which was partially offset by a decrease of 2.4% due to divestitures. Organic sales grew 2.3% in the Americas &amp; Asia segment and 2.0% in the Europe &amp; Australia segment during the six months ended January 31, 2024 compared to the same period in the prior year.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3.6% to $162.1 million in the three months ended January 31, 2024 compared to $156.4 million in the same period in the prior year. As a percentage of net sales, gross margin increased to 50.2% from 48.0% in the three-month period. Gross margin increased 7.1% to $333.8 million in the six months ended January 31, 2024 compared to $311.7 million in the same period in the prior year. As a percentage of net sales, gross margin increased to 51.0% from 48.0% in the six-month period. The increase in gross margin as a percentage of net sales was primarily due to organic sales growth in higher gross margin product lines during both the three and six-month periods.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R&amp;D expenses increased 9.5% to $16.8 million in the three months ended January 31, 2024 compared to $15.4 million in the same period in the prior year. As a percentage of net sales, R&amp;D expenses increased to 5.2% from 4.7% in the three-month period. R&amp;D expenses increased 11.0% to $32.5 million in the six months ended January 31, 2024 compared to $29.3 million in the same period in the prior year. As a percentage of net sales, R&amp;D expenses increased to 5.0% from 4.5% in the six-month period. The increase in R&amp;D spending was primarily due to an increase in R&amp;D headcount. The Company remains committed to investing in new product development to increase sales within our businesses. Investments in new printing systems, materials and an industrial track and trace solution remain the primary focus of R&amp;D expenditures in fiscal 2024.</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administrative expenses including finance, information technology, human resources, and other administrative expenses. SG&amp;A expenses decreased 1.0% to $91.3 million in the three months ended January 31, 2024 compared to $92.3 million in the same period in the prior year. The decrease in SG&amp;A expenses during the three months ended January 31, 2024 compared to the same period in the prior year was primarily due to reduced headcount and advertising expense from divested businesses and a decrease in amortization expense, partially offset by increased headcount in sales and technology roles. As a percentage of sales, SG&amp;A remained consistent at 28.3% in the three-month period.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expenses increased 3.0% to $187.6 million for the six months ended January 31, 2024 compared to $182.2 million in the same period in the prior year. As a percentage of net sales, SG&amp;A increased to 28.7% from 28.1% in the six-month period. The increase in SG&amp;A expenses was primarily due to increased headcount in sales and technology roles, foreign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currency translation and investments in digital advertising, partially offset by reduced headcount and advertising expense from divested businesses and a decrease in amortization expense.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10.5% to $53.9 million and increased 13.5% to $113.7 million for the three and six months ended January 31, 2024, respectively, compared to $48.8 million and $100.2 million in the same periods in the prior year. The increase in operating income in both the three and six-month periods was primarily due to the increase in segment profit in the Americas &amp; Asia segment as a result of organic sales growth and improved gross profit margin as noted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1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24,353</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3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and other income was $2.7 million and $3.1 million for the three and six months ended January 31, 2024, respectively, compared to $1.0 million and $0.8 million in the same periods in the prior year. The increase in income during the three and six-month periods was primarily due to an increase in the market value of securities held in deferred compensation plans and an increase in interest income.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to $0.8 million and $1.6 million for the three and six months ended January 31, 2024, respectively, compared to $1.2 million and $2.1 million in the same periods in the prior year. The decrease in interest expense was primarily due to a decrease in outstanding borrowings on the Company's credit agreement, which was partially offset by an increase in interest rates on the Company's credit agreement compared to the same periods in the prior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21.8% and 21.7% for the three months ended January 31, 2024 and 2023, respectively, and the income tax rate was 21.1% and 21.7% for the six months ended January 31, 2024 and 2023, respectively. Refer to Note L, "Income Taxes" for additional information on the Company's income tax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six months ended January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20" w:type="dxa"/>
            <w:vAlign w:val="bottom"/>
          </w:tcPr>
          <w:p>
            <w:pPr>
              <w:spacing w:after="0"/>
              <w:rPr>
                <w:sz w:val="18"/>
                <w:szCs w:val="18"/>
                <w:color w:val="auto"/>
              </w:rPr>
            </w:pPr>
          </w:p>
        </w:tc>
        <w:tc>
          <w:tcPr>
            <w:tcW w:w="28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4"/>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43,895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93,792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81,319</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31,798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30,217</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125,590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111,536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net sales declined 3.8% to $211.6 million for the three months ended January 31, 2024 compared to $220.1 million in the same period in the prior year, which consisted of organic sales growth of 1.2% and an increase from foreign currency translation of 0.1%, which were offset by a decrease due to divestitures of 5.1%. Americas &amp; Asia net sales decreased 1.2% to $433.3 million for the six months ended January 31, 2024 compared to $438.6 million in the same period in the prior year, which consisted of organic sales growth of 2.3% that was offset by a decrease due to divestitures of 3.5%.</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in the low single digits in both the three and six-month periods ended January 31, 2024 compared to the same periods in the prior year. Organic sales growth during the three and six-month periods was primarily driven by the wire identification, safety and facility identification, and product identification product lines, which was partially offset by an organic sales decline in the healthcare identification product line.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increased in the mid-single digits for the three months ended January 31, 2024 and were essentially flat for the six months ended January 31, 2024 compared to the same periods in the prior year. The organic sales increase during the three-month period was primarily driven by sales growth in all major countries led by increased volume in China and India. Organic sales were essentially flat during the six-month period, with sales growth in India and Japan being offset by a decline in volume in China during the first quarter of fiscal 2024.</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Americas &amp; Asia segment profit increased 9.3% to $43.9 million for the three months ended January 31, 2024 compared to $40.2 million in the same period in the prior year. Segment profit increased 15.3% to $93.8 million for the six months ended January 31, 2024 compared to $81.3 million in the same period in the prior year. As a percentage of net sales, segment profit increased to 20.7% from 18.3% for the three-month period, and segment profit increased to 21.6% from 18.5% for the six-month period ended January 31, 2024 compared to the same periods in the prior year. The increase in segment profit as a percentage of net sales was primarily due to organic sales growth in higher gross margin product lines during both the three and six-month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Europe &amp; Australia net sales increased 4.5% to $111.0 million for the three months ended January 31, 2024 compared to $106.2 million in the same period in the prior year, which consisted of organic sales growth of 2.5% and an increase from foreign currency translation of 2.0%. Europe &amp; Australia net sales increased 5.3% to $221.3 million for the six months ended January 31, 2024 compared to $210.3 million in the same period in the prior year, which consisted of organic sales growth of 2.0% and an increase from foreign currency translation of 3.3%.</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increased in the low-single digits in both the three and six-month periods ended January 31, 2024 compared to the same periods in the prior year. Organic sales during the three-month period grew in the product identification, safety and facility identification and wire identification product lines. Organic sales grew in all major product lines with the strongest growth in the safety and facility identification product line during the six-month period.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increased in the low-single digits in both the three and six months ended January 31, 2024 compared to the same periods in the prior year. Organic sales were driven by consistent growth in both digital and sales from all other channels in both the three and six-month periods, which was primarily the result of price increases implemented in the prior year, as well as increased volume in all major product lines.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Europe &amp; Australia segment profit increased 11.9% to $15.1 million from $13.5 million, and as a percentage of net sales, segment profit increased to 13.6% from 12.7% for the three months ended January 31, 2024 compared to the same period in the prior year. Segment profit increased 5.2% to $31.8 million from $30.2 million and as a percentage of net sales, segment profit was 14.4% for both the six months ended January 31, 2024 and 2023. The increase in segment profit during both periods was primarily due to organic sales growth during the six months ended January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January 31, 2024, 98%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share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$143.9 million at January 31, 2024, a decrease of $7.7 million from July 31, 2023.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57,384</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(57,128)</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(5,859)</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$98.4 million for the six months ended January 31, 2024 compared to $57.4 million in the same period of the prior year. The increase in cash provided by operating activities was primarily due to improved profitability, reduced inventory spend and lower annual incentive compensation payments compared to the same period in the prior year.</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consisted of $60.8 million of capital expenditures in the six months ended January 31, 2024 compared to $8.2 million in the same period of the prior year. The increase in cash used in investing activities was primarily due to the purchase of a previously leased facility in Mexico, in addition to facility construction costs in Belgium.</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$43.0 million in the six months ended January 31, 2024 compared to $57.1 million in the same period in the prior year. The decrease in cash used in financing activities was primarily due to a decrease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$16.1 million in net repayments on the credit agreement in the six months ended January 31, 2024 compared to the same period of the prior year, which was partially offset by an increase in share repurchases in the current six-month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credit agreement dated August 1, 2019 to adjust to alternative benchmarks due to the elimination of the London Inter-bank Offered Rate (LIBOR).</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Credit Agreement (“Amendment No. 2”) with a group of six banks, which amended the original credit agreement dated August 1, 2019. Amendment No. 2 amended the credit agreement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January 31, 2024, the outstanding balance on the Company's credit agreement was $48.1 million. The maximum amount outstanding on the credit agreement during the six months ended January 31, 2024 was $63.0 million. As of January 31, 2024, the U.S. dollar-denominated borrowings of $13.0 million bear interest at 6.6%; the Euro-denominated borrowings of €23.0 million bear interest at 4.8%; and the British Pound-denominated borrowings of £8.0 million bear interest at 6.1% for a weighted average interest rate of 5.5%. The Company had letters of credit outstanding under the credit agreement of $1.8 million as of January 31, 2024, and there was $250.1 million available for future borrowing, which can be increased to $1,110.1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credit agreement, of not more than a 3.5 to 1.0 ratio (leverage ratio) and the trailing twelve months EBITDA to interest expense of not less than a 3.0 to 1.0 ratio (interest expense coverage). As of January 31, 2024, the Company was in compliance with these financial covenants, with a ratio of debt to EBITDA, as defined by the agreement, equal to 0.2 to 1.0 and the interest expense coverage ratio equal to 95.9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some of which are beyond Brady's control, that could cause actual results to differ materially from those expressed or implied by such forward-looking statements. For Brady, uncertainties arise from:</w:t>
      </w:r>
    </w:p>
    <w:p>
      <w:pPr>
        <w:spacing w:after="0" w:line="108" w:lineRule="exact"/>
        <w:rPr>
          <w:sz w:val="20"/>
          <w:szCs w:val="20"/>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and labor as well as raw material shortages and supply chain disruptions</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regional epidemics or global pandemics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40" w:right="20" w:hanging="330"/>
        <w:spacing w:after="0" w:line="250"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540" w:hanging="330"/>
        <w:spacing w:after="0" w:line="253"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2023. There has been no material change in this information since the 2023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are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2023. There have been no material changes from the risk factors set forth in the 2023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30, 2023, the Company's Board of Directors authorized an increase in the Company's share repurchase program, authorizing the repurchase of an additional $100.0 million of the Company's Class A Nonvoting Common Stock, which expanded upon the Company's prior authorization. The share repurchase program may be implemented from time to time on the open market or in privately negotiated transactions and has no expiration date. As of January 31, 2024, there was $88.2 million worth of repurchase authority remaining pursuant to the existing share repurchase program.</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January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2023 - November 30, 2023</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89,648</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2023 - December 31, 2023</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88,217</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2024 - January 31, 2024</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88,217</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88,217</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2024,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40" w:type="dxa"/>
            <w:vAlign w:val="bottom"/>
            <w:tcBorders>
              <w:top w:val="single" w:sz="8" w:color="auto"/>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20" w:type="dxa"/>
            <w:vAlign w:val="bottom"/>
            <w:tcBorders>
              <w:top w:val="single" w:sz="8" w:color="auto"/>
            </w:tcBorders>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Ann E. Thornton</w:t>
            </w: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820" w:type="dxa"/>
            <w:vAlign w:val="bottom"/>
            <w:tcBorders>
              <w:top w:val="single" w:sz="8" w:color="0000FF"/>
            </w:tcBorders>
          </w:tcPr>
          <w:p>
            <w:pPr>
              <w:spacing w:after="0"/>
              <w:rPr>
                <w:sz w:val="24"/>
                <w:szCs w:val="24"/>
                <w:color w:val="auto"/>
              </w:rPr>
            </w:pPr>
          </w:p>
        </w:tc>
        <w:tc>
          <w:tcPr>
            <w:tcW w:w="4700" w:type="dxa"/>
            <w:vAlign w:val="bottom"/>
            <w:gridSpan w:val="2"/>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Ann E. Thornton</w:t>
            </w:r>
          </w:p>
        </w:tc>
        <w:tc>
          <w:tcPr>
            <w:tcW w:w="5580" w:type="dxa"/>
            <w:vAlign w:val="bottom"/>
            <w:gridSpan w:val="4"/>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Presentation Label Linkbase Document</w:t>
            </w:r>
          </w:p>
        </w:tc>
      </w:tr>
      <w:tr>
        <w:trPr>
          <w:trHeight w:val="50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Inline XBRL data (contained in Exhibit 101)</w:t>
            </w:r>
          </w:p>
        </w:tc>
      </w:tr>
    </w:tbl>
    <w:p>
      <w:pPr>
        <w:spacing w:after="0" w:line="373"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50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8"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firstLine="453"/>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2024-02-22T06:15:04Z</dcterms:created>
  <dcterms:modified xsi:type="dcterms:W3CDTF">2024-02-22T06:15:04Z</dcterms:modified>
</cp:coreProperties>
</file>