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145415</wp:posOffset>
            </wp:positionV>
            <wp:extent cx="16014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120015</wp:posOffset>
            </wp:positionV>
            <wp:extent cx="16014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February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149860</wp:posOffset>
            </wp:positionV>
            <wp:extent cx="16014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111760</wp:posOffset>
            </wp:positionV>
            <wp:extent cx="16014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Commission File Number 1-14959</w:t>
      </w:r>
    </w:p>
    <w:p>
      <w:pPr>
        <w:sectPr>
          <w:pgSz w:w="11900" w:h="16838" w:orient="portrait"/>
          <w:cols w:equalWidth="0" w:num="1">
            <w:col w:w="11440"/>
          </w:cols>
          <w:pgMar w:left="220" w:top="517" w:right="239" w:bottom="1440" w:gutter="0" w:footer="0" w:header="0"/>
        </w:sectPr>
      </w:pPr>
    </w:p>
    <w:p>
      <w:pPr>
        <w:spacing w:after="0" w:line="330" w:lineRule="exact"/>
        <w:rPr>
          <w:sz w:val="24"/>
          <w:szCs w:val="24"/>
          <w:color w:val="auto"/>
        </w:rPr>
      </w:pPr>
    </w:p>
    <w:p>
      <w:pPr>
        <w:ind w:left="2540"/>
        <w:spacing w:after="0"/>
        <w:rPr>
          <w:sz w:val="20"/>
          <w:szCs w:val="20"/>
          <w:color w:val="auto"/>
        </w:rPr>
      </w:pPr>
      <w:r>
        <w:rPr>
          <w:rFonts w:ascii="Arial" w:cs="Arial" w:eastAsia="Arial" w:hAnsi="Arial"/>
          <w:sz w:val="10"/>
          <w:szCs w:val="10"/>
          <w:b w:val="1"/>
          <w:bCs w:val="1"/>
          <w:color w:val="auto"/>
        </w:rPr>
        <w:t>Wisconsin</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39-0971239</w:t>
      </w:r>
    </w:p>
    <w:p>
      <w:pPr>
        <w:spacing w:after="0" w:line="52" w:lineRule="exact"/>
        <w:rPr>
          <w:sz w:val="24"/>
          <w:szCs w:val="24"/>
          <w:color w:val="auto"/>
        </w:rPr>
      </w:pPr>
    </w:p>
    <w:p>
      <w:pPr>
        <w:sectPr>
          <w:pgSz w:w="11900" w:h="16838" w:orient="portrait"/>
          <w:cols w:equalWidth="0" w:num="2">
            <w:col w:w="7700" w:space="720"/>
            <w:col w:w="3020"/>
          </w:cols>
          <w:pgMar w:left="220" w:top="517" w:right="239" w:bottom="1440" w:gutter="0" w:footer="0" w:header="0"/>
          <w:type w:val="continuous"/>
        </w:sectPr>
      </w:pPr>
    </w:p>
    <w:p>
      <w:pPr>
        <w:ind w:left="1560"/>
        <w:spacing w:after="0"/>
        <w:rPr>
          <w:sz w:val="20"/>
          <w:szCs w:val="20"/>
          <w:color w:val="auto"/>
        </w:rPr>
      </w:pPr>
      <w:r>
        <w:rPr>
          <w:rFonts w:ascii="Arial" w:cs="Arial" w:eastAsia="Arial" w:hAnsi="Arial"/>
          <w:sz w:val="8"/>
          <w:szCs w:val="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(IRS Employer Identification No.)</w:t>
      </w:r>
    </w:p>
    <w:p>
      <w:pPr>
        <w:spacing w:after="0" w:line="135" w:lineRule="exact"/>
        <w:rPr>
          <w:sz w:val="24"/>
          <w:szCs w:val="24"/>
          <w:color w:val="auto"/>
        </w:rPr>
      </w:pPr>
    </w:p>
    <w:p>
      <w:pPr>
        <w:sectPr>
          <w:pgSz w:w="11900" w:h="16838" w:orient="portrait"/>
          <w:cols w:equalWidth="0" w:num="2">
            <w:col w:w="7300" w:space="720"/>
            <w:col w:w="3420"/>
          </w:cols>
          <w:pgMar w:left="220" w:top="517" w:right="239" w:bottom="1440" w:gutter="0" w:footer="0" w:header="0"/>
          <w:type w:val="continuous"/>
        </w:sectPr>
      </w:pPr>
    </w:p>
    <w:p>
      <w:pPr>
        <w:ind w:left="5020"/>
        <w:spacing w:after="0"/>
        <w:rPr>
          <w:sz w:val="20"/>
          <w:szCs w:val="20"/>
          <w:color w:val="auto"/>
        </w:rPr>
      </w:pPr>
      <w:r>
        <w:rPr>
          <w:rFonts w:ascii="Arial" w:cs="Arial" w:eastAsia="Arial" w:hAnsi="Arial"/>
          <w:sz w:val="11"/>
          <w:szCs w:val="11"/>
          <w:b w:val="1"/>
          <w:bCs w:val="1"/>
          <w:color w:val="auto"/>
        </w:rPr>
        <w:t>6555 West Good Hope Road</w:t>
      </w:r>
    </w:p>
    <w:p>
      <w:pPr>
        <w:spacing w:after="0" w:line="54" w:lineRule="exact"/>
        <w:rPr>
          <w:sz w:val="24"/>
          <w:szCs w:val="24"/>
          <w:color w:val="auto"/>
        </w:rPr>
      </w:pPr>
    </w:p>
    <w:p>
      <w:pPr>
        <w:ind w:left="4980"/>
        <w:spacing w:after="0"/>
        <w:rPr>
          <w:sz w:val="20"/>
          <w:szCs w:val="20"/>
          <w:color w:val="auto"/>
        </w:rPr>
      </w:pPr>
      <w:r>
        <w:rPr>
          <w:rFonts w:ascii="Arial" w:cs="Arial" w:eastAsia="Arial" w:hAnsi="Arial"/>
          <w:sz w:val="11"/>
          <w:szCs w:val="11"/>
          <w:b w:val="1"/>
          <w:bCs w:val="1"/>
          <w:color w:val="auto"/>
        </w:rPr>
        <w:t>Milwaukee, Wisconsin 53223</w:t>
      </w:r>
    </w:p>
    <w:p>
      <w:pPr>
        <w:sectPr>
          <w:pgSz w:w="11900" w:h="16838" w:orient="portrait"/>
          <w:cols w:equalWidth="0" w:num="1">
            <w:col w:w="11440"/>
          </w:cols>
          <w:pgMar w:left="220" w:top="517" w:right="239" w:bottom="1440" w:gutter="0" w:footer="0" w:header="0"/>
          <w:type w:val="continuous"/>
        </w:sectPr>
      </w:pP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 and Zip Code)</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(414) 358-6600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125095</wp:posOffset>
            </wp:positionV>
            <wp:extent cx="16014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ind w:left="700" w:hanging="690"/>
        <w:spacing w:after="0" w:line="221" w:lineRule="auto"/>
        <w:tabs>
          <w:tab w:leader="none" w:pos="700" w:val="left"/>
        </w:tabs>
        <w:numPr>
          <w:ilvl w:val="0"/>
          <w:numId w:val="1"/>
        </w:numPr>
        <w:rPr>
          <w:rFonts w:ascii="MS PGothic" w:cs="MS PGothic" w:eastAsia="MS PGothic" w:hAnsi="MS PGothic"/>
          <w:sz w:val="29"/>
          <w:szCs w:val="29"/>
          <w:color w:val="auto"/>
          <w:vertAlign w:val="subscript"/>
        </w:rPr>
      </w:pPr>
      <w:r>
        <w:rPr>
          <w:rFonts w:ascii="Arial" w:cs="Arial" w:eastAsia="Arial" w:hAnsi="Arial"/>
          <w:sz w:val="12"/>
          <w:szCs w:val="12"/>
          <w:color w:val="auto"/>
        </w:rPr>
        <w:t>Written communications pursuant to Rule 425 under the Securities Act (17 CFR 230.425)</w:t>
      </w:r>
    </w:p>
    <w:p>
      <w:pPr>
        <w:spacing w:after="0" w:line="49" w:lineRule="exact"/>
        <w:rPr>
          <w:rFonts w:ascii="MS PGothic" w:cs="MS PGothic" w:eastAsia="MS PGothic" w:hAnsi="MS PGothic"/>
          <w:sz w:val="29"/>
          <w:szCs w:val="29"/>
          <w:color w:val="auto"/>
          <w:vertAlign w:val="subscript"/>
        </w:rPr>
      </w:pPr>
    </w:p>
    <w:p>
      <w:pPr>
        <w:ind w:left="700" w:hanging="690"/>
        <w:spacing w:after="0" w:line="220" w:lineRule="auto"/>
        <w:tabs>
          <w:tab w:leader="none" w:pos="700" w:val="left"/>
        </w:tabs>
        <w:numPr>
          <w:ilvl w:val="0"/>
          <w:numId w:val="1"/>
        </w:numPr>
        <w:rPr>
          <w:rFonts w:ascii="MS PGothic" w:cs="MS PGothic" w:eastAsia="MS PGothic" w:hAnsi="MS PGothic"/>
          <w:sz w:val="29"/>
          <w:szCs w:val="29"/>
          <w:color w:val="auto"/>
          <w:vertAlign w:val="subscript"/>
        </w:rPr>
      </w:pPr>
      <w:r>
        <w:rPr>
          <w:rFonts w:ascii="Arial" w:cs="Arial" w:eastAsia="Arial" w:hAnsi="Arial"/>
          <w:sz w:val="12"/>
          <w:szCs w:val="12"/>
          <w:color w:val="auto"/>
        </w:rPr>
        <w:t>Soliciting material pursuant to Rule 14a-12 under the Exchange Act (17 CFR 240.14a-12)</w:t>
      </w:r>
    </w:p>
    <w:p>
      <w:pPr>
        <w:spacing w:after="0" w:line="49" w:lineRule="exact"/>
        <w:rPr>
          <w:rFonts w:ascii="MS PGothic" w:cs="MS PGothic" w:eastAsia="MS PGothic" w:hAnsi="MS PGothic"/>
          <w:sz w:val="29"/>
          <w:szCs w:val="29"/>
          <w:color w:val="auto"/>
          <w:vertAlign w:val="subscript"/>
        </w:rPr>
      </w:pPr>
    </w:p>
    <w:p>
      <w:pPr>
        <w:ind w:left="700" w:hanging="690"/>
        <w:spacing w:after="0" w:line="220" w:lineRule="auto"/>
        <w:tabs>
          <w:tab w:leader="none" w:pos="700" w:val="left"/>
        </w:tabs>
        <w:numPr>
          <w:ilvl w:val="0"/>
          <w:numId w:val="1"/>
        </w:numPr>
        <w:rPr>
          <w:rFonts w:ascii="MS PGothic" w:cs="MS PGothic" w:eastAsia="MS PGothic" w:hAnsi="MS PGothic"/>
          <w:sz w:val="29"/>
          <w:szCs w:val="29"/>
          <w:color w:val="auto"/>
          <w:vertAlign w:val="subscript"/>
        </w:rPr>
      </w:pPr>
      <w:r>
        <w:rPr>
          <w:rFonts w:ascii="Arial" w:cs="Arial" w:eastAsia="Arial" w:hAnsi="Arial"/>
          <w:sz w:val="12"/>
          <w:szCs w:val="12"/>
          <w:color w:val="auto"/>
        </w:rPr>
        <w:t>Pre-commencement communications pursuant to Rule 14d-2(b) under the Exchange Act (17 CFR 240.14d-2(b))</w:t>
      </w:r>
    </w:p>
    <w:p>
      <w:pPr>
        <w:spacing w:after="0" w:line="162" w:lineRule="exact"/>
        <w:rPr>
          <w:rFonts w:ascii="MS PGothic" w:cs="MS PGothic" w:eastAsia="MS PGothic" w:hAnsi="MS PGothic"/>
          <w:sz w:val="29"/>
          <w:szCs w:val="29"/>
          <w:color w:val="auto"/>
          <w:vertAlign w:val="subscript"/>
        </w:rPr>
      </w:pPr>
    </w:p>
    <w:p>
      <w:pPr>
        <w:ind w:right="5380" w:firstLine="10"/>
        <w:spacing w:after="0" w:line="278" w:lineRule="auto"/>
        <w:tabs>
          <w:tab w:leader="none" w:pos="712" w:val="left"/>
        </w:tabs>
        <w:numPr>
          <w:ilvl w:val="0"/>
          <w:numId w:val="1"/>
        </w:numPr>
        <w:rPr>
          <w:rFonts w:ascii="MS PGothic" w:cs="MS PGothic" w:eastAsia="MS PGothic" w:hAnsi="MS PGothic"/>
          <w:sz w:val="29"/>
          <w:szCs w:val="29"/>
          <w:color w:val="auto"/>
          <w:vertAlign w:val="subscript"/>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p>
      <w:pPr>
        <w:spacing w:after="0" w:line="25" w:lineRule="exact"/>
        <w:rPr>
          <w:sz w:val="24"/>
          <w:szCs w:val="24"/>
          <w:color w:val="auto"/>
        </w:rPr>
      </w:pPr>
    </w:p>
    <w:tbl>
      <w:tblPr>
        <w:tblLayout w:type="fixed"/>
        <w:tblInd w:w="10" w:type="dxa"/>
        <w:tblCellMar>
          <w:top w:w="0" w:type="dxa"/>
          <w:left w:w="0" w:type="dxa"/>
          <w:bottom w:w="0" w:type="dxa"/>
          <w:right w:w="0" w:type="dxa"/>
        </w:tblCellMar>
      </w:tblPr>
      <w:tr>
        <w:trPr>
          <w:trHeight w:val="158"/>
        </w:trPr>
        <w:tc>
          <w:tcPr>
            <w:tcW w:w="6200" w:type="dxa"/>
            <w:vAlign w:val="bottom"/>
            <w:tcBorders>
              <w:top w:val="single" w:sz="8" w:color="auto"/>
              <w:left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Trading</w:t>
            </w:r>
          </w:p>
        </w:tc>
        <w:tc>
          <w:tcPr>
            <w:tcW w:w="3540" w:type="dxa"/>
            <w:vAlign w:val="bottom"/>
            <w:tcBorders>
              <w:top w:val="single" w:sz="8" w:color="auto"/>
              <w:right w:val="single" w:sz="8" w:color="auto"/>
            </w:tcBorders>
          </w:tcPr>
          <w:p>
            <w:pPr>
              <w:spacing w:after="0"/>
              <w:rPr>
                <w:sz w:val="13"/>
                <w:szCs w:val="13"/>
                <w:color w:val="auto"/>
              </w:rPr>
            </w:pPr>
          </w:p>
        </w:tc>
      </w:tr>
      <w:tr>
        <w:trPr>
          <w:trHeight w:val="166"/>
        </w:trPr>
        <w:tc>
          <w:tcPr>
            <w:tcW w:w="6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Symbol</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69"/>
        </w:trPr>
        <w:tc>
          <w:tcPr>
            <w:tcW w:w="6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r>
    </w:tbl>
    <w:p>
      <w:pPr>
        <w:spacing w:after="0" w:line="99" w:lineRule="exact"/>
        <w:rPr>
          <w:sz w:val="24"/>
          <w:szCs w:val="24"/>
          <w:color w:val="auto"/>
        </w:rPr>
      </w:pPr>
    </w:p>
    <w:p>
      <w:pPr>
        <w:ind w:right="600"/>
        <w:spacing w:after="0" w:line="227"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105" w:lineRule="exact"/>
        <w:rPr>
          <w:sz w:val="24"/>
          <w:szCs w:val="24"/>
          <w:color w:val="auto"/>
        </w:rPr>
      </w:pPr>
    </w:p>
    <w:p>
      <w:pPr>
        <w:ind w:right="240"/>
        <w:spacing w:after="0" w:line="17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440"/>
          </w:cols>
          <w:pgMar w:left="220" w:top="517" w:right="239" w:bottom="1440" w:gutter="0" w:footer="0" w:header="0"/>
          <w:type w:val="continuous"/>
        </w:sectPr>
      </w:pPr>
    </w:p>
    <w:bookmarkStart w:id="1" w:name="page2"/>
    <w:bookmarkEnd w:id="1"/>
    <w:p>
      <w:pPr>
        <w:ind w:left="20"/>
        <w:spacing w:after="0"/>
        <w:tabs>
          <w:tab w:leader="none" w:pos="70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168"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On February 20, 2020, Brady Corporation (the “Company”) issued a press release announcing its fiscal 2020 second quarter financial results. A copy of the press release is being furnished to the Securities and Exchange Commission as Exhibit 99.1 attached hereto and is incorporated herein by reference.</w:t>
      </w:r>
    </w:p>
    <w:p>
      <w:pPr>
        <w:spacing w:after="0" w:line="33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16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February 20, 2020, the Company hosted a conference call related to its fiscal 2020 second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Pr>
          <w:p>
            <w:pPr>
              <w:ind w:left="20"/>
              <w:spacing w:after="0"/>
              <w:rPr>
                <w:sz w:val="20"/>
                <w:szCs w:val="20"/>
                <w:color w:val="auto"/>
              </w:rPr>
            </w:pPr>
            <w:r>
              <w:rPr>
                <w:rFonts w:ascii="Arial" w:cs="Arial" w:eastAsia="Arial" w:hAnsi="Arial"/>
                <w:sz w:val="12"/>
                <w:szCs w:val="12"/>
                <w:color w:val="auto"/>
              </w:rPr>
              <w:t>Item 9.01</w:t>
            </w:r>
          </w:p>
        </w:tc>
        <w:tc>
          <w:tcPr>
            <w:tcW w:w="5840" w:type="dxa"/>
            <w:vAlign w:val="bottom"/>
            <w:gridSpan w:val="6"/>
          </w:tcPr>
          <w:p>
            <w:pPr>
              <w:ind w:left="80"/>
              <w:spacing w:after="0"/>
              <w:rPr>
                <w:sz w:val="20"/>
                <w:szCs w:val="20"/>
                <w:color w:val="auto"/>
              </w:rPr>
            </w:pPr>
            <w:r>
              <w:rPr>
                <w:rFonts w:ascii="Arial" w:cs="Arial" w:eastAsia="Arial" w:hAnsi="Arial"/>
                <w:sz w:val="12"/>
                <w:szCs w:val="12"/>
                <w:color w:val="auto"/>
              </w:rPr>
              <w:t>FINANCIAL STATEMENTS AND EXHIBITS</w:t>
            </w:r>
          </w:p>
        </w:tc>
        <w:tc>
          <w:tcPr>
            <w:tcW w:w="0" w:type="dxa"/>
            <w:vAlign w:val="bottom"/>
          </w:tcPr>
          <w:p>
            <w:pPr>
              <w:spacing w:after="0"/>
              <w:rPr>
                <w:sz w:val="1"/>
                <w:szCs w:val="1"/>
                <w:color w:val="auto"/>
              </w:rPr>
            </w:pPr>
          </w:p>
        </w:tc>
      </w:tr>
      <w:tr>
        <w:trPr>
          <w:trHeight w:val="306"/>
        </w:trPr>
        <w:tc>
          <w:tcPr>
            <w:tcW w:w="640" w:type="dxa"/>
            <w:vAlign w:val="bottom"/>
          </w:tcPr>
          <w:p>
            <w:pPr>
              <w:spacing w:after="0"/>
              <w:rPr>
                <w:sz w:val="20"/>
                <w:szCs w:val="20"/>
                <w:color w:val="auto"/>
              </w:rPr>
            </w:pPr>
            <w:r>
              <w:rPr>
                <w:rFonts w:ascii="Arial" w:cs="Arial" w:eastAsia="Arial" w:hAnsi="Arial"/>
                <w:sz w:val="12"/>
                <w:szCs w:val="12"/>
                <w:color w:val="auto"/>
              </w:rPr>
              <w:t>(d) Exhibits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 w:type="dxa"/>
            <w:vAlign w:val="bottom"/>
          </w:tcPr>
          <w:p>
            <w:pPr>
              <w:ind w:left="20"/>
              <w:spacing w:after="0"/>
              <w:rPr>
                <w:sz w:val="20"/>
                <w:szCs w:val="20"/>
                <w:color w:val="auto"/>
              </w:rPr>
            </w:pPr>
            <w:r>
              <w:rPr>
                <w:rFonts w:ascii="Arial" w:cs="Arial" w:eastAsia="Arial" w:hAnsi="Arial"/>
                <w:sz w:val="12"/>
                <w:szCs w:val="12"/>
                <w:color w:val="auto"/>
              </w:rPr>
              <w:t>EXHIBIT</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NUMBER</w:t>
            </w:r>
          </w:p>
        </w:tc>
        <w:tc>
          <w:tcPr>
            <w:tcW w:w="28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gridSpan w:val="5"/>
          </w:tcPr>
          <w:p>
            <w:pPr>
              <w:spacing w:after="0"/>
              <w:rPr>
                <w:sz w:val="20"/>
                <w:szCs w:val="20"/>
                <w:color w:val="auto"/>
              </w:rPr>
            </w:pPr>
            <w:r>
              <w:rPr>
                <w:rFonts w:ascii="Arial" w:cs="Arial" w:eastAsia="Arial" w:hAnsi="Arial"/>
                <w:sz w:val="12"/>
                <w:szCs w:val="12"/>
                <w:color w:val="auto"/>
              </w:rPr>
              <w:t>DESCRIPTION</w:t>
            </w:r>
          </w:p>
        </w:tc>
        <w:tc>
          <w:tcPr>
            <w:tcW w:w="0" w:type="dxa"/>
            <w:vAlign w:val="bottom"/>
          </w:tcPr>
          <w:p>
            <w:pPr>
              <w:spacing w:after="0"/>
              <w:rPr>
                <w:sz w:val="1"/>
                <w:szCs w:val="1"/>
                <w:color w:val="auto"/>
              </w:rPr>
            </w:pPr>
          </w:p>
        </w:tc>
      </w:tr>
      <w:tr>
        <w:trPr>
          <w:trHeight w:val="160"/>
        </w:trPr>
        <w:tc>
          <w:tcPr>
            <w:tcW w:w="640" w:type="dxa"/>
            <w:vAlign w:val="bottom"/>
          </w:tcPr>
          <w:p>
            <w:pPr>
              <w:ind w:left="20"/>
              <w:spacing w:after="0"/>
              <w:rPr>
                <w:sz w:val="20"/>
                <w:szCs w:val="20"/>
                <w:color w:val="auto"/>
              </w:rPr>
            </w:pPr>
            <w:r>
              <w:rPr>
                <w:rFonts w:ascii="Arial" w:cs="Arial" w:eastAsia="Arial" w:hAnsi="Arial"/>
                <w:sz w:val="12"/>
                <w:szCs w:val="12"/>
                <w:color w:val="auto"/>
              </w:rPr>
              <w:t>99.1</w:t>
            </w:r>
          </w:p>
        </w:tc>
        <w:tc>
          <w:tcPr>
            <w:tcW w:w="280" w:type="dxa"/>
            <w:vAlign w:val="bottom"/>
          </w:tcPr>
          <w:p>
            <w:pPr>
              <w:spacing w:after="0"/>
              <w:rPr>
                <w:sz w:val="13"/>
                <w:szCs w:val="13"/>
                <w:color w:val="auto"/>
              </w:rPr>
            </w:pPr>
          </w:p>
        </w:tc>
        <w:tc>
          <w:tcPr>
            <w:tcW w:w="5560" w:type="dxa"/>
            <w:vAlign w:val="bottom"/>
            <w:gridSpan w:val="5"/>
            <w:vMerge w:val="restart"/>
          </w:tcPr>
          <w:p>
            <w:pPr>
              <w:spacing w:after="0"/>
              <w:rPr>
                <w:rFonts w:ascii="Arial" w:cs="Arial" w:eastAsia="Arial" w:hAnsi="Arial"/>
                <w:sz w:val="12"/>
                <w:szCs w:val="12"/>
                <w:color w:val="0000FF"/>
                <w:w w:val="95"/>
              </w:rPr>
            </w:pPr>
            <w:hyperlink w:anchor="page3">
              <w:r>
                <w:rPr>
                  <w:rFonts w:ascii="Arial" w:cs="Arial" w:eastAsia="Arial" w:hAnsi="Arial"/>
                  <w:sz w:val="12"/>
                  <w:szCs w:val="12"/>
                  <w:color w:val="0000FF"/>
                  <w:w w:val="95"/>
                </w:rPr>
                <w:t>Press Release of Brady Corporation, dated February 20, 2020, relating to second quarter fiscal 2020 financial</w:t>
              </w:r>
            </w:hyperlink>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5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40" w:type="dxa"/>
            <w:vAlign w:val="bottom"/>
            <w:tcBorders>
              <w:top w:val="single" w:sz="8" w:color="0000FF"/>
            </w:tcBorders>
            <w:gridSpan w:val="3"/>
          </w:tcPr>
          <w:p>
            <w:pPr>
              <w:spacing w:after="0" w:line="124" w:lineRule="exact"/>
              <w:rPr>
                <w:rFonts w:ascii="Arial" w:cs="Arial" w:eastAsia="Arial" w:hAnsi="Arial"/>
                <w:sz w:val="12"/>
                <w:szCs w:val="12"/>
                <w:color w:val="0000FF"/>
              </w:rPr>
            </w:pPr>
            <w:hyperlink w:anchor="page3">
              <w:r>
                <w:rPr>
                  <w:rFonts w:ascii="Arial" w:cs="Arial" w:eastAsia="Arial" w:hAnsi="Arial"/>
                  <w:sz w:val="12"/>
                  <w:szCs w:val="12"/>
                  <w:color w:val="0000FF"/>
                </w:rPr>
                <w:t>results.</w:t>
              </w:r>
            </w:hyperlink>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0" w:type="dxa"/>
            <w:vAlign w:val="bottom"/>
          </w:tcPr>
          <w:p>
            <w:pPr>
              <w:ind w:left="20"/>
              <w:spacing w:after="0"/>
              <w:rPr>
                <w:sz w:val="20"/>
                <w:szCs w:val="20"/>
                <w:color w:val="auto"/>
              </w:rPr>
            </w:pPr>
            <w:r>
              <w:rPr>
                <w:rFonts w:ascii="Arial" w:cs="Arial" w:eastAsia="Arial" w:hAnsi="Arial"/>
                <w:sz w:val="12"/>
                <w:szCs w:val="12"/>
                <w:color w:val="auto"/>
              </w:rPr>
              <w:t>99.2</w:t>
            </w:r>
          </w:p>
        </w:tc>
        <w:tc>
          <w:tcPr>
            <w:tcW w:w="280" w:type="dxa"/>
            <w:vAlign w:val="bottom"/>
          </w:tcPr>
          <w:p>
            <w:pPr>
              <w:spacing w:after="0"/>
              <w:rPr>
                <w:sz w:val="18"/>
                <w:szCs w:val="18"/>
                <w:color w:val="auto"/>
              </w:rPr>
            </w:pPr>
          </w:p>
        </w:tc>
        <w:tc>
          <w:tcPr>
            <w:tcW w:w="5320" w:type="dxa"/>
            <w:vAlign w:val="bottom"/>
            <w:tcBorders>
              <w:bottom w:val="single" w:sz="8" w:color="0000FF"/>
            </w:tcBorders>
            <w:gridSpan w:val="4"/>
          </w:tcPr>
          <w:p>
            <w:pPr>
              <w:spacing w:after="0"/>
              <w:rPr>
                <w:rFonts w:ascii="Arial" w:cs="Arial" w:eastAsia="Arial" w:hAnsi="Arial"/>
                <w:sz w:val="12"/>
                <w:szCs w:val="12"/>
                <w:color w:val="0000FF"/>
                <w:w w:val="91"/>
              </w:rPr>
            </w:pPr>
            <w:hyperlink w:anchor="page10">
              <w:r>
                <w:rPr>
                  <w:rFonts w:ascii="Arial" w:cs="Arial" w:eastAsia="Arial" w:hAnsi="Arial"/>
                  <w:sz w:val="12"/>
                  <w:szCs w:val="12"/>
                  <w:color w:val="0000FF"/>
                  <w:w w:val="91"/>
                </w:rPr>
                <w:t>Informational slides provided by Brady Corporation, dated February 20, 2020, relating to second quarter fiscal</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560" w:type="dxa"/>
            <w:vAlign w:val="bottom"/>
            <w:gridSpan w:val="5"/>
          </w:tcPr>
          <w:p>
            <w:pPr>
              <w:spacing w:after="0" w:line="124" w:lineRule="exact"/>
              <w:rPr>
                <w:rFonts w:ascii="Arial" w:cs="Arial" w:eastAsia="Arial" w:hAnsi="Arial"/>
                <w:sz w:val="12"/>
                <w:szCs w:val="12"/>
                <w:color w:val="0000FF"/>
              </w:rPr>
            </w:pPr>
            <w:hyperlink w:anchor="page10">
              <w:r>
                <w:rPr>
                  <w:rFonts w:ascii="Arial" w:cs="Arial" w:eastAsia="Arial" w:hAnsi="Arial"/>
                  <w:sz w:val="12"/>
                  <w:szCs w:val="12"/>
                  <w:color w:val="0000FF"/>
                </w:rPr>
                <w:t>2020 financial results.</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0" w:type="dxa"/>
            <w:vAlign w:val="bottom"/>
          </w:tcPr>
          <w:p>
            <w:pPr>
              <w:ind w:left="20"/>
              <w:spacing w:after="0"/>
              <w:rPr>
                <w:sz w:val="20"/>
                <w:szCs w:val="20"/>
                <w:color w:val="auto"/>
              </w:rPr>
            </w:pPr>
            <w:r>
              <w:rPr>
                <w:rFonts w:ascii="Arial" w:cs="Arial" w:eastAsia="Arial" w:hAnsi="Arial"/>
                <w:sz w:val="12"/>
                <w:szCs w:val="12"/>
                <w:color w:val="auto"/>
              </w:rPr>
              <w:t>101</w:t>
            </w:r>
          </w:p>
        </w:tc>
        <w:tc>
          <w:tcPr>
            <w:tcW w:w="280" w:type="dxa"/>
            <w:vAlign w:val="bottom"/>
          </w:tcPr>
          <w:p>
            <w:pPr>
              <w:spacing w:after="0"/>
              <w:rPr>
                <w:sz w:val="16"/>
                <w:szCs w:val="16"/>
                <w:color w:val="auto"/>
              </w:rPr>
            </w:pPr>
          </w:p>
        </w:tc>
        <w:tc>
          <w:tcPr>
            <w:tcW w:w="5560" w:type="dxa"/>
            <w:vAlign w:val="bottom"/>
            <w:gridSpan w:val="5"/>
          </w:tcPr>
          <w:p>
            <w:pPr>
              <w:spacing w:after="0"/>
              <w:rPr>
                <w:sz w:val="20"/>
                <w:szCs w:val="20"/>
                <w:color w:val="auto"/>
              </w:rPr>
            </w:pPr>
            <w:r>
              <w:rPr>
                <w:rFonts w:ascii="Arial" w:cs="Arial" w:eastAsia="Arial" w:hAnsi="Arial"/>
                <w:sz w:val="12"/>
                <w:szCs w:val="12"/>
                <w:color w:val="auto"/>
              </w:rPr>
              <w:t>Cover Page Interactive Data File (embedded within Inline XBRL document).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SIGNATURE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BRADY CORPORATION</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 February 20, 2020</w:t>
      </w:r>
    </w:p>
    <w:p>
      <w:pPr>
        <w:spacing w:after="0" w:line="258"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20955</wp:posOffset>
            </wp:positionV>
            <wp:extent cx="35001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0120" cy="5715"/>
                    </a:xfrm>
                    <a:prstGeom prst="rect">
                      <a:avLst/>
                    </a:prstGeom>
                    <a:noFill/>
                  </pic:spPr>
                </pic:pic>
              </a:graphicData>
            </a:graphic>
          </wp:anchor>
        </w:drawing>
      </w:r>
    </w:p>
    <w:p>
      <w:pPr>
        <w:spacing w:after="0" w:line="31"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Aaron J. Pearce</w:t>
      </w:r>
    </w:p>
    <w:p>
      <w:pPr>
        <w:spacing w:after="0" w:line="42"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1480"/>
          </w:cols>
          <w:pgMar w:left="220" w:top="527"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2020 Second Quarter Results and Increases its Fiscal 2020 EPS Guidance</w:t>
      </w:r>
    </w:p>
    <w:p>
      <w:pPr>
        <w:spacing w:after="0" w:line="251"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Income before income taxes increased 15.4 percent to $42.4 million in the second quarter of fiscal 2020 compared to $36.7 million in the same quarter of the prior year.</w:t>
      </w:r>
    </w:p>
    <w:p>
      <w:pPr>
        <w:spacing w:after="0" w:line="75"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Diluted EPS increased 12.7 percent to $0.62 in the second quarter of fiscal 2020 compared to $0.55 in the same quarter of the prior year.</w:t>
      </w:r>
    </w:p>
    <w:p>
      <w:pPr>
        <w:spacing w:after="0" w:line="75"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Sales for the quarter declined 2.0 percent. Organic sales declined 1.2 percent and the impact of foreign currency translation decreased sales by 0.8 percent.</w:t>
      </w:r>
    </w:p>
    <w:p>
      <w:pPr>
        <w:spacing w:after="0" w:line="75"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Diluted EPS guidance for the full year ending July 31, 2020 was increased to a range of $2.55 to $2.65 from the previous range of $2.50 to $2.60.</w:t>
      </w:r>
    </w:p>
    <w:p>
      <w:pPr>
        <w:spacing w:after="0" w:line="283" w:lineRule="exact"/>
        <w:rPr>
          <w:sz w:val="20"/>
          <w:szCs w:val="20"/>
          <w:color w:val="auto"/>
        </w:rPr>
      </w:pPr>
    </w:p>
    <w:p>
      <w:pPr>
        <w:jc w:val="both"/>
        <w:ind w:right="20"/>
        <w:spacing w:after="0" w:line="387" w:lineRule="auto"/>
        <w:rPr>
          <w:sz w:val="20"/>
          <w:szCs w:val="20"/>
          <w:color w:val="auto"/>
        </w:rPr>
      </w:pPr>
      <w:r>
        <w:rPr>
          <w:rFonts w:ascii="Arial" w:cs="Arial" w:eastAsia="Arial" w:hAnsi="Arial"/>
          <w:sz w:val="13"/>
          <w:szCs w:val="13"/>
          <w:color w:val="auto"/>
        </w:rPr>
        <w:t>MILWAUKEE (February 20, 2020) -- Brady Corporation (NYSE: BRC) (“Brady” or “Company”), a world leader in identification solutions, today reported its financial results for its fiscal 2020 second quarter ended January 31, 2020.</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January 31, 2020 Financial Results: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Income before income taxes increased 15.4 percent to $42.4 million for the quarter ended January 31, 2020, compared to $36.7 million in the same quarter last year.</w:t>
      </w:r>
    </w:p>
    <w:p>
      <w:pPr>
        <w:spacing w:after="0" w:line="76" w:lineRule="exact"/>
        <w:rPr>
          <w:sz w:val="20"/>
          <w:szCs w:val="20"/>
          <w:color w:val="auto"/>
        </w:rPr>
      </w:pPr>
    </w:p>
    <w:p>
      <w:pPr>
        <w:jc w:val="both"/>
        <w:ind w:firstLine="432"/>
        <w:spacing w:after="0" w:line="361" w:lineRule="auto"/>
        <w:rPr>
          <w:sz w:val="20"/>
          <w:szCs w:val="20"/>
          <w:color w:val="auto"/>
        </w:rPr>
      </w:pPr>
      <w:r>
        <w:rPr>
          <w:rFonts w:ascii="Arial" w:cs="Arial" w:eastAsia="Arial" w:hAnsi="Arial"/>
          <w:sz w:val="13"/>
          <w:szCs w:val="13"/>
          <w:color w:val="auto"/>
        </w:rPr>
        <w:t>Net income for the quarter ended January 31, 2020 increased 14.8 percent to $33.6 million compared to $29.2 million in the same quarter last year. Earnings per diluted Class A Nonvoting Common Share were $0.62 for the second quarter of fiscal 2020, compared to $0.55 in the same quarter last year.</w:t>
      </w:r>
    </w:p>
    <w:p>
      <w:pPr>
        <w:spacing w:after="0" w:line="1" w:lineRule="exact"/>
        <w:rPr>
          <w:sz w:val="20"/>
          <w:szCs w:val="20"/>
          <w:color w:val="auto"/>
        </w:rPr>
      </w:pPr>
    </w:p>
    <w:p>
      <w:pPr>
        <w:jc w:val="both"/>
        <w:ind w:firstLine="432"/>
        <w:spacing w:after="0" w:line="374" w:lineRule="auto"/>
        <w:rPr>
          <w:sz w:val="20"/>
          <w:szCs w:val="20"/>
          <w:color w:val="auto"/>
        </w:rPr>
      </w:pPr>
      <w:r>
        <w:rPr>
          <w:rFonts w:ascii="Arial" w:cs="Arial" w:eastAsia="Arial" w:hAnsi="Arial"/>
          <w:sz w:val="13"/>
          <w:szCs w:val="13"/>
          <w:color w:val="auto"/>
        </w:rPr>
        <w:t>Sales for the quarter ended January 31, 2020 declined 2.0 percent, which consisted of an organic sales decline of 1.2 percent and a decrease of 0.8 percent from foreign currency translation. Sales for the quarter ended January 31, 2020 were $276.7 million compared to $282.4 million in the same quarter last year. By segment, sales declined 1.8 percent in Identification Solutions and declined 2.6 percent in Workplace Safety, which consisted of organic sales declines of 1.3 percent in Identification Solutions and 1.0 percent in Workplace Safety.</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Six-Month Period Ended January 31, 2020 Financial Results: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Income before income taxes increased 9.6 percent to $83.9 million for the six-month period ended January 31, 2020, compared to $76.6 million for the six-month period ended January 31, 2019.</w:t>
      </w:r>
    </w:p>
    <w:p>
      <w:pPr>
        <w:spacing w:after="0" w:line="87" w:lineRule="exact"/>
        <w:rPr>
          <w:sz w:val="20"/>
          <w:szCs w:val="20"/>
          <w:color w:val="auto"/>
        </w:rPr>
      </w:pPr>
    </w:p>
    <w:p>
      <w:pPr>
        <w:jc w:val="both"/>
        <w:ind w:firstLine="432"/>
        <w:spacing w:after="0" w:line="387" w:lineRule="auto"/>
        <w:rPr>
          <w:sz w:val="20"/>
          <w:szCs w:val="20"/>
          <w:color w:val="auto"/>
        </w:rPr>
      </w:pPr>
      <w:r>
        <w:rPr>
          <w:rFonts w:ascii="Arial" w:cs="Arial" w:eastAsia="Arial" w:hAnsi="Arial"/>
          <w:sz w:val="13"/>
          <w:szCs w:val="13"/>
          <w:color w:val="auto"/>
        </w:rPr>
        <w:t>Net income for the six-month period ended January 31, 2020 increased 18.7 percent to $71.1 million compared to $59.9 million in the same period last year. Earnings per diluted Class A Nonvoting Common Share were $1.32 for the six-month period ended January 31, 2020 compared to $1.13 in the same six-month period last year. Net income</w:t>
      </w:r>
    </w:p>
    <w:p>
      <w:pPr>
        <w:sectPr>
          <w:pgSz w:w="11900" w:h="16838" w:orient="portrait"/>
          <w:cols w:equalWidth="0" w:num="1">
            <w:col w:w="11480"/>
          </w:cols>
          <w:pgMar w:left="220" w:top="413" w:right="199" w:bottom="1440" w:gutter="0" w:footer="0" w:header="0"/>
        </w:sectPr>
      </w:pPr>
    </w:p>
    <w:bookmarkStart w:id="3" w:name="page4"/>
    <w:bookmarkEnd w:id="3"/>
    <w:p>
      <w:pPr>
        <w:jc w:val="both"/>
        <w:spacing w:after="0" w:line="361" w:lineRule="auto"/>
        <w:rPr>
          <w:sz w:val="20"/>
          <w:szCs w:val="20"/>
          <w:color w:val="auto"/>
        </w:rPr>
      </w:pPr>
      <w:r>
        <w:rPr>
          <w:rFonts w:ascii="Arial" w:cs="Arial" w:eastAsia="Arial" w:hAnsi="Arial"/>
          <w:sz w:val="13"/>
          <w:szCs w:val="13"/>
          <w:color w:val="auto"/>
        </w:rPr>
        <w:t>and earnings per share during the six-month period ended January 31, 2020 were impacted by a reduced income tax rate of 15.3 percent primarily due to a favorable tax audit settlement and tax benefits from equity-based compensation in the first quarter of fiscal 2020.</w:t>
      </w:r>
    </w:p>
    <w:p>
      <w:pPr>
        <w:spacing w:after="0" w:line="1" w:lineRule="exact"/>
        <w:rPr>
          <w:sz w:val="20"/>
          <w:szCs w:val="20"/>
          <w:color w:val="auto"/>
        </w:rPr>
      </w:pPr>
    </w:p>
    <w:p>
      <w:pPr>
        <w:jc w:val="both"/>
        <w:ind w:firstLine="432"/>
        <w:spacing w:after="0" w:line="374" w:lineRule="auto"/>
        <w:rPr>
          <w:sz w:val="20"/>
          <w:szCs w:val="20"/>
          <w:color w:val="auto"/>
        </w:rPr>
      </w:pPr>
      <w:r>
        <w:rPr>
          <w:rFonts w:ascii="Arial" w:cs="Arial" w:eastAsia="Arial" w:hAnsi="Arial"/>
          <w:sz w:val="13"/>
          <w:szCs w:val="13"/>
          <w:color w:val="auto"/>
        </w:rPr>
        <w:t>Sales for the six-month period ended January 31, 2020 declined 2.1 percent, which consisted of an organic sales decline of 0.8 percent and a decrease of 1.3 percent from foreign currency translation. Sales for the six-month period ended January 31, 2020 were $563.6 million compared to $575.6 million in the same period last year. By segment, sales declined 1.6 percent in Identification Solutions and declined 3.4 percent in Workplace Safety, which consisted of organic sales declines of 0.7 percent in Identification Solutions and 0.9 percent in Workplace Safety.</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45" w:lineRule="exact"/>
        <w:rPr>
          <w:sz w:val="20"/>
          <w:szCs w:val="20"/>
          <w:color w:val="auto"/>
        </w:rPr>
      </w:pPr>
    </w:p>
    <w:p>
      <w:pPr>
        <w:jc w:val="both"/>
        <w:ind w:firstLine="432"/>
        <w:spacing w:after="0" w:line="356" w:lineRule="auto"/>
        <w:rPr>
          <w:sz w:val="20"/>
          <w:szCs w:val="20"/>
          <w:color w:val="auto"/>
        </w:rPr>
      </w:pPr>
      <w:r>
        <w:rPr>
          <w:rFonts w:ascii="Arial" w:cs="Arial" w:eastAsia="Arial" w:hAnsi="Arial"/>
          <w:sz w:val="13"/>
          <w:szCs w:val="13"/>
          <w:color w:val="auto"/>
        </w:rPr>
        <w:t>“This quarter marks our 18</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consecutive quarter of year-on-year pre-tax income growth,” said Brady’s President and Chief Executive Officer, J. Michael Nauman. “Global demand for industrial products has declined in many markets which led to a modest decrease in organic sales this quarter. Our investments in developing innovative new products and our relentless focus on executing sustainable efficiency gains throughout our manufacturing facilities and SG&amp;A structure enabled Brady to once again post solid financial results in a challenging industrial economic environment. Our investments in new products and our focus on efficiency gains has enabled us to deliver improved financial results over the last four years and positions us well for strong revenue and earnings growth as our end markets recover from the recent macro-economic weakness.”</w:t>
      </w:r>
    </w:p>
    <w:p>
      <w:pPr>
        <w:jc w:val="both"/>
        <w:ind w:firstLine="432"/>
        <w:spacing w:after="0" w:line="374" w:lineRule="auto"/>
        <w:rPr>
          <w:sz w:val="20"/>
          <w:szCs w:val="20"/>
          <w:color w:val="auto"/>
        </w:rPr>
      </w:pPr>
      <w:r>
        <w:rPr>
          <w:rFonts w:ascii="Arial" w:cs="Arial" w:eastAsia="Arial" w:hAnsi="Arial"/>
          <w:sz w:val="13"/>
          <w:szCs w:val="13"/>
          <w:color w:val="auto"/>
        </w:rPr>
        <w:t>“In the first half of this year we increased our gross profit margin, decreased selling, general and administrative expenses, increased earnings, and increased net cash provided by operating activities all while continuing to invest in our future. This solid financial performance combined with a balance sheet that provides significant flexibility for future investments and to return funds to our shareholders, puts Brady in a strong financial position,” said Brady’s Chief Financial Officer, Aaron Pearce.</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2020 Guidance:</w:t>
      </w:r>
    </w:p>
    <w:p>
      <w:pPr>
        <w:spacing w:after="0" w:line="80" w:lineRule="exact"/>
        <w:rPr>
          <w:sz w:val="20"/>
          <w:szCs w:val="20"/>
          <w:color w:val="auto"/>
        </w:rPr>
      </w:pPr>
    </w:p>
    <w:p>
      <w:pPr>
        <w:jc w:val="both"/>
        <w:ind w:firstLine="432"/>
        <w:spacing w:after="0" w:line="370" w:lineRule="auto"/>
        <w:rPr>
          <w:sz w:val="20"/>
          <w:szCs w:val="20"/>
          <w:color w:val="auto"/>
        </w:rPr>
      </w:pPr>
      <w:r>
        <w:rPr>
          <w:rFonts w:ascii="Arial" w:cs="Arial" w:eastAsia="Arial" w:hAnsi="Arial"/>
          <w:sz w:val="13"/>
          <w:szCs w:val="13"/>
          <w:color w:val="auto"/>
        </w:rPr>
        <w:t>The Company is increasing its full year fiscal 2020 earnings per diluted Class A Nonvoting Common Share guidance from its previous range of $2.50 to $2.60 to a range of $2.55 to $2.65. Included in this guidance is organic sales growth of approximately flat to slightly positive, a full-year income tax rate of approximately 20 percent, and depreciation and amortization of approximately $25 million. The Company expects to continue capturing efficiency gains in its manufacturing facilities and in selling, general and administrative expenses. Capital expenditures are expected to approximate $35 million during the year ending July 31, 2020. This guidance is based upon foreign currency exchange rates as of January 31, 2020.</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2020 second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ectPr>
          <w:pgSz w:w="11900" w:h="16838" w:orient="portrait"/>
          <w:cols w:equalWidth="0" w:num="1">
            <w:col w:w="11480"/>
          </w:cols>
          <w:pgMar w:left="220" w:top="453" w:right="199" w:bottom="1440" w:gutter="0" w:footer="0" w:header="0"/>
        </w:sectPr>
      </w:pPr>
    </w:p>
    <w:bookmarkStart w:id="4" w:name="page5"/>
    <w:bookmarkEnd w:id="4"/>
    <w:p>
      <w:pPr>
        <w:jc w:val="both"/>
        <w:ind w:firstLine="432"/>
        <w:spacing w:after="0" w:line="367"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2019, employed approximately 6,100 people in its worldwide businesses. Brady’s fiscal 2019 sales were approximately $1.16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www.bradycorp.com</w:t>
      </w:r>
      <w:r>
        <w:rPr>
          <w:rFonts w:ascii="Arial" w:cs="Arial" w:eastAsia="Arial" w:hAnsi="Arial"/>
          <w:sz w:val="13"/>
          <w:szCs w:val="13"/>
          <w:color w:val="0000FF"/>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8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15" w:lineRule="exact"/>
        <w:rPr>
          <w:sz w:val="20"/>
          <w:szCs w:val="20"/>
          <w:color w:val="auto"/>
        </w:rPr>
      </w:pPr>
    </w:p>
    <w:p>
      <w:pPr>
        <w:ind w:right="40"/>
        <w:spacing w:after="0" w:line="312" w:lineRule="auto"/>
        <w:rPr>
          <w:sz w:val="20"/>
          <w:szCs w:val="20"/>
          <w:color w:val="auto"/>
        </w:rPr>
      </w:pPr>
      <w:r>
        <w:rPr>
          <w:rFonts w:ascii="Arial" w:cs="Arial" w:eastAsia="Arial" w:hAnsi="Arial"/>
          <w:sz w:val="10"/>
          <w:szCs w:val="10"/>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raw material and other cost increases;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the impact of the Tax Reform Act and any other changes in tax legislation and tax rates; potential write-offs of Brady’s substantial intangible assets;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2019.</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80"/>
          </w:cols>
          <w:pgMar w:left="220" w:top="453" w:right="199" w:bottom="1440" w:gutter="0" w:footer="0" w:header="0"/>
        </w:sectPr>
      </w:pPr>
    </w:p>
    <w:bookmarkStart w:id="5" w:name="page6"/>
    <w:bookmarkEnd w:id="5"/>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5"/>
          </w:tcPr>
          <w:p>
            <w:pPr>
              <w:ind w:left="20"/>
              <w:spacing w:after="0"/>
              <w:rPr>
                <w:sz w:val="20"/>
                <w:szCs w:val="20"/>
                <w:color w:val="auto"/>
              </w:rPr>
            </w:pPr>
            <w:r>
              <w:rPr>
                <w:rFonts w:ascii="Arial" w:cs="Arial" w:eastAsia="Arial" w:hAnsi="Arial"/>
                <w:sz w:val="11"/>
                <w:szCs w:val="11"/>
                <w:color w:val="auto"/>
                <w:w w:val="97"/>
              </w:rPr>
              <w:t>Three months ended January 31,</w:t>
            </w:r>
          </w:p>
        </w:tc>
        <w:tc>
          <w:tcPr>
            <w:tcW w:w="120" w:type="dxa"/>
            <w:vAlign w:val="bottom"/>
          </w:tcPr>
          <w:p>
            <w:pPr>
              <w:spacing w:after="0"/>
              <w:rPr>
                <w:sz w:val="11"/>
                <w:szCs w:val="11"/>
                <w:color w:val="auto"/>
              </w:rPr>
            </w:pPr>
          </w:p>
        </w:tc>
        <w:tc>
          <w:tcPr>
            <w:tcW w:w="1540" w:type="dxa"/>
            <w:vAlign w:val="bottom"/>
            <w:gridSpan w:val="4"/>
          </w:tcPr>
          <w:p>
            <w:pPr>
              <w:jc w:val="right"/>
              <w:ind w:right="126"/>
              <w:spacing w:after="0"/>
              <w:rPr>
                <w:sz w:val="20"/>
                <w:szCs w:val="20"/>
                <w:color w:val="auto"/>
              </w:rPr>
            </w:pPr>
            <w:r>
              <w:rPr>
                <w:rFonts w:ascii="Arial" w:cs="Arial" w:eastAsia="Arial" w:hAnsi="Arial"/>
                <w:sz w:val="11"/>
                <w:szCs w:val="11"/>
                <w:color w:val="auto"/>
                <w:w w:val="90"/>
              </w:rPr>
              <w:t>Six months ended January 31,</w:t>
            </w:r>
          </w:p>
        </w:tc>
      </w:tr>
      <w:tr>
        <w:trPr>
          <w:trHeight w:val="22"/>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26"/>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46"/>
              <w:spacing w:after="0"/>
              <w:rPr>
                <w:sz w:val="20"/>
                <w:szCs w:val="20"/>
                <w:color w:val="auto"/>
              </w:rPr>
            </w:pPr>
            <w:r>
              <w:rPr>
                <w:rFonts w:ascii="Arial" w:cs="Arial" w:eastAsia="Arial" w:hAnsi="Arial"/>
                <w:sz w:val="11"/>
                <w:szCs w:val="11"/>
                <w:color w:val="auto"/>
              </w:rPr>
              <w:t>2020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Arial" w:cs="Arial" w:eastAsia="Arial" w:hAnsi="Arial"/>
                <w:sz w:val="11"/>
                <w:szCs w:val="11"/>
                <w:color w:val="auto"/>
              </w:rPr>
              <w:t>2019</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276,665</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282,426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563,612</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575,622</w:t>
            </w:r>
          </w:p>
        </w:tc>
      </w:tr>
      <w:tr>
        <w:trPr>
          <w:trHeight w:val="158"/>
        </w:trPr>
        <w:tc>
          <w:tcPr>
            <w:tcW w:w="3100" w:type="dxa"/>
            <w:vAlign w:val="bottom"/>
          </w:tcPr>
          <w:p>
            <w:pPr>
              <w:ind w:left="20"/>
              <w:spacing w:after="0"/>
              <w:rPr>
                <w:sz w:val="20"/>
                <w:szCs w:val="20"/>
                <w:color w:val="auto"/>
              </w:rPr>
            </w:pPr>
            <w:r>
              <w:rPr>
                <w:rFonts w:ascii="Arial" w:cs="Arial" w:eastAsia="Arial" w:hAnsi="Arial"/>
                <w:sz w:val="11"/>
                <w:szCs w:val="11"/>
                <w:color w:val="auto"/>
              </w:rPr>
              <w:t>Cost of goods sold</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137,538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142,616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283,080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289,273</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Gross margin</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139,127</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139,810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280,532</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286,349</w:t>
            </w:r>
          </w:p>
        </w:tc>
      </w:tr>
      <w:tr>
        <w:trPr>
          <w:trHeight w:val="158"/>
        </w:trPr>
        <w:tc>
          <w:tcPr>
            <w:tcW w:w="31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Research and development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10,517</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11,074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21,484</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22,400</w:t>
            </w: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Selling, general and administrative</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87,366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92,706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176,913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187,297</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operating expenses</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97,883</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103,780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198,397</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209,697</w:t>
            </w:r>
          </w:p>
        </w:tc>
      </w:tr>
      <w:tr>
        <w:trPr>
          <w:trHeight w:val="180"/>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income</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41,244</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36,030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82,135</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76,652</w:t>
            </w:r>
          </w:p>
        </w:tc>
      </w:tr>
      <w:tr>
        <w:trPr>
          <w:trHeight w:val="180"/>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income (expense):</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Investment and other income</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1,760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3,140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1,360</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Interest expense</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(1,348)</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(1,429)</w:t>
            </w:r>
          </w:p>
        </w:tc>
      </w:tr>
      <w:tr>
        <w:trPr>
          <w:trHeight w:val="169"/>
        </w:trPr>
        <w:tc>
          <w:tcPr>
            <w:tcW w:w="3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before income taxes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42,357</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36,690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83,927</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76,583</w:t>
            </w:r>
          </w:p>
        </w:tc>
      </w:tr>
      <w:tr>
        <w:trPr>
          <w:trHeight w:val="180"/>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8,804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7,463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12,876</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16,719</w:t>
            </w:r>
          </w:p>
        </w:tc>
      </w:tr>
      <w:tr>
        <w:trPr>
          <w:trHeight w:val="169"/>
        </w:trPr>
        <w:tc>
          <w:tcPr>
            <w:tcW w:w="3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r>
      <w:tr>
        <w:trPr>
          <w:trHeight w:val="17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33,553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29,227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71,051</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59,864</w:t>
            </w:r>
          </w:p>
        </w:tc>
      </w:tr>
      <w:tr>
        <w:trPr>
          <w:trHeight w:val="180"/>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per Class A Nonvoting Common Share:</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0.63</w:t>
            </w:r>
          </w:p>
        </w:tc>
        <w:tc>
          <w:tcPr>
            <w:tcW w:w="8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0.56</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1.33</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1.14</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0.62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0.55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1.32</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w:t>
            </w: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Dividends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0.22</w:t>
            </w:r>
          </w:p>
        </w:tc>
        <w:tc>
          <w:tcPr>
            <w:tcW w:w="8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0.21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0.44</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0.43</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3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58"/>
        </w:trPr>
        <w:tc>
          <w:tcPr>
            <w:tcW w:w="3100" w:type="dxa"/>
            <w:vAlign w:val="bottom"/>
          </w:tcPr>
          <w:p>
            <w:pPr>
              <w:ind w:left="20"/>
              <w:spacing w:after="0"/>
              <w:rPr>
                <w:sz w:val="20"/>
                <w:szCs w:val="20"/>
                <w:color w:val="auto"/>
              </w:rPr>
            </w:pPr>
            <w:r>
              <w:rPr>
                <w:rFonts w:ascii="Arial" w:cs="Arial" w:eastAsia="Arial" w:hAnsi="Arial"/>
                <w:sz w:val="11"/>
                <w:szCs w:val="11"/>
                <w:color w:val="auto"/>
              </w:rPr>
              <w:t>Net income per Class B Voting Common Share:</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0.63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0.56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1.32</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w:t>
            </w: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Diluted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0.62</w:t>
            </w:r>
          </w:p>
        </w:tc>
        <w:tc>
          <w:tcPr>
            <w:tcW w:w="8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0.55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1.31</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1.11</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Dividends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0.22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0.42</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0.41</w:t>
            </w:r>
          </w:p>
        </w:tc>
      </w:tr>
      <w:tr>
        <w:trPr>
          <w:trHeight w:val="180"/>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Weighted average common shares outstanding:</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Basic</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53,320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52,532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53,232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52,366</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58"/>
        </w:trPr>
        <w:tc>
          <w:tcPr>
            <w:tcW w:w="31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Diluted</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53,827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53,206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53,781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53,082</w:t>
            </w:r>
          </w:p>
        </w:tc>
      </w:tr>
      <w:tr>
        <w:trPr>
          <w:trHeight w:val="22"/>
        </w:trPr>
        <w:tc>
          <w:tcPr>
            <w:tcW w:w="3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bl>
    <w:p>
      <w:pPr>
        <w:sectPr>
          <w:pgSz w:w="11900" w:h="16838" w:orient="portrait"/>
          <w:cols w:equalWidth="0" w:num="1">
            <w:col w:w="10239"/>
          </w:cols>
          <w:pgMar w:left="220" w:top="418" w:right="1440"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1"/>
                <w:szCs w:val="11"/>
                <w:color w:val="auto"/>
                <w:w w:val="87"/>
              </w:rPr>
              <w:t>January 31, 2020</w:t>
            </w:r>
          </w:p>
        </w:tc>
        <w:tc>
          <w:tcPr>
            <w:tcW w:w="120" w:type="dxa"/>
            <w:vAlign w:val="bottom"/>
          </w:tcPr>
          <w:p>
            <w:pPr>
              <w:spacing w:after="0"/>
              <w:rPr>
                <w:sz w:val="11"/>
                <w:szCs w:val="11"/>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w w:val="91"/>
              </w:rPr>
              <w:t>July 31, 2019</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7"/>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color w:val="auto"/>
                <w:w w:val="90"/>
              </w:rPr>
              <w:t>(Unaudited)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540" w:type="dxa"/>
            <w:vAlign w:val="bottom"/>
            <w:gridSpan w:val="3"/>
            <w:shd w:val="clear" w:color="auto" w:fill="CCEEFF"/>
          </w:tcPr>
          <w:p>
            <w:pPr>
              <w:jc w:val="center"/>
              <w:ind w:right="2140"/>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8"/>
        </w:trPr>
        <w:tc>
          <w:tcPr>
            <w:tcW w:w="2120" w:type="dxa"/>
            <w:vAlign w:val="bottom"/>
            <w:tcBorders>
              <w:top w:val="single" w:sz="8" w:color="CCEEFF"/>
            </w:tcBorders>
            <w:gridSpan w:val="2"/>
          </w:tcPr>
          <w:p>
            <w:pPr>
              <w:ind w:left="20"/>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3"/>
                <w:szCs w:val="13"/>
                <w:color w:val="auto"/>
              </w:rPr>
            </w:pPr>
          </w:p>
        </w:tc>
        <w:tc>
          <w:tcPr>
            <w:tcW w:w="2140" w:type="dxa"/>
            <w:vAlign w:val="bottom"/>
            <w:tcBorders>
              <w:top w:val="single" w:sz="8" w:color="CCEEFF"/>
            </w:tcBorders>
            <w:gridSpan w:val="2"/>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289,803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279,072</w:t>
            </w:r>
          </w:p>
        </w:tc>
      </w:tr>
      <w:tr>
        <w:trPr>
          <w:trHeight w:val="158"/>
        </w:trPr>
        <w:tc>
          <w:tcPr>
            <w:tcW w:w="4660" w:type="dxa"/>
            <w:vAlign w:val="bottom"/>
            <w:gridSpan w:val="5"/>
          </w:tcPr>
          <w:p>
            <w:pPr>
              <w:ind w:left="240"/>
              <w:spacing w:after="0"/>
              <w:rPr>
                <w:sz w:val="20"/>
                <w:szCs w:val="20"/>
                <w:color w:val="auto"/>
              </w:rPr>
            </w:pPr>
            <w:r>
              <w:rPr>
                <w:rFonts w:ascii="Arial" w:cs="Arial" w:eastAsia="Arial" w:hAnsi="Arial"/>
                <w:sz w:val="11"/>
                <w:szCs w:val="11"/>
                <w:color w:val="auto"/>
              </w:rPr>
              <w:t>Accounts receivable—net</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151,511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158,114</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1"/>
                <w:szCs w:val="11"/>
                <w:color w:val="auto"/>
              </w:rPr>
              <w:t>Inventories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120,788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120,037</w:t>
            </w:r>
          </w:p>
        </w:tc>
      </w:tr>
      <w:tr>
        <w:trPr>
          <w:trHeight w:val="158"/>
        </w:trPr>
        <w:tc>
          <w:tcPr>
            <w:tcW w:w="4660" w:type="dxa"/>
            <w:vAlign w:val="bottom"/>
            <w:gridSpan w:val="5"/>
          </w:tcPr>
          <w:p>
            <w:pPr>
              <w:ind w:left="240"/>
              <w:spacing w:after="0"/>
              <w:rPr>
                <w:sz w:val="20"/>
                <w:szCs w:val="20"/>
                <w:color w:val="auto"/>
              </w:rPr>
            </w:pPr>
            <w:r>
              <w:rPr>
                <w:rFonts w:ascii="Arial" w:cs="Arial" w:eastAsia="Arial" w:hAnsi="Arial"/>
                <w:sz w:val="11"/>
                <w:szCs w:val="11"/>
                <w:color w:val="auto"/>
              </w:rPr>
              <w:t>Prepaid expenses and other current assets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18,889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16,056</w:t>
            </w: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0"/>
        </w:trPr>
        <w:tc>
          <w:tcPr>
            <w:tcW w:w="46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1"/>
                <w:szCs w:val="11"/>
                <w:color w:val="auto"/>
              </w:rPr>
              <w:t>Total current assets</w:t>
            </w: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580,991</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573,279</w:t>
            </w:r>
          </w:p>
        </w:tc>
      </w:tr>
      <w:tr>
        <w:trPr>
          <w:trHeight w:val="158"/>
        </w:trPr>
        <w:tc>
          <w:tcPr>
            <w:tcW w:w="4660" w:type="dxa"/>
            <w:vAlign w:val="bottom"/>
            <w:gridSpan w:val="5"/>
          </w:tcPr>
          <w:p>
            <w:pPr>
              <w:ind w:left="20"/>
              <w:spacing w:after="0"/>
              <w:rPr>
                <w:sz w:val="20"/>
                <w:szCs w:val="20"/>
                <w:color w:val="auto"/>
              </w:rPr>
            </w:pPr>
            <w:r>
              <w:rPr>
                <w:rFonts w:ascii="Arial" w:cs="Arial" w:eastAsia="Arial" w:hAnsi="Arial"/>
                <w:sz w:val="11"/>
                <w:szCs w:val="11"/>
                <w:color w:val="auto"/>
              </w:rPr>
              <w:t>Property, plant and equipment—net</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112,782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110,048</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410,455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410,987</w:t>
            </w:r>
          </w:p>
        </w:tc>
      </w:tr>
      <w:tr>
        <w:trPr>
          <w:trHeight w:val="158"/>
        </w:trPr>
        <w:tc>
          <w:tcPr>
            <w:tcW w:w="4660" w:type="dxa"/>
            <w:vAlign w:val="bottom"/>
            <w:gridSpan w:val="5"/>
          </w:tcPr>
          <w:p>
            <w:pPr>
              <w:ind w:left="20"/>
              <w:spacing w:after="0"/>
              <w:rPr>
                <w:sz w:val="20"/>
                <w:szCs w:val="20"/>
                <w:color w:val="auto"/>
              </w:rPr>
            </w:pPr>
            <w:r>
              <w:rPr>
                <w:rFonts w:ascii="Arial" w:cs="Arial" w:eastAsia="Arial" w:hAnsi="Arial"/>
                <w:sz w:val="11"/>
                <w:szCs w:val="11"/>
                <w:color w:val="auto"/>
              </w:rPr>
              <w:t>Other intangible assets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33,580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36,123</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color w:val="auto"/>
              </w:rPr>
              <w:t>Deferred income taxes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7,120</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7,298</w:t>
            </w:r>
          </w:p>
        </w:tc>
      </w:tr>
      <w:tr>
        <w:trPr>
          <w:trHeight w:val="158"/>
        </w:trPr>
        <w:tc>
          <w:tcPr>
            <w:tcW w:w="4660" w:type="dxa"/>
            <w:vAlign w:val="bottom"/>
            <w:gridSpan w:val="5"/>
          </w:tcPr>
          <w:p>
            <w:pPr>
              <w:ind w:left="20"/>
              <w:spacing w:after="0"/>
              <w:rPr>
                <w:sz w:val="20"/>
                <w:szCs w:val="20"/>
                <w:color w:val="auto"/>
              </w:rPr>
            </w:pPr>
            <w:r>
              <w:rPr>
                <w:rFonts w:ascii="Arial" w:cs="Arial" w:eastAsia="Arial" w:hAnsi="Arial"/>
                <w:sz w:val="11"/>
                <w:szCs w:val="11"/>
                <w:color w:val="auto"/>
              </w:rPr>
              <w:t>Operating lease assets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49,117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0"/>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21,753</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19,573</w:t>
            </w:r>
          </w:p>
        </w:tc>
      </w:tr>
      <w:tr>
        <w:trPr>
          <w:trHeight w:val="167"/>
        </w:trPr>
        <w:tc>
          <w:tcPr>
            <w:tcW w:w="466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color w:val="auto"/>
              </w:rPr>
              <w:t>Total</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1,215,798</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1,157,308</w:t>
            </w:r>
          </w:p>
        </w:tc>
      </w:tr>
      <w:tr>
        <w:trPr>
          <w:trHeight w:val="160"/>
        </w:trPr>
        <w:tc>
          <w:tcPr>
            <w:tcW w:w="1160" w:type="dxa"/>
            <w:vAlign w:val="bottom"/>
            <w:tcBorders>
              <w:bottom w:val="single" w:sz="8" w:color="CCEEFF"/>
            </w:tcBorders>
            <w:shd w:val="clear" w:color="auto" w:fill="CCEEFF"/>
          </w:tcPr>
          <w:p>
            <w:pPr>
              <w:spacing w:after="0"/>
              <w:rPr>
                <w:sz w:val="13"/>
                <w:szCs w:val="13"/>
                <w:color w:val="auto"/>
              </w:rPr>
            </w:pPr>
          </w:p>
        </w:tc>
        <w:tc>
          <w:tcPr>
            <w:tcW w:w="23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1"/>
                <w:szCs w:val="11"/>
                <w:b w:val="1"/>
                <w:bCs w:val="1"/>
                <w:color w:val="auto"/>
              </w:rPr>
              <w:t>LIABILITIES AND STOCKHOLDERS’ EQUITY</w:t>
            </w: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r>
      <w:tr>
        <w:trPr>
          <w:trHeight w:val="158"/>
        </w:trPr>
        <w:tc>
          <w:tcPr>
            <w:tcW w:w="4660" w:type="dxa"/>
            <w:vAlign w:val="bottom"/>
            <w:gridSpan w:val="5"/>
          </w:tcPr>
          <w:p>
            <w:pPr>
              <w:ind w:left="20"/>
              <w:spacing w:after="0"/>
              <w:rPr>
                <w:sz w:val="20"/>
                <w:szCs w:val="20"/>
                <w:color w:val="auto"/>
              </w:rPr>
            </w:pPr>
            <w:r>
              <w:rPr>
                <w:rFonts w:ascii="Arial" w:cs="Arial" w:eastAsia="Arial" w:hAnsi="Arial"/>
                <w:sz w:val="11"/>
                <w:szCs w:val="11"/>
                <w:color w:val="auto"/>
              </w:rPr>
              <w:t>Current liabilities: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1"/>
                <w:szCs w:val="11"/>
                <w:color w:val="auto"/>
              </w:rPr>
              <w:t>Accounts payable</w:t>
            </w:r>
          </w:p>
        </w:tc>
        <w:tc>
          <w:tcPr>
            <w:tcW w:w="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51,233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64,810</w:t>
            </w:r>
          </w:p>
        </w:tc>
      </w:tr>
      <w:tr>
        <w:trPr>
          <w:trHeight w:val="158"/>
        </w:trPr>
        <w:tc>
          <w:tcPr>
            <w:tcW w:w="4660" w:type="dxa"/>
            <w:vAlign w:val="bottom"/>
            <w:gridSpan w:val="5"/>
          </w:tcPr>
          <w:p>
            <w:pPr>
              <w:ind w:left="240"/>
              <w:spacing w:after="0"/>
              <w:rPr>
                <w:sz w:val="20"/>
                <w:szCs w:val="20"/>
                <w:color w:val="auto"/>
              </w:rPr>
            </w:pPr>
            <w:r>
              <w:rPr>
                <w:rFonts w:ascii="Arial" w:cs="Arial" w:eastAsia="Arial" w:hAnsi="Arial"/>
                <w:sz w:val="11"/>
                <w:szCs w:val="11"/>
                <w:color w:val="auto"/>
              </w:rPr>
              <w:t>Accrued compensation and benefits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38,561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62,509</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1"/>
                <w:szCs w:val="11"/>
                <w:color w:val="auto"/>
              </w:rPr>
              <w:t>Taxes, other than income taxes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7,703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8,107</w:t>
            </w:r>
          </w:p>
        </w:tc>
      </w:tr>
      <w:tr>
        <w:trPr>
          <w:trHeight w:val="158"/>
        </w:trPr>
        <w:tc>
          <w:tcPr>
            <w:tcW w:w="4660" w:type="dxa"/>
            <w:vAlign w:val="bottom"/>
            <w:gridSpan w:val="5"/>
          </w:tcPr>
          <w:p>
            <w:pPr>
              <w:ind w:left="240"/>
              <w:spacing w:after="0"/>
              <w:rPr>
                <w:sz w:val="20"/>
                <w:szCs w:val="20"/>
                <w:color w:val="auto"/>
              </w:rPr>
            </w:pPr>
            <w:r>
              <w:rPr>
                <w:rFonts w:ascii="Arial" w:cs="Arial" w:eastAsia="Arial" w:hAnsi="Arial"/>
                <w:sz w:val="11"/>
                <w:szCs w:val="11"/>
                <w:color w:val="auto"/>
              </w:rPr>
              <w:t>Accrued income taxes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6,075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6,557</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1"/>
                <w:szCs w:val="11"/>
                <w:color w:val="auto"/>
              </w:rPr>
              <w:t>Current operating lease liabilities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14,901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8"/>
        </w:trPr>
        <w:tc>
          <w:tcPr>
            <w:tcW w:w="4660" w:type="dxa"/>
            <w:vAlign w:val="bottom"/>
            <w:gridSpan w:val="5"/>
          </w:tcPr>
          <w:p>
            <w:pPr>
              <w:ind w:left="240"/>
              <w:spacing w:after="0"/>
              <w:rPr>
                <w:sz w:val="20"/>
                <w:szCs w:val="20"/>
                <w:color w:val="auto"/>
              </w:rPr>
            </w:pPr>
            <w:r>
              <w:rPr>
                <w:rFonts w:ascii="Arial" w:cs="Arial" w:eastAsia="Arial" w:hAnsi="Arial"/>
                <w:sz w:val="11"/>
                <w:szCs w:val="11"/>
                <w:color w:val="auto"/>
              </w:rPr>
              <w:t>Other current liabilities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48,590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49,796</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1"/>
                <w:szCs w:val="11"/>
                <w:color w:val="auto"/>
              </w:rPr>
              <w:t>Current maturities on long-term debt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49,627</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50,166</w:t>
            </w:r>
          </w:p>
        </w:tc>
      </w:tr>
      <w:tr>
        <w:trPr>
          <w:trHeight w:val="138"/>
        </w:trPr>
        <w:tc>
          <w:tcPr>
            <w:tcW w:w="4660" w:type="dxa"/>
            <w:vAlign w:val="bottom"/>
            <w:gridSpan w:val="5"/>
          </w:tcPr>
          <w:p>
            <w:pPr>
              <w:ind w:left="380"/>
              <w:spacing w:after="0"/>
              <w:rPr>
                <w:sz w:val="20"/>
                <w:szCs w:val="20"/>
                <w:color w:val="auto"/>
              </w:rPr>
            </w:pPr>
            <w:r>
              <w:rPr>
                <w:rFonts w:ascii="Arial" w:cs="Arial" w:eastAsia="Arial" w:hAnsi="Arial"/>
                <w:sz w:val="11"/>
                <w:szCs w:val="11"/>
                <w:color w:val="auto"/>
              </w:rPr>
              <w:t>Total current liabilities</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216,690</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241,945</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color w:val="auto"/>
              </w:rPr>
              <w:t>Long-term operating lease liabilities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36,993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8"/>
        </w:trPr>
        <w:tc>
          <w:tcPr>
            <w:tcW w:w="4660" w:type="dxa"/>
            <w:vAlign w:val="bottom"/>
            <w:gridSpan w:val="5"/>
          </w:tcPr>
          <w:p>
            <w:pPr>
              <w:ind w:left="20"/>
              <w:spacing w:after="0"/>
              <w:rPr>
                <w:sz w:val="20"/>
                <w:szCs w:val="20"/>
                <w:color w:val="auto"/>
              </w:rPr>
            </w:pPr>
            <w:r>
              <w:rPr>
                <w:rFonts w:ascii="Arial" w:cs="Arial" w:eastAsia="Arial" w:hAnsi="Arial"/>
                <w:sz w:val="11"/>
                <w:szCs w:val="11"/>
                <w:color w:val="auto"/>
              </w:rPr>
              <w:t>Other liabilities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62,191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64,589</w:t>
            </w: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0"/>
        </w:trPr>
        <w:tc>
          <w:tcPr>
            <w:tcW w:w="46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315,874</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306,534</w:t>
            </w:r>
          </w:p>
        </w:tc>
      </w:tr>
      <w:tr>
        <w:trPr>
          <w:trHeight w:val="158"/>
        </w:trPr>
        <w:tc>
          <w:tcPr>
            <w:tcW w:w="4660" w:type="dxa"/>
            <w:vAlign w:val="bottom"/>
            <w:gridSpan w:val="5"/>
          </w:tcPr>
          <w:p>
            <w:pPr>
              <w:ind w:left="20"/>
              <w:spacing w:after="0"/>
              <w:rPr>
                <w:sz w:val="20"/>
                <w:szCs w:val="20"/>
                <w:color w:val="auto"/>
              </w:rPr>
            </w:pPr>
            <w:r>
              <w:rPr>
                <w:rFonts w:ascii="Arial" w:cs="Arial" w:eastAsia="Arial" w:hAnsi="Arial"/>
                <w:sz w:val="11"/>
                <w:szCs w:val="11"/>
                <w:color w:val="auto"/>
              </w:rPr>
              <w:t>Stockholders’ equity:</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1"/>
                <w:szCs w:val="11"/>
                <w:color w:val="auto"/>
              </w:rPr>
              <w:t>Common stock:</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r>
      <w:tr>
        <w:trPr>
          <w:trHeight w:val="148"/>
        </w:trPr>
        <w:tc>
          <w:tcPr>
            <w:tcW w:w="4660" w:type="dxa"/>
            <w:vAlign w:val="bottom"/>
            <w:gridSpan w:val="5"/>
          </w:tcPr>
          <w:p>
            <w:pPr>
              <w:ind w:left="380"/>
              <w:spacing w:after="0"/>
              <w:rPr>
                <w:sz w:val="20"/>
                <w:szCs w:val="20"/>
                <w:color w:val="auto"/>
              </w:rPr>
            </w:pPr>
            <w:r>
              <w:rPr>
                <w:rFonts w:ascii="Arial" w:cs="Arial" w:eastAsia="Arial" w:hAnsi="Arial"/>
                <w:sz w:val="11"/>
                <w:szCs w:val="11"/>
                <w:color w:val="auto"/>
                <w:w w:val="91"/>
              </w:rPr>
              <w:t>Class A nonvoting common stock—Issued 51,261,487 shares, and outstanding 49,810,101 and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6"/>
        </w:trPr>
        <w:tc>
          <w:tcPr>
            <w:tcW w:w="4660" w:type="dxa"/>
            <w:vAlign w:val="bottom"/>
            <w:gridSpan w:val="5"/>
          </w:tcPr>
          <w:p>
            <w:pPr>
              <w:ind w:left="380"/>
              <w:spacing w:after="0"/>
              <w:rPr>
                <w:sz w:val="20"/>
                <w:szCs w:val="20"/>
                <w:color w:val="auto"/>
              </w:rPr>
            </w:pPr>
            <w:r>
              <w:rPr>
                <w:rFonts w:ascii="Arial" w:cs="Arial" w:eastAsia="Arial" w:hAnsi="Arial"/>
                <w:sz w:val="11"/>
                <w:szCs w:val="11"/>
                <w:color w:val="auto"/>
              </w:rPr>
              <w:t>49,458,841 shares, respectively</w:t>
            </w:r>
          </w:p>
        </w:tc>
        <w:tc>
          <w:tcPr>
            <w:tcW w:w="12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513</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1"/>
                <w:szCs w:val="11"/>
                <w:color w:val="auto"/>
              </w:rPr>
              <w:t>Class B voting common stock—Issued and outstanding, 3,538,628 shares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w:t>
            </w:r>
          </w:p>
        </w:tc>
      </w:tr>
      <w:tr>
        <w:trPr>
          <w:trHeight w:val="158"/>
        </w:trPr>
        <w:tc>
          <w:tcPr>
            <w:tcW w:w="4660" w:type="dxa"/>
            <w:vAlign w:val="bottom"/>
            <w:gridSpan w:val="5"/>
          </w:tcPr>
          <w:p>
            <w:pPr>
              <w:ind w:left="240"/>
              <w:spacing w:after="0"/>
              <w:rPr>
                <w:sz w:val="20"/>
                <w:szCs w:val="20"/>
                <w:color w:val="auto"/>
              </w:rPr>
            </w:pPr>
            <w:r>
              <w:rPr>
                <w:rFonts w:ascii="Arial" w:cs="Arial" w:eastAsia="Arial" w:hAnsi="Arial"/>
                <w:sz w:val="11"/>
                <w:szCs w:val="11"/>
                <w:color w:val="auto"/>
              </w:rPr>
              <w:t>Additional paid-in capital</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329,263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329,969</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1"/>
                <w:szCs w:val="11"/>
                <w:color w:val="auto"/>
              </w:rPr>
              <w:t>Retained earnings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685,758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637,843</w:t>
            </w:r>
          </w:p>
        </w:tc>
      </w:tr>
      <w:tr>
        <w:trPr>
          <w:trHeight w:val="148"/>
        </w:trPr>
        <w:tc>
          <w:tcPr>
            <w:tcW w:w="4660" w:type="dxa"/>
            <w:vAlign w:val="bottom"/>
            <w:gridSpan w:val="5"/>
          </w:tcPr>
          <w:p>
            <w:pPr>
              <w:ind w:left="240"/>
              <w:spacing w:after="0"/>
              <w:rPr>
                <w:sz w:val="20"/>
                <w:szCs w:val="20"/>
                <w:color w:val="auto"/>
              </w:rPr>
            </w:pPr>
            <w:r>
              <w:rPr>
                <w:rFonts w:ascii="Arial" w:cs="Arial" w:eastAsia="Arial" w:hAnsi="Arial"/>
                <w:sz w:val="11"/>
                <w:szCs w:val="11"/>
                <w:color w:val="auto"/>
                <w:w w:val="90"/>
              </w:rPr>
              <w:t>Treasury stock—1,451,386 and 1,802,646 shares, respectively of Class A nonvoting common stock,</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6"/>
        </w:trPr>
        <w:tc>
          <w:tcPr>
            <w:tcW w:w="4660" w:type="dxa"/>
            <w:vAlign w:val="bottom"/>
            <w:gridSpan w:val="5"/>
          </w:tcPr>
          <w:p>
            <w:pPr>
              <w:ind w:left="240"/>
              <w:spacing w:after="0"/>
              <w:rPr>
                <w:sz w:val="20"/>
                <w:szCs w:val="20"/>
                <w:color w:val="auto"/>
              </w:rPr>
            </w:pPr>
            <w:r>
              <w:rPr>
                <w:rFonts w:ascii="Arial" w:cs="Arial" w:eastAsia="Arial" w:hAnsi="Arial"/>
                <w:sz w:val="11"/>
                <w:szCs w:val="11"/>
                <w:color w:val="auto"/>
              </w:rPr>
              <w:t>at cost</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(43,155)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(46,332)</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1"/>
                <w:szCs w:val="11"/>
                <w:color w:val="auto"/>
              </w:rPr>
              <w:t>Accumulated other comprehensive loss</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(72,490)</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(71,254)</w:t>
            </w:r>
          </w:p>
        </w:tc>
      </w:tr>
      <w:tr>
        <w:trPr>
          <w:trHeight w:val="138"/>
        </w:trPr>
        <w:tc>
          <w:tcPr>
            <w:tcW w:w="4660" w:type="dxa"/>
            <w:vAlign w:val="bottom"/>
            <w:gridSpan w:val="5"/>
          </w:tcPr>
          <w:p>
            <w:pPr>
              <w:ind w:left="380"/>
              <w:spacing w:after="0"/>
              <w:rPr>
                <w:sz w:val="20"/>
                <w:szCs w:val="20"/>
                <w:color w:val="auto"/>
              </w:rPr>
            </w:pPr>
            <w:r>
              <w:rPr>
                <w:rFonts w:ascii="Arial" w:cs="Arial" w:eastAsia="Arial" w:hAnsi="Arial"/>
                <w:sz w:val="11"/>
                <w:szCs w:val="11"/>
                <w:color w:val="auto"/>
              </w:rPr>
              <w:t>Total stockholders’ equity</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899,924</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850,774</w:t>
            </w: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7"/>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1,215,798</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1,157,308</w:t>
            </w:r>
          </w:p>
        </w:tc>
      </w:tr>
    </w:tbl>
    <w:p>
      <w:pPr>
        <w:sectPr>
          <w:pgSz w:w="11900" w:h="16838" w:orient="portrait"/>
          <w:cols w:equalWidth="0" w:num="1">
            <w:col w:w="10239"/>
          </w:cols>
          <w:pgMar w:left="220" w:top="418" w:right="1440"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4"/>
          </w:tcPr>
          <w:p>
            <w:pPr>
              <w:jc w:val="right"/>
              <w:ind w:right="126"/>
              <w:spacing w:after="0"/>
              <w:rPr>
                <w:sz w:val="20"/>
                <w:szCs w:val="20"/>
                <w:color w:val="auto"/>
              </w:rPr>
            </w:pPr>
            <w:r>
              <w:rPr>
                <w:rFonts w:ascii="Arial" w:cs="Arial" w:eastAsia="Arial" w:hAnsi="Arial"/>
                <w:sz w:val="11"/>
                <w:szCs w:val="11"/>
                <w:color w:val="auto"/>
                <w:w w:val="90"/>
              </w:rPr>
              <w:t>Six months ended January 31,</w:t>
            </w:r>
          </w:p>
        </w:tc>
      </w:tr>
      <w:tr>
        <w:trPr>
          <w:trHeight w:val="22"/>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26"/>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Arial" w:cs="Arial" w:eastAsia="Arial" w:hAnsi="Arial"/>
                <w:sz w:val="11"/>
                <w:szCs w:val="11"/>
                <w:color w:val="auto"/>
              </w:rPr>
              <w:t>2019</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activities:</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r>
      <w:tr>
        <w:trPr>
          <w:trHeight w:val="158"/>
        </w:trPr>
        <w:tc>
          <w:tcPr>
            <w:tcW w:w="48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71,051</w:t>
            </w:r>
          </w:p>
        </w:tc>
        <w:tc>
          <w:tcPr>
            <w:tcW w:w="8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59,864</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4800" w:type="dxa"/>
            <w:vAlign w:val="bottom"/>
          </w:tcPr>
          <w:p>
            <w:pPr>
              <w:ind w:left="240"/>
              <w:spacing w:after="0"/>
              <w:rPr>
                <w:sz w:val="20"/>
                <w:szCs w:val="20"/>
                <w:color w:val="auto"/>
              </w:rPr>
            </w:pPr>
            <w:r>
              <w:rPr>
                <w:rFonts w:ascii="Arial" w:cs="Arial" w:eastAsia="Arial" w:hAnsi="Arial"/>
                <w:sz w:val="11"/>
                <w:szCs w:val="11"/>
                <w:color w:val="auto"/>
              </w:rPr>
              <w:t>Depreciation and amortization</w:t>
            </w: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11,672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11,909</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Stock-based compensation expense</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5,384</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7,805</w:t>
            </w:r>
          </w:p>
        </w:tc>
      </w:tr>
      <w:tr>
        <w:trPr>
          <w:trHeight w:val="158"/>
        </w:trPr>
        <w:tc>
          <w:tcPr>
            <w:tcW w:w="4800" w:type="dxa"/>
            <w:vAlign w:val="bottom"/>
          </w:tcPr>
          <w:p>
            <w:pPr>
              <w:ind w:left="240"/>
              <w:spacing w:after="0"/>
              <w:rPr>
                <w:sz w:val="20"/>
                <w:szCs w:val="20"/>
                <w:color w:val="auto"/>
              </w:rPr>
            </w:pPr>
            <w:r>
              <w:rPr>
                <w:rFonts w:ascii="Arial" w:cs="Arial" w:eastAsia="Arial" w:hAnsi="Arial"/>
                <w:sz w:val="11"/>
                <w:szCs w:val="11"/>
                <w:color w:val="auto"/>
              </w:rPr>
              <w:t>Deferred income taxes</w:t>
            </w: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4,423</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1,664</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1,279</w:t>
            </w:r>
          </w:p>
        </w:tc>
      </w:tr>
      <w:tr>
        <w:trPr>
          <w:trHeight w:val="158"/>
        </w:trPr>
        <w:tc>
          <w:tcPr>
            <w:tcW w:w="4800" w:type="dxa"/>
            <w:vAlign w:val="bottom"/>
          </w:tcPr>
          <w:p>
            <w:pPr>
              <w:ind w:left="240"/>
              <w:spacing w:after="0"/>
              <w:rPr>
                <w:sz w:val="20"/>
                <w:szCs w:val="20"/>
                <w:color w:val="auto"/>
              </w:rPr>
            </w:pPr>
            <w:r>
              <w:rPr>
                <w:rFonts w:ascii="Arial" w:cs="Arial" w:eastAsia="Arial" w:hAnsi="Arial"/>
                <w:sz w:val="11"/>
                <w:szCs w:val="11"/>
                <w:color w:val="auto"/>
              </w:rPr>
              <w:t>Changes in operating assets and liabilities: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Accounts receivable</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6,209</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2,562</w:t>
            </w:r>
          </w:p>
        </w:tc>
      </w:tr>
      <w:tr>
        <w:trPr>
          <w:trHeight w:val="158"/>
        </w:trPr>
        <w:tc>
          <w:tcPr>
            <w:tcW w:w="4800" w:type="dxa"/>
            <w:vAlign w:val="bottom"/>
          </w:tcPr>
          <w:p>
            <w:pPr>
              <w:ind w:left="460"/>
              <w:spacing w:after="0"/>
              <w:rPr>
                <w:sz w:val="20"/>
                <w:szCs w:val="20"/>
                <w:color w:val="auto"/>
              </w:rPr>
            </w:pPr>
            <w:r>
              <w:rPr>
                <w:rFonts w:ascii="Arial" w:cs="Arial" w:eastAsia="Arial" w:hAnsi="Arial"/>
                <w:sz w:val="11"/>
                <w:szCs w:val="11"/>
                <w:color w:val="auto"/>
              </w:rPr>
              <w:t>Inventories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(6,602)</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Prepaid expenses and other assets</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(2,621)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(2,310)</w:t>
            </w:r>
          </w:p>
        </w:tc>
      </w:tr>
      <w:tr>
        <w:trPr>
          <w:trHeight w:val="158"/>
        </w:trPr>
        <w:tc>
          <w:tcPr>
            <w:tcW w:w="4800" w:type="dxa"/>
            <w:vAlign w:val="bottom"/>
          </w:tcPr>
          <w:p>
            <w:pPr>
              <w:ind w:left="460"/>
              <w:spacing w:after="0"/>
              <w:rPr>
                <w:sz w:val="20"/>
                <w:szCs w:val="20"/>
                <w:color w:val="auto"/>
              </w:rPr>
            </w:pPr>
            <w:r>
              <w:rPr>
                <w:rFonts w:ascii="Arial" w:cs="Arial" w:eastAsia="Arial" w:hAnsi="Arial"/>
                <w:sz w:val="11"/>
                <w:szCs w:val="11"/>
                <w:color w:val="auto"/>
              </w:rPr>
              <w:t>Accounts payable and accrued liabilities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(39,777)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(35,334)</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4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Income taxes</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592</w:t>
            </w:r>
          </w:p>
        </w:tc>
      </w:tr>
      <w:tr>
        <w:trPr>
          <w:trHeight w:val="138"/>
        </w:trPr>
        <w:tc>
          <w:tcPr>
            <w:tcW w:w="4800" w:type="dxa"/>
            <w:vAlign w:val="bottom"/>
          </w:tcPr>
          <w:p>
            <w:pPr>
              <w:ind w:left="680"/>
              <w:spacing w:after="0"/>
              <w:rPr>
                <w:sz w:val="20"/>
                <w:szCs w:val="20"/>
                <w:color w:val="auto"/>
              </w:rPr>
            </w:pPr>
            <w:r>
              <w:rPr>
                <w:rFonts w:ascii="Arial" w:cs="Arial" w:eastAsia="Arial" w:hAnsi="Arial"/>
                <w:sz w:val="11"/>
                <w:szCs w:val="11"/>
                <w:color w:val="auto"/>
              </w:rPr>
              <w:t>Net cash provided by operating activities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53,107</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44,188</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4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58"/>
        </w:trPr>
        <w:tc>
          <w:tcPr>
            <w:tcW w:w="4800" w:type="dxa"/>
            <w:vAlign w:val="bottom"/>
          </w:tcPr>
          <w:p>
            <w:pPr>
              <w:ind w:left="20"/>
              <w:spacing w:after="0"/>
              <w:rPr>
                <w:sz w:val="20"/>
                <w:szCs w:val="20"/>
                <w:color w:val="auto"/>
              </w:rPr>
            </w:pPr>
            <w:r>
              <w:rPr>
                <w:rFonts w:ascii="Arial" w:cs="Arial" w:eastAsia="Arial" w:hAnsi="Arial"/>
                <w:sz w:val="11"/>
                <w:szCs w:val="11"/>
                <w:color w:val="auto"/>
              </w:rPr>
              <w:t>Investing activities: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Purchases of property, plant and equipment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(13,100)</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(12,127)</w:t>
            </w:r>
          </w:p>
        </w:tc>
      </w:tr>
      <w:tr>
        <w:trPr>
          <w:trHeight w:val="158"/>
        </w:trPr>
        <w:tc>
          <w:tcPr>
            <w:tcW w:w="4800" w:type="dxa"/>
            <w:vAlign w:val="bottom"/>
          </w:tcPr>
          <w:p>
            <w:pPr>
              <w:ind w:left="240"/>
              <w:spacing w:after="0"/>
              <w:rPr>
                <w:sz w:val="20"/>
                <w:szCs w:val="20"/>
                <w:color w:val="auto"/>
              </w:rPr>
            </w:pPr>
            <w:r>
              <w:rPr>
                <w:rFonts w:ascii="Arial" w:cs="Arial" w:eastAsia="Arial" w:hAnsi="Arial"/>
                <w:sz w:val="11"/>
                <w:szCs w:val="11"/>
                <w:color w:val="auto"/>
              </w:rPr>
              <w:t>Other</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(452)</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4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Net cash used in investing activities</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(16,506)</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(12,579)</w:t>
            </w:r>
          </w:p>
        </w:tc>
      </w:tr>
      <w:tr>
        <w:trPr>
          <w:trHeight w:val="189"/>
        </w:trPr>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6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Financing activities:</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4800" w:type="dxa"/>
            <w:vAlign w:val="bottom"/>
          </w:tcPr>
          <w:p>
            <w:pPr>
              <w:ind w:left="240"/>
              <w:spacing w:after="0"/>
              <w:rPr>
                <w:sz w:val="20"/>
                <w:szCs w:val="20"/>
                <w:color w:val="auto"/>
              </w:rPr>
            </w:pPr>
            <w:r>
              <w:rPr>
                <w:rFonts w:ascii="Arial" w:cs="Arial" w:eastAsia="Arial" w:hAnsi="Arial"/>
                <w:sz w:val="11"/>
                <w:szCs w:val="11"/>
                <w:color w:val="auto"/>
              </w:rPr>
              <w:t>Payment of dividends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(23,136)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(22,263)</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Proceeds from exercise of stock options</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4,686</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18,498</w:t>
            </w:r>
          </w:p>
        </w:tc>
      </w:tr>
      <w:tr>
        <w:trPr>
          <w:trHeight w:val="158"/>
        </w:trPr>
        <w:tc>
          <w:tcPr>
            <w:tcW w:w="4800" w:type="dxa"/>
            <w:vAlign w:val="bottom"/>
          </w:tcPr>
          <w:p>
            <w:pPr>
              <w:ind w:left="240"/>
              <w:spacing w:after="0"/>
              <w:rPr>
                <w:sz w:val="20"/>
                <w:szCs w:val="20"/>
                <w:color w:val="auto"/>
              </w:rPr>
            </w:pPr>
            <w:r>
              <w:rPr>
                <w:rFonts w:ascii="Arial" w:cs="Arial" w:eastAsia="Arial" w:hAnsi="Arial"/>
                <w:sz w:val="11"/>
                <w:szCs w:val="11"/>
                <w:color w:val="auto"/>
              </w:rPr>
              <w:t>Payments for employee taxes withheld from stock-based awards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(7,733)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(3,362)</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Proceeds from borrowing on credit facilities</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5,737</w:t>
            </w:r>
          </w:p>
        </w:tc>
      </w:tr>
      <w:tr>
        <w:trPr>
          <w:trHeight w:val="158"/>
        </w:trPr>
        <w:tc>
          <w:tcPr>
            <w:tcW w:w="4800" w:type="dxa"/>
            <w:vAlign w:val="bottom"/>
          </w:tcPr>
          <w:p>
            <w:pPr>
              <w:ind w:left="240"/>
              <w:spacing w:after="0"/>
              <w:rPr>
                <w:sz w:val="20"/>
                <w:szCs w:val="20"/>
                <w:color w:val="auto"/>
              </w:rPr>
            </w:pPr>
            <w:r>
              <w:rPr>
                <w:rFonts w:ascii="Arial" w:cs="Arial" w:eastAsia="Arial" w:hAnsi="Arial"/>
                <w:sz w:val="11"/>
                <w:szCs w:val="11"/>
                <w:color w:val="auto"/>
              </w:rPr>
              <w:t>Repayment of borrowings on credit facilities</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(5,688)</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(2,973)</w:t>
            </w:r>
          </w:p>
        </w:tc>
      </w:tr>
      <w:tr>
        <w:trPr>
          <w:trHeight w:val="138"/>
        </w:trPr>
        <w:tc>
          <w:tcPr>
            <w:tcW w:w="4800" w:type="dxa"/>
            <w:vAlign w:val="bottom"/>
          </w:tcPr>
          <w:p>
            <w:pPr>
              <w:ind w:left="680"/>
              <w:spacing w:after="0"/>
              <w:rPr>
                <w:sz w:val="20"/>
                <w:szCs w:val="20"/>
                <w:color w:val="auto"/>
              </w:rPr>
            </w:pPr>
            <w:r>
              <w:rPr>
                <w:rFonts w:ascii="Arial" w:cs="Arial" w:eastAsia="Arial" w:hAnsi="Arial"/>
                <w:sz w:val="11"/>
                <w:szCs w:val="11"/>
                <w:color w:val="auto"/>
              </w:rPr>
              <w:t>Net cash used in financing activities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(26,049)</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(10,051)</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4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58"/>
        </w:trPr>
        <w:tc>
          <w:tcPr>
            <w:tcW w:w="4800" w:type="dxa"/>
            <w:vAlign w:val="bottom"/>
          </w:tcPr>
          <w:p>
            <w:pPr>
              <w:ind w:left="20"/>
              <w:spacing w:after="0"/>
              <w:rPr>
                <w:sz w:val="20"/>
                <w:szCs w:val="20"/>
                <w:color w:val="auto"/>
              </w:rPr>
            </w:pPr>
            <w:r>
              <w:rPr>
                <w:rFonts w:ascii="Arial" w:cs="Arial" w:eastAsia="Arial" w:hAnsi="Arial"/>
                <w:sz w:val="11"/>
                <w:szCs w:val="11"/>
                <w:color w:val="auto"/>
              </w:rPr>
              <w:t>Effect of exchange rate changes on cash</w:t>
            </w: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179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(776)</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8"/>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58"/>
        </w:trPr>
        <w:tc>
          <w:tcPr>
            <w:tcW w:w="4800" w:type="dxa"/>
            <w:vAlign w:val="bottom"/>
          </w:tcPr>
          <w:p>
            <w:pPr>
              <w:ind w:left="20"/>
              <w:spacing w:after="0"/>
              <w:rPr>
                <w:sz w:val="20"/>
                <w:szCs w:val="20"/>
                <w:color w:val="auto"/>
              </w:rPr>
            </w:pPr>
            <w:r>
              <w:rPr>
                <w:rFonts w:ascii="Arial" w:cs="Arial" w:eastAsia="Arial" w:hAnsi="Arial"/>
                <w:sz w:val="11"/>
                <w:szCs w:val="11"/>
                <w:color w:val="auto"/>
              </w:rPr>
              <w:t>Net increase in cash and cash equivalents</w:t>
            </w: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10,731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20,782</w:t>
            </w:r>
          </w:p>
        </w:tc>
      </w:tr>
      <w:tr>
        <w:trPr>
          <w:trHeight w:val="22"/>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beginning of period</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279,072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181,427</w:t>
            </w:r>
          </w:p>
        </w:tc>
      </w:tr>
      <w:tr>
        <w:trPr>
          <w:trHeight w:val="178"/>
        </w:trPr>
        <w:tc>
          <w:tcPr>
            <w:tcW w:w="48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r>
      <w:tr>
        <w:trPr>
          <w:trHeight w:val="17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end of period</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289,803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202,209</w:t>
            </w:r>
          </w:p>
        </w:tc>
      </w:tr>
    </w:tbl>
    <w:p>
      <w:pPr>
        <w:sectPr>
          <w:pgSz w:w="11900" w:h="16838" w:orient="portrait"/>
          <w:cols w:equalWidth="0" w:num="1">
            <w:col w:w="10239"/>
          </w:cols>
          <w:pgMar w:left="220" w:top="418" w:right="1440"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5"/>
          </w:tcPr>
          <w:p>
            <w:pPr>
              <w:ind w:left="20"/>
              <w:spacing w:after="0"/>
              <w:rPr>
                <w:sz w:val="20"/>
                <w:szCs w:val="20"/>
                <w:color w:val="auto"/>
              </w:rPr>
            </w:pPr>
            <w:r>
              <w:rPr>
                <w:rFonts w:ascii="Arial" w:cs="Arial" w:eastAsia="Arial" w:hAnsi="Arial"/>
                <w:sz w:val="11"/>
                <w:szCs w:val="11"/>
                <w:color w:val="auto"/>
                <w:w w:val="97"/>
              </w:rPr>
              <w:t>Three months ended January 31,</w:t>
            </w:r>
          </w:p>
        </w:tc>
        <w:tc>
          <w:tcPr>
            <w:tcW w:w="120" w:type="dxa"/>
            <w:vAlign w:val="bottom"/>
          </w:tcPr>
          <w:p>
            <w:pPr>
              <w:spacing w:after="0"/>
              <w:rPr>
                <w:sz w:val="11"/>
                <w:szCs w:val="11"/>
                <w:color w:val="auto"/>
              </w:rPr>
            </w:pPr>
          </w:p>
        </w:tc>
        <w:tc>
          <w:tcPr>
            <w:tcW w:w="1540" w:type="dxa"/>
            <w:vAlign w:val="bottom"/>
            <w:gridSpan w:val="4"/>
          </w:tcPr>
          <w:p>
            <w:pPr>
              <w:ind w:left="60"/>
              <w:spacing w:after="0"/>
              <w:rPr>
                <w:sz w:val="20"/>
                <w:szCs w:val="20"/>
                <w:color w:val="auto"/>
              </w:rPr>
            </w:pPr>
            <w:r>
              <w:rPr>
                <w:rFonts w:ascii="Arial" w:cs="Arial" w:eastAsia="Arial" w:hAnsi="Arial"/>
                <w:sz w:val="11"/>
                <w:szCs w:val="11"/>
                <w:color w:val="auto"/>
                <w:w w:val="98"/>
              </w:rPr>
              <w:t>Six months ended January 31,</w:t>
            </w:r>
          </w:p>
        </w:tc>
      </w:tr>
      <w:tr>
        <w:trPr>
          <w:trHeight w:val="22"/>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26"/>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1"/>
                <w:szCs w:val="11"/>
                <w:color w:val="auto"/>
              </w:rPr>
              <w:t>2020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20"/>
              <w:spacing w:after="0"/>
              <w:rPr>
                <w:sz w:val="20"/>
                <w:szCs w:val="20"/>
                <w:color w:val="auto"/>
              </w:rPr>
            </w:pPr>
            <w:r>
              <w:rPr>
                <w:rFonts w:ascii="Arial" w:cs="Arial" w:eastAsia="Arial" w:hAnsi="Arial"/>
                <w:sz w:val="11"/>
                <w:szCs w:val="11"/>
                <w:color w:val="auto"/>
              </w:rPr>
              <w:t>2019</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9"/>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SALES</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r>
      <w:tr>
        <w:trPr>
          <w:trHeight w:val="158"/>
        </w:trPr>
        <w:tc>
          <w:tcPr>
            <w:tcW w:w="3100" w:type="dxa"/>
            <w:vAlign w:val="bottom"/>
          </w:tcPr>
          <w:p>
            <w:pPr>
              <w:ind w:left="240"/>
              <w:spacing w:after="0"/>
              <w:rPr>
                <w:sz w:val="20"/>
                <w:szCs w:val="20"/>
                <w:color w:val="auto"/>
              </w:rPr>
            </w:pPr>
            <w:r>
              <w:rPr>
                <w:rFonts w:ascii="Arial" w:cs="Arial" w:eastAsia="Arial" w:hAnsi="Arial"/>
                <w:sz w:val="11"/>
                <w:szCs w:val="11"/>
                <w:color w:val="auto"/>
              </w:rPr>
              <w:t>ID Solutions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205,362</w:t>
            </w:r>
          </w:p>
        </w:tc>
        <w:tc>
          <w:tcPr>
            <w:tcW w:w="8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209,205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ind w:left="180"/>
              <w:spacing w:after="0"/>
              <w:rPr>
                <w:sz w:val="20"/>
                <w:szCs w:val="20"/>
                <w:color w:val="auto"/>
              </w:rPr>
            </w:pPr>
            <w:r>
              <w:rPr>
                <w:rFonts w:ascii="Arial" w:cs="Arial" w:eastAsia="Arial" w:hAnsi="Arial"/>
                <w:sz w:val="11"/>
                <w:szCs w:val="11"/>
                <w:color w:val="auto"/>
              </w:rPr>
              <w:t>420,349</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ind w:left="120"/>
              <w:spacing w:after="0"/>
              <w:rPr>
                <w:sz w:val="20"/>
                <w:szCs w:val="20"/>
                <w:color w:val="auto"/>
              </w:rPr>
            </w:pPr>
            <w:r>
              <w:rPr>
                <w:rFonts w:ascii="Arial" w:cs="Arial" w:eastAsia="Arial" w:hAnsi="Arial"/>
                <w:sz w:val="11"/>
                <w:szCs w:val="11"/>
                <w:color w:val="auto"/>
              </w:rPr>
              <w:t>427,304</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Workplace Safety</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71,303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73,221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143,263</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148,318</w:t>
            </w:r>
          </w:p>
        </w:tc>
      </w:tr>
      <w:tr>
        <w:trPr>
          <w:trHeight w:val="167"/>
        </w:trPr>
        <w:tc>
          <w:tcPr>
            <w:tcW w:w="310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276,665</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282,426</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color w:val="auto"/>
              </w:rPr>
              <w:t>563,612</w:t>
            </w:r>
          </w:p>
        </w:tc>
        <w:tc>
          <w:tcPr>
            <w:tcW w:w="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1"/>
                <w:szCs w:val="11"/>
                <w:color w:val="auto"/>
              </w:rPr>
              <w:t>575,622</w:t>
            </w:r>
          </w:p>
        </w:tc>
      </w:tr>
      <w:tr>
        <w:trPr>
          <w:trHeight w:val="189"/>
        </w:trPr>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ind w:left="20"/>
              <w:spacing w:after="0"/>
              <w:rPr>
                <w:sz w:val="20"/>
                <w:szCs w:val="20"/>
                <w:color w:val="auto"/>
              </w:rPr>
            </w:pPr>
            <w:r>
              <w:rPr>
                <w:rFonts w:ascii="Arial" w:cs="Arial" w:eastAsia="Arial" w:hAnsi="Arial"/>
                <w:sz w:val="11"/>
                <w:szCs w:val="11"/>
                <w:b w:val="1"/>
                <w:bCs w:val="1"/>
                <w:color w:val="auto"/>
              </w:rPr>
              <w:t>SALES INFORMATION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ID Solutions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3100" w:type="dxa"/>
            <w:vAlign w:val="bottom"/>
          </w:tcPr>
          <w:p>
            <w:pPr>
              <w:ind w:left="240"/>
              <w:spacing w:after="0"/>
              <w:rPr>
                <w:sz w:val="20"/>
                <w:szCs w:val="20"/>
                <w:color w:val="auto"/>
              </w:rPr>
            </w:pPr>
            <w:r>
              <w:rPr>
                <w:rFonts w:ascii="Arial" w:cs="Arial" w:eastAsia="Arial" w:hAnsi="Arial"/>
                <w:sz w:val="11"/>
                <w:szCs w:val="11"/>
                <w:color w:val="auto"/>
              </w:rPr>
              <w:t>Organic</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4.6 %</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Currency</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38"/>
        </w:trPr>
        <w:tc>
          <w:tcPr>
            <w:tcW w:w="3100" w:type="dxa"/>
            <w:vAlign w:val="bottom"/>
          </w:tcPr>
          <w:p>
            <w:pPr>
              <w:ind w:left="240"/>
              <w:spacing w:after="0"/>
              <w:rPr>
                <w:sz w:val="20"/>
                <w:szCs w:val="20"/>
                <w:color w:val="auto"/>
              </w:rPr>
            </w:pPr>
            <w:r>
              <w:rPr>
                <w:rFonts w:ascii="Arial" w:cs="Arial" w:eastAsia="Arial" w:hAnsi="Arial"/>
                <w:sz w:val="11"/>
                <w:szCs w:val="11"/>
                <w:color w:val="auto"/>
              </w:rPr>
              <w:t>Total</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1.3 %</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2.7 %</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Workplace Safety</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3100" w:type="dxa"/>
            <w:vAlign w:val="bottom"/>
          </w:tcPr>
          <w:p>
            <w:pPr>
              <w:ind w:left="240"/>
              <w:spacing w:after="0"/>
              <w:rPr>
                <w:sz w:val="20"/>
                <w:szCs w:val="20"/>
                <w:color w:val="auto"/>
              </w:rPr>
            </w:pPr>
            <w:r>
              <w:rPr>
                <w:rFonts w:ascii="Arial" w:cs="Arial" w:eastAsia="Arial" w:hAnsi="Arial"/>
                <w:sz w:val="11"/>
                <w:szCs w:val="11"/>
                <w:color w:val="auto"/>
              </w:rPr>
              <w:t>Organic</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(0.9)%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0.6 %</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Currency</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w:t>
            </w:r>
          </w:p>
        </w:tc>
      </w:tr>
      <w:tr>
        <w:trPr>
          <w:trHeight w:val="158"/>
        </w:trPr>
        <w:tc>
          <w:tcPr>
            <w:tcW w:w="3100" w:type="dxa"/>
            <w:vAlign w:val="bottom"/>
          </w:tcPr>
          <w:p>
            <w:pPr>
              <w:ind w:left="240"/>
              <w:spacing w:after="0"/>
              <w:rPr>
                <w:sz w:val="20"/>
                <w:szCs w:val="20"/>
                <w:color w:val="auto"/>
              </w:rPr>
            </w:pPr>
            <w:r>
              <w:rPr>
                <w:rFonts w:ascii="Arial" w:cs="Arial" w:eastAsia="Arial" w:hAnsi="Arial"/>
                <w:sz w:val="11"/>
                <w:szCs w:val="11"/>
                <w:color w:val="auto"/>
              </w:rPr>
              <w:t>Divestitures</w:t>
            </w:r>
          </w:p>
        </w:tc>
        <w:tc>
          <w:tcPr>
            <w:tcW w:w="100" w:type="dxa"/>
            <w:vAlign w:val="bottom"/>
          </w:tcPr>
          <w:p>
            <w:pPr>
              <w:spacing w:after="0"/>
              <w:rPr>
                <w:sz w:val="13"/>
                <w:szCs w:val="13"/>
                <w:color w:val="auto"/>
              </w:rPr>
            </w:pPr>
          </w:p>
        </w:tc>
        <w:tc>
          <w:tcPr>
            <w:tcW w:w="760" w:type="dxa"/>
            <w:vAlign w:val="bottom"/>
            <w:gridSpan w:val="2"/>
          </w:tcPr>
          <w:p>
            <w:pPr>
              <w:ind w:left="440"/>
              <w:spacing w:after="0"/>
              <w:rPr>
                <w:sz w:val="20"/>
                <w:szCs w:val="20"/>
                <w:color w:val="auto"/>
              </w:rPr>
            </w:pPr>
            <w:r>
              <w:rPr>
                <w:rFonts w:ascii="Arial" w:cs="Arial" w:eastAsia="Arial" w:hAnsi="Arial"/>
                <w:sz w:val="11"/>
                <w:szCs w:val="11"/>
                <w:color w:val="auto"/>
              </w:rPr>
              <w:t>— %</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 %</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(6.0)%</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4"/>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Total</w:t>
            </w: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w:t>
            </w:r>
          </w:p>
        </w:tc>
      </w:tr>
      <w:tr>
        <w:trPr>
          <w:trHeight w:val="152"/>
        </w:trPr>
        <w:tc>
          <w:tcPr>
            <w:tcW w:w="310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Total Company</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Organic</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2.3 %</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3.5 %</w:t>
            </w:r>
          </w:p>
        </w:tc>
      </w:tr>
      <w:tr>
        <w:trPr>
          <w:trHeight w:val="158"/>
        </w:trPr>
        <w:tc>
          <w:tcPr>
            <w:tcW w:w="3100" w:type="dxa"/>
            <w:vAlign w:val="bottom"/>
          </w:tcPr>
          <w:p>
            <w:pPr>
              <w:ind w:left="240"/>
              <w:spacing w:after="0"/>
              <w:rPr>
                <w:sz w:val="20"/>
                <w:szCs w:val="20"/>
                <w:color w:val="auto"/>
              </w:rPr>
            </w:pPr>
            <w:r>
              <w:rPr>
                <w:rFonts w:ascii="Arial" w:cs="Arial" w:eastAsia="Arial" w:hAnsi="Arial"/>
                <w:sz w:val="11"/>
                <w:szCs w:val="11"/>
                <w:color w:val="auto"/>
              </w:rPr>
              <w:t>Currency</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Divestitures</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 %</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 %</w:t>
            </w: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w:t>
            </w:r>
          </w:p>
        </w:tc>
      </w:tr>
      <w:tr>
        <w:trPr>
          <w:trHeight w:val="167"/>
        </w:trPr>
        <w:tc>
          <w:tcPr>
            <w:tcW w:w="310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Total</w:t>
            </w: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(0.4)%</w:t>
            </w:r>
          </w:p>
        </w:tc>
      </w:tr>
      <w:tr>
        <w:trPr>
          <w:trHeight w:val="189"/>
        </w:trPr>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58"/>
        </w:trPr>
        <w:tc>
          <w:tcPr>
            <w:tcW w:w="3100" w:type="dxa"/>
            <w:vAlign w:val="bottom"/>
          </w:tcPr>
          <w:p>
            <w:pPr>
              <w:ind w:left="20"/>
              <w:spacing w:after="0"/>
              <w:rPr>
                <w:sz w:val="20"/>
                <w:szCs w:val="20"/>
                <w:color w:val="auto"/>
              </w:rPr>
            </w:pPr>
            <w:r>
              <w:rPr>
                <w:rFonts w:ascii="Arial" w:cs="Arial" w:eastAsia="Arial" w:hAnsi="Arial"/>
                <w:sz w:val="11"/>
                <w:szCs w:val="11"/>
                <w:b w:val="1"/>
                <w:bCs w:val="1"/>
                <w:color w:val="auto"/>
              </w:rPr>
              <w:t>SEGMENT PROFIT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ID Solutions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40,655</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37,857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83,098</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79,419</w:t>
            </w:r>
          </w:p>
        </w:tc>
      </w:tr>
      <w:tr>
        <w:trPr>
          <w:trHeight w:val="158"/>
        </w:trPr>
        <w:tc>
          <w:tcPr>
            <w:tcW w:w="3100" w:type="dxa"/>
            <w:vAlign w:val="bottom"/>
          </w:tcPr>
          <w:p>
            <w:pPr>
              <w:ind w:left="240"/>
              <w:spacing w:after="0"/>
              <w:rPr>
                <w:sz w:val="20"/>
                <w:szCs w:val="20"/>
                <w:color w:val="auto"/>
              </w:rPr>
            </w:pPr>
            <w:r>
              <w:rPr>
                <w:rFonts w:ascii="Arial" w:cs="Arial" w:eastAsia="Arial" w:hAnsi="Arial"/>
                <w:sz w:val="11"/>
                <w:szCs w:val="11"/>
                <w:color w:val="auto"/>
              </w:rPr>
              <w:t>Workplace Safety</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5,455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4,661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10,612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10,202</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4"/>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46,110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42,518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93,710</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89,621</w:t>
            </w:r>
          </w:p>
        </w:tc>
      </w:tr>
      <w:tr>
        <w:trPr>
          <w:trHeight w:val="152"/>
        </w:trPr>
        <w:tc>
          <w:tcPr>
            <w:tcW w:w="3100" w:type="dxa"/>
            <w:vAlign w:val="bottom"/>
          </w:tcPr>
          <w:p>
            <w:pPr>
              <w:ind w:left="20"/>
              <w:spacing w:after="0"/>
              <w:rPr>
                <w:sz w:val="20"/>
                <w:szCs w:val="20"/>
                <w:color w:val="auto"/>
              </w:rPr>
            </w:pPr>
            <w:r>
              <w:rPr>
                <w:rFonts w:ascii="Arial" w:cs="Arial" w:eastAsia="Arial" w:hAnsi="Arial"/>
                <w:sz w:val="11"/>
                <w:szCs w:val="11"/>
                <w:b w:val="1"/>
                <w:bCs w:val="1"/>
                <w:color w:val="auto"/>
              </w:rPr>
              <w:t>SEGMENT PROFIT AS A PERCENT OF NET SALES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ID Solutions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19.8 %</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18.1 %</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19.8 %</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18.6 %</w:t>
            </w:r>
          </w:p>
        </w:tc>
      </w:tr>
      <w:tr>
        <w:trPr>
          <w:trHeight w:val="158"/>
        </w:trPr>
        <w:tc>
          <w:tcPr>
            <w:tcW w:w="3100" w:type="dxa"/>
            <w:vAlign w:val="bottom"/>
          </w:tcPr>
          <w:p>
            <w:pPr>
              <w:ind w:left="240"/>
              <w:spacing w:after="0"/>
              <w:rPr>
                <w:sz w:val="20"/>
                <w:szCs w:val="20"/>
                <w:color w:val="auto"/>
              </w:rPr>
            </w:pPr>
            <w:r>
              <w:rPr>
                <w:rFonts w:ascii="Arial" w:cs="Arial" w:eastAsia="Arial" w:hAnsi="Arial"/>
                <w:sz w:val="11"/>
                <w:szCs w:val="11"/>
                <w:color w:val="auto"/>
              </w:rPr>
              <w:t>Workplace Safety</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7.7 %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7.4 %</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6.9 %</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8"/>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Total</w:t>
            </w: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16.7 %</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15.1 %</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16.6 %</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15.6 %</w:t>
            </w:r>
          </w:p>
        </w:tc>
      </w:tr>
      <w:tr>
        <w:trPr>
          <w:trHeight w:val="20"/>
        </w:trPr>
        <w:tc>
          <w:tcPr>
            <w:tcW w:w="3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r>
      <w:tr>
        <w:trPr>
          <w:trHeight w:val="381"/>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ind w:left="20"/>
              <w:spacing w:after="0"/>
              <w:rPr>
                <w:sz w:val="20"/>
                <w:szCs w:val="20"/>
                <w:color w:val="auto"/>
              </w:rPr>
            </w:pPr>
            <w:r>
              <w:rPr>
                <w:rFonts w:ascii="Arial" w:cs="Arial" w:eastAsia="Arial" w:hAnsi="Arial"/>
                <w:sz w:val="11"/>
                <w:szCs w:val="11"/>
                <w:color w:val="auto"/>
                <w:w w:val="97"/>
              </w:rPr>
              <w:t>Three months ended January 31,</w:t>
            </w:r>
          </w:p>
        </w:tc>
        <w:tc>
          <w:tcPr>
            <w:tcW w:w="120" w:type="dxa"/>
            <w:vAlign w:val="bottom"/>
          </w:tcPr>
          <w:p>
            <w:pPr>
              <w:spacing w:after="0"/>
              <w:rPr>
                <w:sz w:val="24"/>
                <w:szCs w:val="24"/>
                <w:color w:val="auto"/>
              </w:rPr>
            </w:pPr>
          </w:p>
        </w:tc>
        <w:tc>
          <w:tcPr>
            <w:tcW w:w="1540" w:type="dxa"/>
            <w:vAlign w:val="bottom"/>
            <w:gridSpan w:val="4"/>
          </w:tcPr>
          <w:p>
            <w:pPr>
              <w:jc w:val="right"/>
              <w:ind w:right="126"/>
              <w:spacing w:after="0"/>
              <w:rPr>
                <w:sz w:val="20"/>
                <w:szCs w:val="20"/>
                <w:color w:val="auto"/>
              </w:rPr>
            </w:pPr>
            <w:r>
              <w:rPr>
                <w:rFonts w:ascii="Arial" w:cs="Arial" w:eastAsia="Arial" w:hAnsi="Arial"/>
                <w:sz w:val="11"/>
                <w:szCs w:val="11"/>
                <w:color w:val="auto"/>
                <w:w w:val="90"/>
              </w:rPr>
              <w:t>Six months ended January 31,</w:t>
            </w:r>
          </w:p>
        </w:tc>
      </w:tr>
      <w:tr>
        <w:trPr>
          <w:trHeight w:val="22"/>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26"/>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46"/>
              <w:spacing w:after="0"/>
              <w:rPr>
                <w:sz w:val="20"/>
                <w:szCs w:val="20"/>
                <w:color w:val="auto"/>
              </w:rPr>
            </w:pPr>
            <w:r>
              <w:rPr>
                <w:rFonts w:ascii="Arial" w:cs="Arial" w:eastAsia="Arial" w:hAnsi="Arial"/>
                <w:sz w:val="11"/>
                <w:szCs w:val="11"/>
                <w:color w:val="auto"/>
              </w:rPr>
              <w:t>2020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Arial" w:cs="Arial" w:eastAsia="Arial" w:hAnsi="Arial"/>
                <w:sz w:val="11"/>
                <w:szCs w:val="11"/>
                <w:color w:val="auto"/>
              </w:rPr>
              <w:t>2019</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segment profit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46,110</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42,518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93,710</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89,621</w:t>
            </w:r>
          </w:p>
        </w:tc>
      </w:tr>
      <w:tr>
        <w:trPr>
          <w:trHeight w:val="158"/>
        </w:trPr>
        <w:tc>
          <w:tcPr>
            <w:tcW w:w="3100" w:type="dxa"/>
            <w:vAlign w:val="bottom"/>
          </w:tcPr>
          <w:p>
            <w:pPr>
              <w:ind w:left="20"/>
              <w:spacing w:after="0"/>
              <w:rPr>
                <w:sz w:val="20"/>
                <w:szCs w:val="20"/>
                <w:color w:val="auto"/>
              </w:rPr>
            </w:pPr>
            <w:r>
              <w:rPr>
                <w:rFonts w:ascii="Arial" w:cs="Arial" w:eastAsia="Arial" w:hAnsi="Arial"/>
                <w:sz w:val="11"/>
                <w:szCs w:val="11"/>
                <w:color w:val="auto"/>
              </w:rPr>
              <w:t>Unallocated amounts: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Administrative costs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(4,866)</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(6,488)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(11,575)</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(12,969)</w:t>
            </w:r>
          </w:p>
        </w:tc>
      </w:tr>
      <w:tr>
        <w:trPr>
          <w:trHeight w:val="158"/>
        </w:trPr>
        <w:tc>
          <w:tcPr>
            <w:tcW w:w="3100" w:type="dxa"/>
            <w:vAlign w:val="bottom"/>
          </w:tcPr>
          <w:p>
            <w:pPr>
              <w:ind w:left="240"/>
              <w:spacing w:after="0"/>
              <w:rPr>
                <w:sz w:val="20"/>
                <w:szCs w:val="20"/>
                <w:color w:val="auto"/>
              </w:rPr>
            </w:pPr>
            <w:r>
              <w:rPr>
                <w:rFonts w:ascii="Arial" w:cs="Arial" w:eastAsia="Arial" w:hAnsi="Arial"/>
                <w:sz w:val="11"/>
                <w:szCs w:val="11"/>
                <w:color w:val="auto"/>
              </w:rPr>
              <w:t>Investment and other income</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1,760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3,140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1,360</w:t>
            </w:r>
          </w:p>
        </w:tc>
      </w:tr>
      <w:tr>
        <w:trPr>
          <w:trHeight w:val="22"/>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3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Interest expense</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(1,348)</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(1,429)</w:t>
            </w:r>
          </w:p>
        </w:tc>
      </w:tr>
      <w:tr>
        <w:trPr>
          <w:trHeight w:val="167"/>
        </w:trPr>
        <w:tc>
          <w:tcPr>
            <w:tcW w:w="3100" w:type="dxa"/>
            <w:vAlign w:val="bottom"/>
          </w:tcPr>
          <w:p>
            <w:pPr>
              <w:ind w:left="20"/>
              <w:spacing w:after="0"/>
              <w:rPr>
                <w:sz w:val="20"/>
                <w:szCs w:val="20"/>
                <w:color w:val="auto"/>
              </w:rPr>
            </w:pPr>
            <w:r>
              <w:rPr>
                <w:rFonts w:ascii="Arial" w:cs="Arial" w:eastAsia="Arial" w:hAnsi="Arial"/>
                <w:sz w:val="11"/>
                <w:szCs w:val="11"/>
                <w:color w:val="auto"/>
              </w:rPr>
              <w:t>Income before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42,357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36,690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83,927</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76,583</w:t>
            </w:r>
          </w:p>
        </w:tc>
      </w:tr>
    </w:tbl>
    <w:p>
      <w:pPr>
        <w:sectPr>
          <w:pgSz w:w="11900" w:h="16838" w:orient="portrait"/>
          <w:cols w:equalWidth="0" w:num="1">
            <w:col w:w="10239"/>
          </w:cols>
          <w:pgMar w:left="220" w:top="418" w:right="1440"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5969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2020-02-20T06:04:40Z</dcterms:created>
  <dcterms:modified xsi:type="dcterms:W3CDTF">2020-02-20T06:04:40Z</dcterms:modified>
</cp:coreProperties>
</file>