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Shaller Russell</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7"/>
          <w:szCs w:val="17"/>
          <w:color w:val="0000FF"/>
        </w:rPr>
        <w:t>SRVP &amp; Pres., Ident Solns</w:t>
      </w:r>
    </w:p>
    <w:p>
      <w:pPr>
        <w:spacing w:after="0" w:line="302"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53223</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0890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089025"/>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4"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09/30/2020</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5,637</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55,604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25,636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39.92</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09/30/2020</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25,636</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09/30/2030</w:t>
            </w: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25,636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-1964055</wp:posOffset>
            </wp:positionV>
            <wp:extent cx="7033895" cy="2005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596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options exercisable one third each year for the three years subsequent to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Heidi Knueppel,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10/01/2020</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6159"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2020-10-01T13:37:38Z</dcterms:created>
  <dcterms:modified xsi:type="dcterms:W3CDTF">2020-10-01T13:37:38Z</dcterms:modified>
</cp:coreProperties>
</file>