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7"/>
          <w:szCs w:val="27"/>
          <w:b w:val="1"/>
          <w:bCs w:val="1"/>
          <w:color w:val="auto"/>
        </w:rPr>
        <w:t>UNITED STATES</w:t>
      </w:r>
    </w:p>
    <w:p>
      <w:pPr>
        <w:spacing w:after="0" w:line="41" w:lineRule="exact"/>
        <w:rPr>
          <w:sz w:val="24"/>
          <w:szCs w:val="24"/>
          <w:color w:val="auto"/>
        </w:rPr>
      </w:pPr>
    </w:p>
    <w:p>
      <w:pPr>
        <w:jc w:val="center"/>
        <w:ind w:right="-1200"/>
        <w:spacing w:after="0"/>
        <w:rPr>
          <w:sz w:val="20"/>
          <w:szCs w:val="20"/>
          <w:color w:val="auto"/>
        </w:rPr>
      </w:pPr>
      <w:r>
        <w:rPr>
          <w:rFonts w:ascii="Arial" w:cs="Arial" w:eastAsia="Arial" w:hAnsi="Arial"/>
          <w:sz w:val="27"/>
          <w:szCs w:val="27"/>
          <w:b w:val="1"/>
          <w:bCs w:val="1"/>
          <w:color w:val="auto"/>
        </w:rPr>
        <w:t>SECURITIES AND EXCHANGE COMMISSION</w:t>
      </w:r>
    </w:p>
    <w:p>
      <w:pPr>
        <w:spacing w:after="0" w:line="10"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182245</wp:posOffset>
            </wp:positionV>
            <wp:extent cx="15938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3850" cy="6985"/>
                    </a:xfrm>
                    <a:prstGeom prst="rect">
                      <a:avLst/>
                    </a:prstGeom>
                    <a:noFill/>
                  </pic:spPr>
                </pic:pic>
              </a:graphicData>
            </a:graphic>
          </wp:anchor>
        </w:drawing>
      </w:r>
    </w:p>
    <w:p>
      <w:pPr>
        <w:spacing w:after="0" w:line="322" w:lineRule="exact"/>
        <w:rPr>
          <w:sz w:val="24"/>
          <w:szCs w:val="24"/>
          <w:color w:val="auto"/>
        </w:rPr>
      </w:pPr>
    </w:p>
    <w:tbl>
      <w:tblPr>
        <w:tblLayout w:type="fixed"/>
        <w:tblInd w:w="2420" w:type="dxa"/>
        <w:tblCellMar>
          <w:top w:w="0" w:type="dxa"/>
          <w:left w:w="0" w:type="dxa"/>
          <w:bottom w:w="0" w:type="dxa"/>
          <w:right w:w="0" w:type="dxa"/>
        </w:tblCellMar>
      </w:tblPr>
      <w:tr>
        <w:trPr>
          <w:trHeight w:val="358"/>
        </w:trPr>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gridSpan w:val="2"/>
          </w:tcPr>
          <w:p>
            <w:pPr>
              <w:jc w:val="center"/>
              <w:ind w:right="2139"/>
              <w:spacing w:after="0"/>
              <w:rPr>
                <w:sz w:val="20"/>
                <w:szCs w:val="20"/>
                <w:color w:val="auto"/>
              </w:rPr>
            </w:pPr>
            <w:r>
              <w:rPr>
                <w:rFonts w:ascii="Arial" w:cs="Arial" w:eastAsia="Arial" w:hAnsi="Arial"/>
                <w:sz w:val="27"/>
                <w:szCs w:val="27"/>
                <w:b w:val="1"/>
                <w:bCs w:val="1"/>
                <w:color w:val="auto"/>
              </w:rPr>
              <w:t>FORM SD</w:t>
            </w:r>
          </w:p>
        </w:tc>
      </w:tr>
      <w:tr>
        <w:trPr>
          <w:trHeight w:val="203"/>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18"/>
        </w:trPr>
        <w:tc>
          <w:tcPr>
            <w:tcW w:w="1000" w:type="dxa"/>
            <w:vAlign w:val="bottom"/>
          </w:tcPr>
          <w:p>
            <w:pPr>
              <w:spacing w:after="0"/>
              <w:rPr>
                <w:sz w:val="24"/>
                <w:szCs w:val="24"/>
                <w:color w:val="auto"/>
              </w:rPr>
            </w:pPr>
          </w:p>
        </w:tc>
        <w:tc>
          <w:tcPr>
            <w:tcW w:w="5740" w:type="dxa"/>
            <w:vAlign w:val="bottom"/>
            <w:gridSpan w:val="3"/>
          </w:tcPr>
          <w:p>
            <w:pPr>
              <w:jc w:val="center"/>
              <w:ind w:right="1099"/>
              <w:spacing w:after="0"/>
              <w:rPr>
                <w:sz w:val="20"/>
                <w:szCs w:val="20"/>
                <w:color w:val="auto"/>
              </w:rPr>
            </w:pPr>
            <w:r>
              <w:rPr>
                <w:rFonts w:ascii="Arial" w:cs="Arial" w:eastAsia="Arial" w:hAnsi="Arial"/>
                <w:sz w:val="21"/>
                <w:szCs w:val="21"/>
                <w:b w:val="1"/>
                <w:bCs w:val="1"/>
                <w:color w:val="auto"/>
                <w:w w:val="89"/>
              </w:rPr>
              <w:t>Specialized Disclosure Report</w:t>
            </w:r>
          </w:p>
        </w:tc>
      </w:tr>
      <w:tr>
        <w:trPr>
          <w:trHeight w:val="267"/>
        </w:trPr>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520" w:type="dxa"/>
            <w:vAlign w:val="bottom"/>
            <w:tcBorders>
              <w:bottom w:val="single" w:sz="8" w:color="auto"/>
            </w:tcBorders>
          </w:tcPr>
          <w:p>
            <w:pPr>
              <w:spacing w:after="0"/>
              <w:rPr>
                <w:sz w:val="23"/>
                <w:szCs w:val="23"/>
                <w:color w:val="auto"/>
              </w:rPr>
            </w:pPr>
          </w:p>
        </w:tc>
        <w:tc>
          <w:tcPr>
            <w:tcW w:w="2180" w:type="dxa"/>
            <w:vAlign w:val="bottom"/>
          </w:tcPr>
          <w:p>
            <w:pPr>
              <w:spacing w:after="0"/>
              <w:rPr>
                <w:sz w:val="23"/>
                <w:szCs w:val="23"/>
                <w:color w:val="auto"/>
              </w:rPr>
            </w:pPr>
          </w:p>
        </w:tc>
      </w:tr>
      <w:tr>
        <w:trPr>
          <w:trHeight w:val="479"/>
        </w:trPr>
        <w:tc>
          <w:tcPr>
            <w:tcW w:w="1000" w:type="dxa"/>
            <w:vAlign w:val="bottom"/>
          </w:tcPr>
          <w:p>
            <w:pPr>
              <w:spacing w:after="0"/>
              <w:rPr>
                <w:sz w:val="24"/>
                <w:szCs w:val="24"/>
                <w:color w:val="auto"/>
              </w:rPr>
            </w:pPr>
          </w:p>
        </w:tc>
        <w:tc>
          <w:tcPr>
            <w:tcW w:w="5740" w:type="dxa"/>
            <w:vAlign w:val="bottom"/>
            <w:gridSpan w:val="3"/>
          </w:tcPr>
          <w:p>
            <w:pPr>
              <w:jc w:val="center"/>
              <w:ind w:right="1099"/>
              <w:spacing w:after="0"/>
              <w:rPr>
                <w:sz w:val="20"/>
                <w:szCs w:val="20"/>
                <w:color w:val="auto"/>
              </w:rPr>
            </w:pPr>
            <w:r>
              <w:rPr>
                <w:rFonts w:ascii="Arial" w:cs="Arial" w:eastAsia="Arial" w:hAnsi="Arial"/>
                <w:sz w:val="37"/>
                <w:szCs w:val="37"/>
                <w:b w:val="1"/>
                <w:bCs w:val="1"/>
                <w:color w:val="auto"/>
                <w:w w:val="98"/>
              </w:rPr>
              <w:t>BRADY CORPORATION</w:t>
            </w:r>
          </w:p>
        </w:tc>
      </w:tr>
      <w:tr>
        <w:trPr>
          <w:trHeight w:val="196"/>
        </w:trPr>
        <w:tc>
          <w:tcPr>
            <w:tcW w:w="1000" w:type="dxa"/>
            <w:vAlign w:val="bottom"/>
          </w:tcPr>
          <w:p>
            <w:pPr>
              <w:spacing w:after="0"/>
              <w:rPr>
                <w:sz w:val="17"/>
                <w:szCs w:val="17"/>
                <w:color w:val="auto"/>
              </w:rPr>
            </w:pPr>
          </w:p>
        </w:tc>
        <w:tc>
          <w:tcPr>
            <w:tcW w:w="5740" w:type="dxa"/>
            <w:vAlign w:val="bottom"/>
            <w:gridSpan w:val="3"/>
          </w:tcPr>
          <w:p>
            <w:pPr>
              <w:jc w:val="center"/>
              <w:ind w:right="1079"/>
              <w:spacing w:after="0"/>
              <w:rPr>
                <w:sz w:val="20"/>
                <w:szCs w:val="20"/>
                <w:color w:val="auto"/>
              </w:rPr>
            </w:pPr>
            <w:r>
              <w:rPr>
                <w:rFonts w:ascii="Arial" w:cs="Arial" w:eastAsia="Arial" w:hAnsi="Arial"/>
                <w:sz w:val="15"/>
                <w:szCs w:val="15"/>
                <w:b w:val="1"/>
                <w:bCs w:val="1"/>
                <w:color w:val="auto"/>
                <w:w w:val="90"/>
              </w:rPr>
              <w:t>(Exact name of registrant as specified in its charter)</w:t>
            </w:r>
          </w:p>
        </w:tc>
      </w:tr>
      <w:tr>
        <w:trPr>
          <w:trHeight w:val="218"/>
        </w:trPr>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700" w:type="dxa"/>
            <w:vAlign w:val="bottom"/>
            <w:gridSpan w:val="2"/>
          </w:tcPr>
          <w:p>
            <w:pPr>
              <w:jc w:val="center"/>
              <w:ind w:right="2139"/>
              <w:spacing w:after="0"/>
              <w:rPr>
                <w:sz w:val="20"/>
                <w:szCs w:val="20"/>
                <w:color w:val="auto"/>
              </w:rPr>
            </w:pPr>
            <w:r>
              <w:rPr>
                <w:rFonts w:ascii="Arial" w:cs="Arial" w:eastAsia="Arial" w:hAnsi="Arial"/>
                <w:sz w:val="15"/>
                <w:szCs w:val="15"/>
                <w:b w:val="1"/>
                <w:bCs w:val="1"/>
                <w:color w:val="auto"/>
                <w:w w:val="92"/>
              </w:rPr>
              <w:t>Commission File Number 1-14959</w:t>
            </w:r>
          </w:p>
        </w:tc>
      </w:tr>
      <w:tr>
        <w:trPr>
          <w:trHeight w:val="593"/>
        </w:trPr>
        <w:tc>
          <w:tcPr>
            <w:tcW w:w="1000" w:type="dxa"/>
            <w:vAlign w:val="bottom"/>
          </w:tcPr>
          <w:p>
            <w:pPr>
              <w:jc w:val="center"/>
              <w:ind w:right="174"/>
              <w:spacing w:after="0"/>
              <w:rPr>
                <w:sz w:val="20"/>
                <w:szCs w:val="20"/>
                <w:color w:val="auto"/>
              </w:rPr>
            </w:pPr>
            <w:r>
              <w:rPr>
                <w:rFonts w:ascii="Arial" w:cs="Arial" w:eastAsia="Arial" w:hAnsi="Arial"/>
                <w:sz w:val="15"/>
                <w:szCs w:val="15"/>
                <w:b w:val="1"/>
                <w:bCs w:val="1"/>
                <w:color w:val="auto"/>
                <w:w w:val="90"/>
              </w:rPr>
              <w:t>Wisconsin</w:t>
            </w:r>
          </w:p>
        </w:tc>
        <w:tc>
          <w:tcPr>
            <w:tcW w:w="5740" w:type="dxa"/>
            <w:vAlign w:val="bottom"/>
            <w:gridSpan w:val="3"/>
          </w:tcPr>
          <w:p>
            <w:pPr>
              <w:jc w:val="center"/>
              <w:ind w:left="4700"/>
              <w:spacing w:after="0"/>
              <w:rPr>
                <w:sz w:val="20"/>
                <w:szCs w:val="20"/>
                <w:color w:val="auto"/>
              </w:rPr>
            </w:pPr>
            <w:r>
              <w:rPr>
                <w:rFonts w:ascii="Arial" w:cs="Arial" w:eastAsia="Arial" w:hAnsi="Arial"/>
                <w:sz w:val="15"/>
                <w:szCs w:val="15"/>
                <w:b w:val="1"/>
                <w:bCs w:val="1"/>
                <w:color w:val="auto"/>
                <w:w w:val="92"/>
              </w:rPr>
              <w:t>39-0178960</w:t>
            </w:r>
          </w:p>
        </w:tc>
      </w:tr>
      <w:tr>
        <w:trPr>
          <w:trHeight w:val="153"/>
        </w:trPr>
        <w:tc>
          <w:tcPr>
            <w:tcW w:w="1000" w:type="dxa"/>
            <w:vAlign w:val="bottom"/>
          </w:tcPr>
          <w:p>
            <w:pPr>
              <w:jc w:val="center"/>
              <w:ind w:right="174"/>
              <w:spacing w:after="0"/>
              <w:rPr>
                <w:sz w:val="20"/>
                <w:szCs w:val="20"/>
                <w:color w:val="auto"/>
              </w:rPr>
            </w:pPr>
            <w:r>
              <w:rPr>
                <w:rFonts w:ascii="Arial" w:cs="Arial" w:eastAsia="Arial" w:hAnsi="Arial"/>
                <w:sz w:val="12"/>
                <w:szCs w:val="12"/>
                <w:b w:val="1"/>
                <w:bCs w:val="1"/>
                <w:color w:val="auto"/>
                <w:w w:val="91"/>
              </w:rPr>
              <w:t>(State of</w:t>
            </w:r>
          </w:p>
        </w:tc>
        <w:tc>
          <w:tcPr>
            <w:tcW w:w="10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180" w:type="dxa"/>
            <w:vAlign w:val="bottom"/>
          </w:tcPr>
          <w:p>
            <w:pPr>
              <w:jc w:val="center"/>
              <w:ind w:left="1179"/>
              <w:spacing w:after="0"/>
              <w:rPr>
                <w:sz w:val="20"/>
                <w:szCs w:val="20"/>
                <w:color w:val="auto"/>
              </w:rPr>
            </w:pPr>
            <w:r>
              <w:rPr>
                <w:rFonts w:ascii="Arial" w:cs="Arial" w:eastAsia="Arial" w:hAnsi="Arial"/>
                <w:sz w:val="12"/>
                <w:szCs w:val="12"/>
                <w:b w:val="1"/>
                <w:bCs w:val="1"/>
                <w:color w:val="auto"/>
                <w:w w:val="95"/>
              </w:rPr>
              <w:t>(IRS Employer</w:t>
            </w:r>
          </w:p>
        </w:tc>
      </w:tr>
      <w:tr>
        <w:trPr>
          <w:trHeight w:val="153"/>
        </w:trPr>
        <w:tc>
          <w:tcPr>
            <w:tcW w:w="1000" w:type="dxa"/>
            <w:vAlign w:val="bottom"/>
          </w:tcPr>
          <w:p>
            <w:pPr>
              <w:jc w:val="center"/>
              <w:ind w:right="174"/>
              <w:spacing w:after="0"/>
              <w:rPr>
                <w:sz w:val="20"/>
                <w:szCs w:val="20"/>
                <w:color w:val="auto"/>
              </w:rPr>
            </w:pPr>
            <w:r>
              <w:rPr>
                <w:rFonts w:ascii="Arial" w:cs="Arial" w:eastAsia="Arial" w:hAnsi="Arial"/>
                <w:sz w:val="12"/>
                <w:szCs w:val="12"/>
                <w:b w:val="1"/>
                <w:bCs w:val="1"/>
                <w:color w:val="auto"/>
                <w:w w:val="93"/>
              </w:rPr>
              <w:t>Incorporation)</w:t>
            </w:r>
          </w:p>
        </w:tc>
        <w:tc>
          <w:tcPr>
            <w:tcW w:w="10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180" w:type="dxa"/>
            <w:vAlign w:val="bottom"/>
          </w:tcPr>
          <w:p>
            <w:pPr>
              <w:jc w:val="center"/>
              <w:ind w:left="1179"/>
              <w:spacing w:after="0"/>
              <w:rPr>
                <w:sz w:val="20"/>
                <w:szCs w:val="20"/>
                <w:color w:val="auto"/>
              </w:rPr>
            </w:pPr>
            <w:r>
              <w:rPr>
                <w:rFonts w:ascii="Arial" w:cs="Arial" w:eastAsia="Arial" w:hAnsi="Arial"/>
                <w:sz w:val="12"/>
                <w:szCs w:val="12"/>
                <w:b w:val="1"/>
                <w:bCs w:val="1"/>
                <w:color w:val="auto"/>
                <w:w w:val="92"/>
              </w:rPr>
              <w:t>Identification No.)</w:t>
            </w:r>
          </w:p>
        </w:tc>
      </w:tr>
      <w:tr>
        <w:trPr>
          <w:trHeight w:val="183"/>
        </w:trPr>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700" w:type="dxa"/>
            <w:vAlign w:val="bottom"/>
            <w:gridSpan w:val="2"/>
          </w:tcPr>
          <w:p>
            <w:pPr>
              <w:jc w:val="center"/>
              <w:ind w:right="2139"/>
              <w:spacing w:after="0"/>
              <w:rPr>
                <w:sz w:val="20"/>
                <w:szCs w:val="20"/>
                <w:color w:val="auto"/>
              </w:rPr>
            </w:pPr>
            <w:r>
              <w:rPr>
                <w:rFonts w:ascii="Arial" w:cs="Arial" w:eastAsia="Arial" w:hAnsi="Arial"/>
                <w:sz w:val="15"/>
                <w:szCs w:val="15"/>
                <w:b w:val="1"/>
                <w:bCs w:val="1"/>
                <w:color w:val="auto"/>
                <w:w w:val="90"/>
              </w:rPr>
              <w:t>6555 West Good Hope Road</w:t>
            </w:r>
          </w:p>
        </w:tc>
      </w:tr>
      <w:tr>
        <w:trPr>
          <w:trHeight w:val="177"/>
        </w:trPr>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700" w:type="dxa"/>
            <w:vAlign w:val="bottom"/>
            <w:gridSpan w:val="2"/>
          </w:tcPr>
          <w:p>
            <w:pPr>
              <w:jc w:val="center"/>
              <w:ind w:right="2119"/>
              <w:spacing w:after="0"/>
              <w:rPr>
                <w:sz w:val="20"/>
                <w:szCs w:val="20"/>
                <w:color w:val="auto"/>
              </w:rPr>
            </w:pPr>
            <w:r>
              <w:rPr>
                <w:rFonts w:ascii="Arial" w:cs="Arial" w:eastAsia="Arial" w:hAnsi="Arial"/>
                <w:sz w:val="15"/>
                <w:szCs w:val="15"/>
                <w:b w:val="1"/>
                <w:bCs w:val="1"/>
                <w:color w:val="auto"/>
                <w:w w:val="92"/>
              </w:rPr>
              <w:t>Milwaukee, Wisconsin 53223</w:t>
            </w:r>
          </w:p>
        </w:tc>
      </w:tr>
      <w:tr>
        <w:trPr>
          <w:trHeight w:val="158"/>
        </w:trPr>
        <w:tc>
          <w:tcPr>
            <w:tcW w:w="1000" w:type="dxa"/>
            <w:vAlign w:val="bottom"/>
          </w:tcPr>
          <w:p>
            <w:pPr>
              <w:spacing w:after="0"/>
              <w:rPr>
                <w:sz w:val="13"/>
                <w:szCs w:val="13"/>
                <w:color w:val="auto"/>
              </w:rPr>
            </w:pPr>
          </w:p>
        </w:tc>
        <w:tc>
          <w:tcPr>
            <w:tcW w:w="5740" w:type="dxa"/>
            <w:vAlign w:val="bottom"/>
            <w:gridSpan w:val="3"/>
          </w:tcPr>
          <w:p>
            <w:pPr>
              <w:jc w:val="center"/>
              <w:ind w:right="1099"/>
              <w:spacing w:after="0"/>
              <w:rPr>
                <w:sz w:val="20"/>
                <w:szCs w:val="20"/>
                <w:color w:val="auto"/>
              </w:rPr>
            </w:pPr>
            <w:r>
              <w:rPr>
                <w:rFonts w:ascii="Arial" w:cs="Arial" w:eastAsia="Arial" w:hAnsi="Arial"/>
                <w:sz w:val="12"/>
                <w:szCs w:val="12"/>
                <w:b w:val="1"/>
                <w:bCs w:val="1"/>
                <w:color w:val="auto"/>
                <w:w w:val="91"/>
              </w:rPr>
              <w:t>(Address of Principal Executive Offices and Zip Code)</w:t>
            </w:r>
          </w:p>
        </w:tc>
      </w:tr>
    </w:tbl>
    <w:p>
      <w:pPr>
        <w:spacing w:after="0" w:line="121" w:lineRule="exact"/>
        <w:rPr>
          <w:sz w:val="24"/>
          <w:szCs w:val="24"/>
          <w:color w:val="auto"/>
        </w:rPr>
      </w:pPr>
    </w:p>
    <w:p>
      <w:pPr>
        <w:jc w:val="center"/>
        <w:ind w:right="-1200"/>
        <w:spacing w:after="0"/>
        <w:rPr>
          <w:sz w:val="20"/>
          <w:szCs w:val="20"/>
          <w:color w:val="auto"/>
        </w:rPr>
      </w:pPr>
      <w:r>
        <w:rPr>
          <w:rFonts w:ascii="Arial" w:cs="Arial" w:eastAsia="Arial" w:hAnsi="Arial"/>
          <w:sz w:val="15"/>
          <w:szCs w:val="15"/>
          <w:b w:val="1"/>
          <w:bCs w:val="1"/>
          <w:color w:val="auto"/>
        </w:rPr>
        <w:t>Louis T. Bolognini (414) 358-6600</w:t>
      </w:r>
    </w:p>
    <w:p>
      <w:pPr>
        <w:spacing w:after="0" w:line="19" w:lineRule="exact"/>
        <w:rPr>
          <w:sz w:val="24"/>
          <w:szCs w:val="24"/>
          <w:color w:val="auto"/>
        </w:rPr>
      </w:pPr>
    </w:p>
    <w:p>
      <w:pPr>
        <w:ind w:left="2980"/>
        <w:spacing w:after="0"/>
        <w:rPr>
          <w:sz w:val="20"/>
          <w:szCs w:val="20"/>
          <w:color w:val="auto"/>
        </w:rPr>
      </w:pPr>
      <w:r>
        <w:rPr>
          <w:rFonts w:ascii="Arial" w:cs="Arial" w:eastAsia="Arial" w:hAnsi="Arial"/>
          <w:sz w:val="12"/>
          <w:szCs w:val="12"/>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2834640</wp:posOffset>
            </wp:positionH>
            <wp:positionV relativeFrom="paragraph">
              <wp:posOffset>140335</wp:posOffset>
            </wp:positionV>
            <wp:extent cx="15938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3850" cy="6985"/>
                    </a:xfrm>
                    <a:prstGeom prst="rect">
                      <a:avLst/>
                    </a:prstGeom>
                    <a:noFill/>
                  </pic:spPr>
                </pic:pic>
              </a:graphicData>
            </a:graphic>
          </wp:anchor>
        </w:drawing>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to indicate the rule pursuant to which this form is being filed, and provide the period to which the information in this form applies:</w:t>
      </w:r>
    </w:p>
    <w:p>
      <w:pPr>
        <w:spacing w:after="0" w:line="216" w:lineRule="exact"/>
        <w:rPr>
          <w:sz w:val="24"/>
          <w:szCs w:val="24"/>
          <w:color w:val="auto"/>
        </w:rPr>
      </w:pPr>
    </w:p>
    <w:p>
      <w:pPr>
        <w:ind w:left="800" w:hanging="786"/>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5"/>
          <w:szCs w:val="15"/>
          <w:color w:val="auto"/>
        </w:rPr>
        <w:t>Rule 13p-1 under the Securities Exchange Act (17 CFR 240.13p-1) for the reporting period from January 1 to December 31, 2015</w:t>
      </w:r>
    </w:p>
    <w:p>
      <w:pPr>
        <w:sectPr>
          <w:pgSz w:w="11900" w:h="16838" w:orient="portrait"/>
          <w:cols w:equalWidth="0" w:num="1">
            <w:col w:w="10219"/>
          </w:cols>
          <w:pgMar w:left="240" w:top="1005"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SECTION 1 - CONFLICT MINERALS DISCLOSURE</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1.01 Conflict Minerals Disclosure and Report</w:t>
      </w:r>
    </w:p>
    <w:p>
      <w:pPr>
        <w:spacing w:after="0" w:line="37" w:lineRule="exact"/>
        <w:rPr>
          <w:sz w:val="20"/>
          <w:szCs w:val="20"/>
          <w:color w:val="auto"/>
        </w:rPr>
      </w:pPr>
    </w:p>
    <w:p>
      <w:pPr>
        <w:ind w:left="60" w:firstLine="548"/>
        <w:spacing w:after="0" w:line="258" w:lineRule="auto"/>
        <w:rPr>
          <w:sz w:val="20"/>
          <w:szCs w:val="20"/>
          <w:color w:val="auto"/>
        </w:rPr>
      </w:pPr>
      <w:r>
        <w:rPr>
          <w:rFonts w:ascii="Arial" w:cs="Arial" w:eastAsia="Arial" w:hAnsi="Arial"/>
          <w:sz w:val="15"/>
          <w:szCs w:val="15"/>
          <w:color w:val="auto"/>
        </w:rPr>
        <w:t>Brady Corporation and its subsidiaries (“Brady”, “Company”, “we”, “us”,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or an adjoining country (the “Covered Countries”). For calendar year 2015, Brady has conducted its reasonable country of origin inquiry (“RCOI”) in good faith for the products manufactured, or contracted to manufacture, by the Company where 3TG Minerals are necessary to the functionality or production of such products. We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Covered Countries. However, our diligence with our suppliers is ongoing.</w:t>
      </w:r>
    </w:p>
    <w:p>
      <w:pPr>
        <w:spacing w:after="0" w:line="163" w:lineRule="exact"/>
        <w:rPr>
          <w:sz w:val="20"/>
          <w:szCs w:val="20"/>
          <w:color w:val="auto"/>
        </w:rPr>
      </w:pPr>
    </w:p>
    <w:p>
      <w:pPr>
        <w:ind w:left="60" w:right="200" w:firstLine="548"/>
        <w:spacing w:after="0" w:line="267" w:lineRule="auto"/>
        <w:rPr>
          <w:sz w:val="20"/>
          <w:szCs w:val="20"/>
          <w:color w:val="auto"/>
        </w:rPr>
      </w:pPr>
      <w:r>
        <w:rPr>
          <w:rFonts w:ascii="Arial" w:cs="Arial" w:eastAsia="Arial" w:hAnsi="Arial"/>
          <w:sz w:val="15"/>
          <w:szCs w:val="15"/>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Conflict Minerals Disclosure</w:t>
      </w:r>
    </w:p>
    <w:p>
      <w:pPr>
        <w:spacing w:after="0" w:line="19" w:lineRule="exact"/>
        <w:rPr>
          <w:sz w:val="20"/>
          <w:szCs w:val="20"/>
          <w:color w:val="auto"/>
        </w:rPr>
      </w:pPr>
    </w:p>
    <w:p>
      <w:pPr>
        <w:ind w:left="60" w:right="80" w:firstLine="548"/>
        <w:spacing w:after="0" w:line="304" w:lineRule="auto"/>
        <w:rPr>
          <w:sz w:val="20"/>
          <w:szCs w:val="20"/>
          <w:color w:val="auto"/>
        </w:rPr>
      </w:pPr>
      <w:r>
        <w:rPr>
          <w:rFonts w:ascii="Arial" w:cs="Arial" w:eastAsia="Arial" w:hAnsi="Arial"/>
          <w:sz w:val="14"/>
          <w:szCs w:val="14"/>
          <w:color w:val="auto"/>
        </w:rPr>
        <w:t>For calendar year 2015, Brady Corporation is filing a Conflict Minerals Report which is attached as Exhibit 1.01 in Item 2.01 and is also publicly available on our website at the below link. (</w:t>
      </w:r>
      <w:r>
        <w:rPr>
          <w:rFonts w:ascii="Arial" w:cs="Arial" w:eastAsia="Arial" w:hAnsi="Arial"/>
          <w:sz w:val="14"/>
          <w:szCs w:val="14"/>
          <w:u w:val="single" w:color="auto"/>
          <w:color w:val="0000FF"/>
        </w:rPr>
        <w:t>http://www.bradycorp.com/en/sustainability/~/media/BradyCorp/Sustainability/Conflict%20Minerals/Brady_2015_FormSD_CMR_Final_052016.pdf</w:t>
      </w:r>
      <w:r>
        <w:rPr>
          <w:rFonts w:ascii="Arial" w:cs="Arial" w:eastAsia="Arial" w:hAnsi="Arial"/>
          <w:sz w:val="14"/>
          <w:szCs w:val="14"/>
          <w:color w:val="auto"/>
        </w:rPr>
        <w:t>)</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1.02  Exhibit</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Conflict Minerals Report required by Item 1.01 is filed as Exhibit 1.01 to this Form SD.</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2 - EXHIBITS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2.01 Exhibits</w:t>
      </w:r>
    </w:p>
    <w:p>
      <w:pPr>
        <w:spacing w:after="0" w:line="3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Exhibit 1.01 Conflict Minerals Report as required by Items 1.01 and 1.02 of this Form SD for calendar year ended December 31, 2015.</w:t>
      </w:r>
    </w:p>
    <w:p>
      <w:pPr>
        <w:spacing w:after="0" w:line="375" w:lineRule="exact"/>
        <w:rPr>
          <w:sz w:val="20"/>
          <w:szCs w:val="20"/>
          <w:color w:val="auto"/>
        </w:rPr>
      </w:pPr>
    </w:p>
    <w:p>
      <w:pPr>
        <w:ind w:left="5300"/>
        <w:spacing w:after="0"/>
        <w:rPr>
          <w:sz w:val="20"/>
          <w:szCs w:val="20"/>
          <w:color w:val="auto"/>
        </w:rPr>
      </w:pPr>
      <w:r>
        <w:rPr>
          <w:rFonts w:ascii="Arial" w:cs="Arial" w:eastAsia="Arial" w:hAnsi="Arial"/>
          <w:sz w:val="15"/>
          <w:szCs w:val="15"/>
          <w:color w:val="auto"/>
        </w:rPr>
        <w:t>SIGNATURE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duly authorized undersigned.</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5"/>
          <w:szCs w:val="15"/>
          <w:color w:val="auto"/>
        </w:rPr>
        <w:t>/s/ AARON J. PEARCE</w:t>
      </w:r>
      <w:r>
        <w:rPr>
          <w:sz w:val="20"/>
          <w:szCs w:val="20"/>
          <w:color w:val="auto"/>
        </w:rPr>
        <w:tab/>
      </w:r>
      <w:r>
        <w:rPr>
          <w:rFonts w:ascii="Arial" w:cs="Arial" w:eastAsia="Arial" w:hAnsi="Arial"/>
          <w:sz w:val="13"/>
          <w:szCs w:val="13"/>
          <w:color w:val="auto"/>
        </w:rPr>
        <w:t>Date: May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675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Aaron J. Pearce</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Senior Vice President, Chief Financial Officer and Chief Accounting Officer</w:t>
      </w:r>
    </w:p>
    <w:p>
      <w:pPr>
        <w:sectPr>
          <w:pgSz w:w="11900" w:h="16838" w:orient="portrait"/>
          <w:cols w:equalWidth="0" w:num="1">
            <w:col w:w="11420"/>
          </w:cols>
          <w:pgMar w:left="240" w:top="69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7"/>
          <w:szCs w:val="17"/>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Brady Corporation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Conflict Minerals Report</w:t>
      </w:r>
    </w:p>
    <w:p>
      <w:pPr>
        <w:jc w:val="center"/>
        <w:ind w:right="-59"/>
        <w:spacing w:after="0"/>
        <w:rPr>
          <w:sz w:val="20"/>
          <w:szCs w:val="20"/>
          <w:color w:val="auto"/>
        </w:rPr>
      </w:pPr>
      <w:r>
        <w:rPr>
          <w:rFonts w:ascii="Arial" w:cs="Arial" w:eastAsia="Arial" w:hAnsi="Arial"/>
          <w:sz w:val="17"/>
          <w:szCs w:val="17"/>
          <w:b w:val="1"/>
          <w:bCs w:val="1"/>
          <w:color w:val="auto"/>
        </w:rPr>
        <w:t>For the year ended December 31, 2015</w:t>
      </w:r>
    </w:p>
    <w:p>
      <w:pPr>
        <w:spacing w:after="0" w:line="350" w:lineRule="exact"/>
        <w:rPr>
          <w:sz w:val="20"/>
          <w:szCs w:val="20"/>
          <w:color w:val="auto"/>
        </w:rPr>
      </w:pPr>
    </w:p>
    <w:p>
      <w:pPr>
        <w:ind w:left="1080" w:hanging="541"/>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Introduction.</w:t>
      </w:r>
    </w:p>
    <w:p>
      <w:pPr>
        <w:spacing w:after="0" w:line="196" w:lineRule="exact"/>
        <w:rPr>
          <w:rFonts w:ascii="Arial" w:cs="Arial" w:eastAsia="Arial" w:hAnsi="Arial"/>
          <w:sz w:val="15"/>
          <w:szCs w:val="15"/>
          <w:color w:val="auto"/>
        </w:rPr>
      </w:pPr>
    </w:p>
    <w:p>
      <w:pPr>
        <w:jc w:val="both"/>
        <w:ind w:left="1080"/>
        <w:spacing w:after="0" w:line="281" w:lineRule="auto"/>
        <w:rPr>
          <w:rFonts w:ascii="Arial" w:cs="Arial" w:eastAsia="Arial" w:hAnsi="Arial"/>
          <w:sz w:val="15"/>
          <w:szCs w:val="15"/>
          <w:color w:val="auto"/>
        </w:rPr>
      </w:pPr>
      <w:r>
        <w:rPr>
          <w:rFonts w:ascii="Arial" w:cs="Arial" w:eastAsia="Arial" w:hAnsi="Arial"/>
          <w:sz w:val="14"/>
          <w:szCs w:val="14"/>
          <w:color w:val="auto"/>
        </w:rPr>
        <w:t>This report has been prepared by management of Brady Corporation (hereinafter referred to as “Brady”, the “Company”, “we”, “us”, or “our”) pursuant to Rule 13p-1 under the Securities Exchange Act of 1934 as amended, for the reporting period January 1 to December 31, 2015. The report discusses efforts undertaken by Brady to determine whether our products contain casserite,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2015.</w:t>
      </w:r>
    </w:p>
    <w:p>
      <w:pPr>
        <w:spacing w:after="0" w:line="147"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The statements below are based on the activities performed to date in good faith by Brady and are based on information available at the time of this filing.</w:t>
      </w:r>
    </w:p>
    <w:p>
      <w:pPr>
        <w:spacing w:after="0" w:line="192" w:lineRule="exact"/>
        <w:rPr>
          <w:rFonts w:ascii="Arial" w:cs="Arial" w:eastAsia="Arial" w:hAnsi="Arial"/>
          <w:sz w:val="15"/>
          <w:szCs w:val="15"/>
          <w:color w:val="auto"/>
        </w:rPr>
      </w:pPr>
    </w:p>
    <w:p>
      <w:pPr>
        <w:jc w:val="both"/>
        <w:ind w:left="1080"/>
        <w:spacing w:after="0" w:line="260" w:lineRule="auto"/>
        <w:rPr>
          <w:rFonts w:ascii="Arial" w:cs="Arial" w:eastAsia="Arial" w:hAnsi="Arial"/>
          <w:sz w:val="15"/>
          <w:szCs w:val="15"/>
          <w:color w:val="auto"/>
        </w:rPr>
      </w:pPr>
      <w:r>
        <w:rPr>
          <w:rFonts w:ascii="Arial" w:cs="Arial" w:eastAsia="Arial" w:hAnsi="Arial"/>
          <w:sz w:val="15"/>
          <w:szCs w:val="15"/>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157" w:lineRule="exact"/>
        <w:rPr>
          <w:sz w:val="20"/>
          <w:szCs w:val="20"/>
          <w:color w:val="auto"/>
        </w:rPr>
      </w:pPr>
    </w:p>
    <w:p>
      <w:pPr>
        <w:ind w:left="1080" w:hanging="541"/>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Reasonable Country of Origin Inquiry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0" w:lineRule="exact"/>
        <w:rPr>
          <w:sz w:val="20"/>
          <w:szCs w:val="20"/>
          <w:color w:val="auto"/>
        </w:rPr>
      </w:pPr>
    </w:p>
    <w:p>
      <w:pPr>
        <w:jc w:val="both"/>
        <w:ind w:left="1080"/>
        <w:spacing w:after="0" w:line="256" w:lineRule="auto"/>
        <w:rPr>
          <w:sz w:val="20"/>
          <w:szCs w:val="20"/>
          <w:color w:val="auto"/>
        </w:rPr>
      </w:pPr>
      <w:r>
        <w:rPr>
          <w:rFonts w:ascii="Arial" w:cs="Arial" w:eastAsia="Arial" w:hAnsi="Arial"/>
          <w:sz w:val="15"/>
          <w:szCs w:val="15"/>
          <w:color w:val="auto"/>
        </w:rPr>
        <w:t>Our 2015 RCOI inquiry began with identifying the products we manufacture or contract to manufacture that have a possibility of containing 3TG Minerals, or where 3TG minerals are required for the functionality or production of such products. In 2015, Brady expanded the scope of the review of its product lines, as compared to 2014, by evaluating new products and adding new suppliers to its RCOI during the filing year, and where there was uncertainty about whether a particular product potentially contained 3TG Minerals, it was included in the 2015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165" w:lineRule="exact"/>
        <w:rPr>
          <w:sz w:val="20"/>
          <w:szCs w:val="20"/>
          <w:color w:val="auto"/>
        </w:rPr>
      </w:pPr>
    </w:p>
    <w:p>
      <w:pPr>
        <w:jc w:val="both"/>
        <w:ind w:left="1080"/>
        <w:spacing w:after="0" w:line="317" w:lineRule="auto"/>
        <w:rPr>
          <w:sz w:val="20"/>
          <w:szCs w:val="20"/>
          <w:color w:val="auto"/>
        </w:rPr>
      </w:pPr>
      <w:r>
        <w:rPr>
          <w:rFonts w:ascii="Arial" w:cs="Arial" w:eastAsia="Arial" w:hAnsi="Arial"/>
          <w:sz w:val="14"/>
          <w:szCs w:val="14"/>
          <w:color w:val="auto"/>
        </w:rPr>
        <w:t>Brady conducted its RCOI of those suppliers deemed in scope, using the Conflict Materials Reporting Template (CMRT v.4.0 or higher), which is the Conflict Free Sourcing Initiative (CFSI) reporting template developed by the Electronic Industry Citizenship Coalition/Global e-Sustainability Initiative (EICC/GeSI).</w:t>
      </w:r>
    </w:p>
    <w:p>
      <w:pPr>
        <w:spacing w:after="0" w:line="122" w:lineRule="exact"/>
        <w:rPr>
          <w:sz w:val="20"/>
          <w:szCs w:val="20"/>
          <w:color w:val="auto"/>
        </w:rPr>
      </w:pPr>
    </w:p>
    <w:p>
      <w:pPr>
        <w:jc w:val="both"/>
        <w:ind w:left="1080"/>
        <w:spacing w:after="0" w:line="315" w:lineRule="auto"/>
        <w:rPr>
          <w:sz w:val="20"/>
          <w:szCs w:val="20"/>
          <w:color w:val="auto"/>
        </w:rPr>
      </w:pPr>
      <w:r>
        <w:rPr>
          <w:rFonts w:ascii="Arial" w:cs="Arial" w:eastAsia="Arial" w:hAnsi="Arial"/>
          <w:sz w:val="13"/>
          <w:szCs w:val="13"/>
          <w:color w:val="auto"/>
        </w:rPr>
        <w:t>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Our process resulted in an increase of 10% in the response rate year over year, and as of the date of this report, we have a response rate of approximately 80% of our in scope suppliers.</w:t>
      </w:r>
    </w:p>
    <w:p>
      <w:pPr>
        <w:sectPr>
          <w:pgSz w:w="11900" w:h="16838" w:orient="portrait"/>
          <w:cols w:equalWidth="0" w:num="1">
            <w:col w:w="11440"/>
          </w:cols>
          <w:pgMar w:left="240" w:top="703" w:right="219" w:bottom="1440" w:gutter="0" w:footer="0" w:header="0"/>
        </w:sectPr>
      </w:pPr>
    </w:p>
    <w:bookmarkStart w:id="3" w:name="page4"/>
    <w:bookmarkEnd w:id="3"/>
    <w:p>
      <w:pPr>
        <w:jc w:val="both"/>
        <w:ind w:left="541" w:right="80"/>
        <w:spacing w:after="0" w:line="267" w:lineRule="auto"/>
        <w:rPr>
          <w:sz w:val="20"/>
          <w:szCs w:val="20"/>
          <w:color w:val="auto"/>
        </w:rPr>
      </w:pPr>
      <w:r>
        <w:rPr>
          <w:rFonts w:ascii="Arial" w:cs="Arial" w:eastAsia="Arial" w:hAnsi="Arial"/>
          <w:sz w:val="15"/>
          <w:szCs w:val="15"/>
          <w:color w:val="auto"/>
        </w:rPr>
        <w:t>For 2015, as compared to 2014, a number of the surveyed suppliers reported a significant improvement in their own RCOI initiatives, and 245 smelters (versus 225 in 2014 and four in 2013) have been identified as potentially being part of our supply chain. Brady undertook due diligence on the identified smelters to determine their status regarding conflict minerals.</w:t>
      </w:r>
    </w:p>
    <w:p>
      <w:pPr>
        <w:spacing w:after="0" w:line="155" w:lineRule="exact"/>
        <w:rPr>
          <w:sz w:val="20"/>
          <w:szCs w:val="20"/>
          <w:color w:val="auto"/>
        </w:rPr>
      </w:pPr>
    </w:p>
    <w:p>
      <w:pPr>
        <w:ind w:left="541"/>
        <w:spacing w:after="0"/>
        <w:rPr>
          <w:sz w:val="20"/>
          <w:szCs w:val="20"/>
          <w:color w:val="auto"/>
        </w:rPr>
      </w:pPr>
      <w:r>
        <w:rPr>
          <w:rFonts w:ascii="Arial" w:cs="Arial" w:eastAsia="Arial" w:hAnsi="Arial"/>
          <w:sz w:val="15"/>
          <w:szCs w:val="15"/>
          <w:color w:val="auto"/>
        </w:rPr>
        <w:t>As such, we believe our process was reasonably designed and performed in good faith.</w:t>
      </w:r>
    </w:p>
    <w:p>
      <w:pPr>
        <w:spacing w:after="0" w:line="189" w:lineRule="exact"/>
        <w:rPr>
          <w:sz w:val="20"/>
          <w:szCs w:val="20"/>
          <w:color w:val="auto"/>
        </w:rPr>
      </w:pPr>
    </w:p>
    <w:p>
      <w:pPr>
        <w:ind w:left="541" w:hanging="541"/>
        <w:spacing w:after="0"/>
        <w:tabs>
          <w:tab w:leader="none" w:pos="541"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Design of Due Diligence Measures</w:t>
      </w:r>
    </w:p>
    <w:p>
      <w:pPr>
        <w:spacing w:after="0" w:line="196" w:lineRule="exact"/>
        <w:rPr>
          <w:rFonts w:ascii="Arial" w:cs="Arial" w:eastAsia="Arial" w:hAnsi="Arial"/>
          <w:sz w:val="15"/>
          <w:szCs w:val="15"/>
          <w:color w:val="auto"/>
        </w:rPr>
      </w:pPr>
    </w:p>
    <w:p>
      <w:pPr>
        <w:jc w:val="both"/>
        <w:ind w:left="541" w:right="180"/>
        <w:spacing w:after="0" w:line="267" w:lineRule="auto"/>
        <w:rPr>
          <w:rFonts w:ascii="Arial" w:cs="Arial" w:eastAsia="Arial" w:hAnsi="Arial"/>
          <w:sz w:val="15"/>
          <w:szCs w:val="15"/>
          <w:color w:val="auto"/>
        </w:rPr>
      </w:pPr>
      <w:r>
        <w:rPr>
          <w:rFonts w:ascii="Arial" w:cs="Arial" w:eastAsia="Arial" w:hAnsi="Arial"/>
          <w:sz w:val="15"/>
          <w:szCs w:val="15"/>
          <w:color w:val="auto"/>
        </w:rPr>
        <w:t xml:space="preserve">Brady designed its 3TG Minerals compliance procedures based on, and in conformity with, the five step framework the </w:t>
      </w:r>
      <w:r>
        <w:rPr>
          <w:rFonts w:ascii="Arial" w:cs="Arial" w:eastAsia="Arial" w:hAnsi="Arial"/>
          <w:sz w:val="15"/>
          <w:szCs w:val="15"/>
          <w:i w:val="1"/>
          <w:iCs w:val="1"/>
          <w:color w:val="auto"/>
        </w:rPr>
        <w:t>OECD Due Diligence Guidance for Responsible</w:t>
      </w:r>
      <w:r>
        <w:rPr>
          <w:rFonts w:ascii="Arial" w:cs="Arial" w:eastAsia="Arial" w:hAnsi="Arial"/>
          <w:sz w:val="15"/>
          <w:szCs w:val="15"/>
          <w:color w:val="auto"/>
        </w:rPr>
        <w:t xml:space="preserve"> </w:t>
      </w:r>
      <w:r>
        <w:rPr>
          <w:rFonts w:ascii="Arial" w:cs="Arial" w:eastAsia="Arial" w:hAnsi="Arial"/>
          <w:sz w:val="15"/>
          <w:szCs w:val="15"/>
          <w:i w:val="1"/>
          <w:iCs w:val="1"/>
          <w:color w:val="auto"/>
        </w:rPr>
        <w:t>Supply Chains of Minerals from Conflict-Affected and High-Risk Areas: Second Edition</w:t>
      </w:r>
      <w:r>
        <w:rPr>
          <w:rFonts w:ascii="Arial" w:cs="Arial" w:eastAsia="Arial" w:hAnsi="Arial"/>
          <w:sz w:val="15"/>
          <w:szCs w:val="15"/>
          <w:color w:val="auto"/>
        </w:rPr>
        <w:t>, and related supplements on tin, tungsten, tantalum, and the supplement on gold</w:t>
      </w:r>
      <w:r>
        <w:rPr>
          <w:rFonts w:ascii="Arial" w:cs="Arial" w:eastAsia="Arial" w:hAnsi="Arial"/>
          <w:sz w:val="15"/>
          <w:szCs w:val="15"/>
          <w:i w:val="1"/>
          <w:iCs w:val="1"/>
          <w:color w:val="auto"/>
        </w:rPr>
        <w:t xml:space="preserve"> </w:t>
      </w:r>
      <w:r>
        <w:rPr>
          <w:rFonts w:ascii="Arial" w:cs="Arial" w:eastAsia="Arial" w:hAnsi="Arial"/>
          <w:sz w:val="15"/>
          <w:szCs w:val="15"/>
          <w:color w:val="auto"/>
        </w:rPr>
        <w:t>(collectively, the “OECD guidance”) as these relate to our position in the supply chain as a downstream user.</w:t>
      </w:r>
    </w:p>
    <w:p>
      <w:pPr>
        <w:spacing w:after="0" w:line="154" w:lineRule="exact"/>
        <w:rPr>
          <w:rFonts w:ascii="Arial" w:cs="Arial" w:eastAsia="Arial" w:hAnsi="Arial"/>
          <w:sz w:val="15"/>
          <w:szCs w:val="15"/>
          <w:color w:val="auto"/>
        </w:rPr>
      </w:pPr>
    </w:p>
    <w:p>
      <w:pPr>
        <w:ind w:left="541"/>
        <w:spacing w:after="0"/>
        <w:rPr>
          <w:rFonts w:ascii="Arial" w:cs="Arial" w:eastAsia="Arial" w:hAnsi="Arial"/>
          <w:sz w:val="15"/>
          <w:szCs w:val="15"/>
          <w:color w:val="auto"/>
        </w:rPr>
      </w:pPr>
      <w:r>
        <w:rPr>
          <w:rFonts w:ascii="Arial" w:cs="Arial" w:eastAsia="Arial" w:hAnsi="Arial"/>
          <w:sz w:val="15"/>
          <w:szCs w:val="15"/>
          <w:color w:val="auto"/>
        </w:rPr>
        <w:t>Step 1: Establish strong company management systems</w:t>
      </w:r>
    </w:p>
    <w:p>
      <w:pPr>
        <w:spacing w:after="0" w:line="19" w:lineRule="exact"/>
        <w:rPr>
          <w:rFonts w:ascii="Arial" w:cs="Arial" w:eastAsia="Arial" w:hAnsi="Arial"/>
          <w:sz w:val="15"/>
          <w:szCs w:val="15"/>
          <w:color w:val="auto"/>
        </w:rPr>
      </w:pPr>
    </w:p>
    <w:p>
      <w:pPr>
        <w:ind w:left="541"/>
        <w:spacing w:after="0"/>
        <w:rPr>
          <w:rFonts w:ascii="Arial" w:cs="Arial" w:eastAsia="Arial" w:hAnsi="Arial"/>
          <w:sz w:val="15"/>
          <w:szCs w:val="15"/>
          <w:color w:val="auto"/>
        </w:rPr>
      </w:pPr>
      <w:r>
        <w:rPr>
          <w:rFonts w:ascii="Arial" w:cs="Arial" w:eastAsia="Arial" w:hAnsi="Arial"/>
          <w:sz w:val="15"/>
          <w:szCs w:val="15"/>
          <w:color w:val="auto"/>
        </w:rPr>
        <w:t>Step 2: Identify and assess risks in the supply chain</w:t>
      </w:r>
    </w:p>
    <w:p>
      <w:pPr>
        <w:spacing w:after="0" w:line="10" w:lineRule="exact"/>
        <w:rPr>
          <w:rFonts w:ascii="Arial" w:cs="Arial" w:eastAsia="Arial" w:hAnsi="Arial"/>
          <w:sz w:val="15"/>
          <w:szCs w:val="15"/>
          <w:color w:val="auto"/>
        </w:rPr>
      </w:pPr>
    </w:p>
    <w:p>
      <w:pPr>
        <w:ind w:left="541"/>
        <w:spacing w:after="0"/>
        <w:rPr>
          <w:rFonts w:ascii="Arial" w:cs="Arial" w:eastAsia="Arial" w:hAnsi="Arial"/>
          <w:sz w:val="15"/>
          <w:szCs w:val="15"/>
          <w:color w:val="auto"/>
        </w:rPr>
      </w:pPr>
      <w:r>
        <w:rPr>
          <w:rFonts w:ascii="Arial" w:cs="Arial" w:eastAsia="Arial" w:hAnsi="Arial"/>
          <w:sz w:val="15"/>
          <w:szCs w:val="15"/>
          <w:color w:val="auto"/>
        </w:rPr>
        <w:t>Step 3: Design and implement a strategy to respond to identified risks</w:t>
      </w:r>
    </w:p>
    <w:p>
      <w:pPr>
        <w:spacing w:after="0" w:line="10" w:lineRule="exact"/>
        <w:rPr>
          <w:rFonts w:ascii="Arial" w:cs="Arial" w:eastAsia="Arial" w:hAnsi="Arial"/>
          <w:sz w:val="15"/>
          <w:szCs w:val="15"/>
          <w:color w:val="auto"/>
        </w:rPr>
      </w:pPr>
    </w:p>
    <w:p>
      <w:pPr>
        <w:ind w:left="541"/>
        <w:spacing w:after="0"/>
        <w:rPr>
          <w:rFonts w:ascii="Arial" w:cs="Arial" w:eastAsia="Arial" w:hAnsi="Arial"/>
          <w:sz w:val="15"/>
          <w:szCs w:val="15"/>
          <w:color w:val="auto"/>
        </w:rPr>
      </w:pPr>
      <w:r>
        <w:rPr>
          <w:rFonts w:ascii="Arial" w:cs="Arial" w:eastAsia="Arial" w:hAnsi="Arial"/>
          <w:sz w:val="15"/>
          <w:szCs w:val="15"/>
          <w:color w:val="auto"/>
        </w:rPr>
        <w:t>Step 4: Carry out independent third-party audit of smelter/refiner's due diligence practices</w:t>
      </w:r>
    </w:p>
    <w:p>
      <w:pPr>
        <w:spacing w:after="0" w:line="10" w:lineRule="exact"/>
        <w:rPr>
          <w:rFonts w:ascii="Arial" w:cs="Arial" w:eastAsia="Arial" w:hAnsi="Arial"/>
          <w:sz w:val="15"/>
          <w:szCs w:val="15"/>
          <w:color w:val="auto"/>
        </w:rPr>
      </w:pPr>
    </w:p>
    <w:p>
      <w:pPr>
        <w:ind w:left="541"/>
        <w:spacing w:after="0"/>
        <w:rPr>
          <w:rFonts w:ascii="Arial" w:cs="Arial" w:eastAsia="Arial" w:hAnsi="Arial"/>
          <w:sz w:val="15"/>
          <w:szCs w:val="15"/>
          <w:color w:val="auto"/>
        </w:rPr>
      </w:pPr>
      <w:r>
        <w:rPr>
          <w:rFonts w:ascii="Arial" w:cs="Arial" w:eastAsia="Arial" w:hAnsi="Arial"/>
          <w:sz w:val="15"/>
          <w:szCs w:val="15"/>
          <w:color w:val="auto"/>
        </w:rPr>
        <w:t>Step 5: Report annually on supply chain due diligence</w:t>
      </w:r>
    </w:p>
    <w:p>
      <w:pPr>
        <w:spacing w:after="0" w:line="362"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Due Diligence Measures Performed by Brady Corporation</w:t>
      </w:r>
    </w:p>
    <w:p>
      <w:pPr>
        <w:spacing w:after="0" w:line="197" w:lineRule="exact"/>
        <w:rPr>
          <w:sz w:val="20"/>
          <w:szCs w:val="20"/>
          <w:color w:val="auto"/>
        </w:rPr>
      </w:pPr>
    </w:p>
    <w:p>
      <w:pPr>
        <w:ind w:left="541"/>
        <w:spacing w:after="0"/>
        <w:rPr>
          <w:sz w:val="20"/>
          <w:szCs w:val="20"/>
          <w:color w:val="auto"/>
        </w:rPr>
      </w:pPr>
      <w:r>
        <w:rPr>
          <w:rFonts w:ascii="Arial" w:cs="Arial" w:eastAsia="Arial" w:hAnsi="Arial"/>
          <w:sz w:val="15"/>
          <w:szCs w:val="15"/>
          <w:color w:val="auto"/>
        </w:rPr>
        <w:t>The following are the due diligence measures performed by Brady with respect to the reporting year:</w:t>
      </w:r>
    </w:p>
    <w:p>
      <w:pPr>
        <w:spacing w:after="0" w:line="189" w:lineRule="exact"/>
        <w:rPr>
          <w:sz w:val="20"/>
          <w:szCs w:val="20"/>
          <w:color w:val="auto"/>
        </w:rPr>
      </w:pPr>
    </w:p>
    <w:p>
      <w:pPr>
        <w:ind w:left="821" w:hanging="273"/>
        <w:spacing w:after="0"/>
        <w:tabs>
          <w:tab w:leader="none" w:pos="821"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Step 1-Maintain strong company management systems</w:t>
      </w:r>
    </w:p>
    <w:p>
      <w:pPr>
        <w:spacing w:after="0" w:line="196" w:lineRule="exact"/>
        <w:rPr>
          <w:rFonts w:ascii="Arial" w:cs="Arial" w:eastAsia="Arial" w:hAnsi="Arial"/>
          <w:sz w:val="15"/>
          <w:szCs w:val="15"/>
          <w:color w:val="auto"/>
        </w:rPr>
      </w:pPr>
    </w:p>
    <w:p>
      <w:pPr>
        <w:ind w:left="1101" w:right="240" w:hanging="279"/>
        <w:spacing w:after="0" w:line="260" w:lineRule="auto"/>
        <w:tabs>
          <w:tab w:leader="none" w:pos="1101" w:val="left"/>
        </w:tabs>
        <w:numPr>
          <w:ilvl w:val="1"/>
          <w:numId w:val="5"/>
        </w:numPr>
        <w:rPr>
          <w:rFonts w:ascii="Arial" w:cs="Arial" w:eastAsia="Arial" w:hAnsi="Arial"/>
          <w:sz w:val="15"/>
          <w:szCs w:val="15"/>
          <w:color w:val="auto"/>
        </w:rPr>
      </w:pPr>
      <w:r>
        <w:rPr>
          <w:rFonts w:ascii="Arial" w:cs="Arial" w:eastAsia="Arial" w:hAnsi="Arial"/>
          <w:sz w:val="15"/>
          <w:szCs w:val="15"/>
          <w:color w:val="auto"/>
        </w:rPr>
        <w:t>Brady maintains an internal conflict minerals team involving sourcing and global product compliance staff. The focus of this team is to implement our conflict minerals program and ensure compliance.</w:t>
      </w:r>
    </w:p>
    <w:p>
      <w:pPr>
        <w:ind w:left="1101" w:hanging="279"/>
        <w:spacing w:after="0" w:line="272" w:lineRule="auto"/>
        <w:tabs>
          <w:tab w:leader="none" w:pos="1101" w:val="left"/>
        </w:tabs>
        <w:numPr>
          <w:ilvl w:val="1"/>
          <w:numId w:val="5"/>
        </w:numPr>
        <w:rPr>
          <w:rFonts w:ascii="Arial" w:cs="Arial" w:eastAsia="Arial" w:hAnsi="Arial"/>
          <w:sz w:val="14"/>
          <w:szCs w:val="14"/>
          <w:color w:val="auto"/>
        </w:rPr>
      </w:pPr>
      <w:r>
        <w:rPr>
          <w:rFonts w:ascii="Arial" w:cs="Arial" w:eastAsia="Arial" w:hAnsi="Arial"/>
          <w:sz w:val="14"/>
          <w:szCs w:val="14"/>
          <w:color w:val="auto"/>
        </w:rPr>
        <w:t>Brady maintains a Conflict Minerals policy and policy statement which is available on our company website (see link below) in addition to our due diligence process for assisting the chain of custody of 3TG Minerals. (</w:t>
      </w:r>
      <w:r>
        <w:rPr>
          <w:rFonts w:ascii="Arial" w:cs="Arial" w:eastAsia="Arial" w:hAnsi="Arial"/>
          <w:sz w:val="14"/>
          <w:szCs w:val="14"/>
          <w:u w:val="single" w:color="auto"/>
          <w:color w:val="0000FF"/>
        </w:rPr>
        <w:t>http://www.bradycorp.com/en/sustainability/~/media/BradyCorp/Sustainability/Conflict%20Minerals/Brady%20Conflict%20Minerals%20Policy%20Final%205-20-2016.pdf</w:t>
      </w:r>
      <w:r>
        <w:rPr>
          <w:rFonts w:ascii="Arial" w:cs="Arial" w:eastAsia="Arial" w:hAnsi="Arial"/>
          <w:sz w:val="14"/>
          <w:szCs w:val="14"/>
          <w:color w:val="000000"/>
        </w:rPr>
        <w:t>)</w:t>
      </w:r>
    </w:p>
    <w:p>
      <w:pPr>
        <w:ind w:left="1101" w:hanging="279"/>
        <w:spacing w:after="0"/>
        <w:tabs>
          <w:tab w:leader="none" w:pos="1101" w:val="left"/>
        </w:tabs>
        <w:numPr>
          <w:ilvl w:val="1"/>
          <w:numId w:val="5"/>
        </w:numPr>
        <w:rPr>
          <w:rFonts w:ascii="Arial" w:cs="Arial" w:eastAsia="Arial" w:hAnsi="Arial"/>
          <w:sz w:val="15"/>
          <w:szCs w:val="15"/>
          <w:color w:val="auto"/>
        </w:rPr>
      </w:pPr>
      <w:r>
        <w:rPr>
          <w:rFonts w:ascii="Arial" w:cs="Arial" w:eastAsia="Arial" w:hAnsi="Arial"/>
          <w:sz w:val="15"/>
          <w:szCs w:val="15"/>
          <w:color w:val="auto"/>
        </w:rPr>
        <w:t>Communicated our policy on 3TG Minerals to all direct suppliers.</w:t>
      </w:r>
    </w:p>
    <w:p>
      <w:pPr>
        <w:spacing w:after="0" w:line="10" w:lineRule="exact"/>
        <w:rPr>
          <w:rFonts w:ascii="Arial" w:cs="Arial" w:eastAsia="Arial" w:hAnsi="Arial"/>
          <w:sz w:val="15"/>
          <w:szCs w:val="15"/>
          <w:color w:val="auto"/>
        </w:rPr>
      </w:pPr>
    </w:p>
    <w:p>
      <w:pPr>
        <w:ind w:left="1101" w:hanging="279"/>
        <w:spacing w:after="0"/>
        <w:tabs>
          <w:tab w:leader="none" w:pos="1101" w:val="left"/>
        </w:tabs>
        <w:numPr>
          <w:ilvl w:val="1"/>
          <w:numId w:val="5"/>
        </w:numPr>
        <w:rPr>
          <w:rFonts w:ascii="Arial" w:cs="Arial" w:eastAsia="Arial" w:hAnsi="Arial"/>
          <w:sz w:val="14"/>
          <w:szCs w:val="14"/>
          <w:color w:val="auto"/>
        </w:rPr>
      </w:pPr>
      <w:r>
        <w:rPr>
          <w:rFonts w:ascii="Arial" w:cs="Arial" w:eastAsia="Arial" w:hAnsi="Arial"/>
          <w:sz w:val="14"/>
          <w:szCs w:val="14"/>
          <w:color w:val="auto"/>
        </w:rPr>
        <w:t>Internal engagement - Brady conducted internal training to educate relevant employees in our conflict minerals program including reporting obligations.</w:t>
      </w:r>
    </w:p>
    <w:p>
      <w:pPr>
        <w:spacing w:after="0" w:line="21" w:lineRule="exact"/>
        <w:rPr>
          <w:rFonts w:ascii="Arial" w:cs="Arial" w:eastAsia="Arial" w:hAnsi="Arial"/>
          <w:sz w:val="14"/>
          <w:szCs w:val="14"/>
          <w:color w:val="auto"/>
        </w:rPr>
      </w:pPr>
    </w:p>
    <w:p>
      <w:pPr>
        <w:ind w:left="1101" w:right="140" w:hanging="279"/>
        <w:spacing w:after="0" w:line="254" w:lineRule="auto"/>
        <w:tabs>
          <w:tab w:leader="none" w:pos="1101" w:val="left"/>
        </w:tabs>
        <w:numPr>
          <w:ilvl w:val="1"/>
          <w:numId w:val="5"/>
        </w:numPr>
        <w:rPr>
          <w:rFonts w:ascii="Arial" w:cs="Arial" w:eastAsia="Arial" w:hAnsi="Arial"/>
          <w:sz w:val="15"/>
          <w:szCs w:val="15"/>
          <w:color w:val="auto"/>
        </w:rPr>
      </w:pPr>
      <w:r>
        <w:rPr>
          <w:rFonts w:ascii="Arial" w:cs="Arial" w:eastAsia="Arial" w:hAnsi="Arial"/>
          <w:sz w:val="15"/>
          <w:szCs w:val="15"/>
          <w:color w:val="auto"/>
        </w:rPr>
        <w:t>Supplier engagement - Brady conducted supplier awareness sessions concerning the commitments and requirements expected of Brady suppliers regarding 3TG Minerals, supported by follow up communication.</w:t>
      </w:r>
    </w:p>
    <w:p>
      <w:pPr>
        <w:ind w:left="1101" w:hanging="279"/>
        <w:spacing w:after="0"/>
        <w:tabs>
          <w:tab w:leader="none" w:pos="1101" w:val="left"/>
        </w:tabs>
        <w:numPr>
          <w:ilvl w:val="1"/>
          <w:numId w:val="5"/>
        </w:numPr>
        <w:rPr>
          <w:rFonts w:ascii="Arial" w:cs="Arial" w:eastAsia="Arial" w:hAnsi="Arial"/>
          <w:sz w:val="15"/>
          <w:szCs w:val="15"/>
          <w:color w:val="auto"/>
        </w:rPr>
      </w:pPr>
      <w:r>
        <w:rPr>
          <w:rFonts w:ascii="Arial" w:cs="Arial" w:eastAsia="Arial" w:hAnsi="Arial"/>
          <w:sz w:val="15"/>
          <w:szCs w:val="15"/>
          <w:color w:val="auto"/>
        </w:rPr>
        <w:t>Uses the tools created by EICC/GeSI including the conflict minerals reporting template for supply chain surveys to identify the smelters.</w:t>
      </w:r>
    </w:p>
    <w:p>
      <w:pPr>
        <w:spacing w:after="0" w:line="10" w:lineRule="exact"/>
        <w:rPr>
          <w:rFonts w:ascii="Arial" w:cs="Arial" w:eastAsia="Arial" w:hAnsi="Arial"/>
          <w:sz w:val="15"/>
          <w:szCs w:val="15"/>
          <w:color w:val="auto"/>
        </w:rPr>
      </w:pPr>
    </w:p>
    <w:p>
      <w:pPr>
        <w:ind w:left="1101" w:hanging="279"/>
        <w:spacing w:after="0"/>
        <w:tabs>
          <w:tab w:leader="none" w:pos="1101" w:val="left"/>
        </w:tabs>
        <w:numPr>
          <w:ilvl w:val="1"/>
          <w:numId w:val="5"/>
        </w:numPr>
        <w:rPr>
          <w:rFonts w:ascii="Arial" w:cs="Arial" w:eastAsia="Arial" w:hAnsi="Arial"/>
          <w:sz w:val="15"/>
          <w:szCs w:val="15"/>
          <w:color w:val="auto"/>
        </w:rPr>
      </w:pPr>
      <w:r>
        <w:rPr>
          <w:rFonts w:ascii="Arial" w:cs="Arial" w:eastAsia="Arial" w:hAnsi="Arial"/>
          <w:sz w:val="15"/>
          <w:szCs w:val="15"/>
          <w:color w:val="auto"/>
        </w:rPr>
        <w:t>The conflict minerals team reports on the progress of our conflict minerals program to senior management.</w:t>
      </w:r>
    </w:p>
    <w:p>
      <w:pPr>
        <w:spacing w:after="0" w:line="10" w:lineRule="exact"/>
        <w:rPr>
          <w:rFonts w:ascii="Arial" w:cs="Arial" w:eastAsia="Arial" w:hAnsi="Arial"/>
          <w:sz w:val="15"/>
          <w:szCs w:val="15"/>
          <w:color w:val="auto"/>
        </w:rPr>
      </w:pPr>
    </w:p>
    <w:p>
      <w:pPr>
        <w:ind w:left="1101" w:hanging="279"/>
        <w:spacing w:after="0"/>
        <w:tabs>
          <w:tab w:leader="none" w:pos="1101" w:val="left"/>
        </w:tabs>
        <w:numPr>
          <w:ilvl w:val="1"/>
          <w:numId w:val="5"/>
        </w:numPr>
        <w:rPr>
          <w:rFonts w:ascii="Arial" w:cs="Arial" w:eastAsia="Arial" w:hAnsi="Arial"/>
          <w:sz w:val="15"/>
          <w:szCs w:val="15"/>
          <w:color w:val="auto"/>
        </w:rPr>
      </w:pPr>
      <w:r>
        <w:rPr>
          <w:rFonts w:ascii="Arial" w:cs="Arial" w:eastAsia="Arial" w:hAnsi="Arial"/>
          <w:sz w:val="15"/>
          <w:szCs w:val="15"/>
          <w:color w:val="auto"/>
        </w:rPr>
        <w:t>We maintain a mechanism to enable the reporting of any customer facing questions related to conflict minerals and other supply chain matters.</w:t>
      </w:r>
    </w:p>
    <w:p>
      <w:pPr>
        <w:spacing w:after="0" w:line="10" w:lineRule="exact"/>
        <w:rPr>
          <w:rFonts w:ascii="Arial" w:cs="Arial" w:eastAsia="Arial" w:hAnsi="Arial"/>
          <w:sz w:val="15"/>
          <w:szCs w:val="15"/>
          <w:color w:val="auto"/>
        </w:rPr>
      </w:pPr>
    </w:p>
    <w:p>
      <w:pPr>
        <w:ind w:left="1101" w:hanging="279"/>
        <w:spacing w:after="0"/>
        <w:tabs>
          <w:tab w:leader="none" w:pos="1101" w:val="left"/>
        </w:tabs>
        <w:numPr>
          <w:ilvl w:val="1"/>
          <w:numId w:val="5"/>
        </w:numPr>
        <w:rPr>
          <w:rFonts w:ascii="Arial" w:cs="Arial" w:eastAsia="Arial" w:hAnsi="Arial"/>
          <w:sz w:val="15"/>
          <w:szCs w:val="15"/>
          <w:color w:val="auto"/>
        </w:rPr>
      </w:pPr>
      <w:r>
        <w:rPr>
          <w:rFonts w:ascii="Arial" w:cs="Arial" w:eastAsia="Arial" w:hAnsi="Arial"/>
          <w:sz w:val="15"/>
          <w:szCs w:val="15"/>
          <w:color w:val="auto"/>
        </w:rPr>
        <w:t>We retain conflict minerals program documentation in accordance with the Company’s existing corporate retention policy and procedures.</w:t>
      </w:r>
    </w:p>
    <w:p>
      <w:pPr>
        <w:sectPr>
          <w:pgSz w:w="11900" w:h="16838" w:orient="portrait"/>
          <w:cols w:equalWidth="0" w:num="1">
            <w:col w:w="10981"/>
          </w:cols>
          <w:pgMar w:left="779" w:top="517" w:right="139" w:bottom="1440" w:gutter="0" w:footer="0" w:header="0"/>
        </w:sectPr>
      </w:pPr>
    </w:p>
    <w:bookmarkStart w:id="4" w:name="page5"/>
    <w:bookmarkEnd w:id="4"/>
    <w:p>
      <w:pPr>
        <w:ind w:left="280" w:hanging="273"/>
        <w:spacing w:after="0"/>
        <w:tabs>
          <w:tab w:leader="none" w:pos="28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Step 2-Identify and assess risk in the supply chain</w:t>
      </w:r>
    </w:p>
    <w:p>
      <w:pPr>
        <w:spacing w:after="0" w:line="196" w:lineRule="exact"/>
        <w:rPr>
          <w:rFonts w:ascii="Arial" w:cs="Arial" w:eastAsia="Arial" w:hAnsi="Arial"/>
          <w:sz w:val="15"/>
          <w:szCs w:val="15"/>
          <w:color w:val="auto"/>
        </w:rPr>
      </w:pPr>
    </w:p>
    <w:p>
      <w:pPr>
        <w:ind w:left="560" w:right="100" w:hanging="279"/>
        <w:spacing w:after="0" w:line="260" w:lineRule="auto"/>
        <w:tabs>
          <w:tab w:leader="none" w:pos="560" w:val="left"/>
        </w:tabs>
        <w:numPr>
          <w:ilvl w:val="1"/>
          <w:numId w:val="6"/>
        </w:numPr>
        <w:rPr>
          <w:rFonts w:ascii="Arial" w:cs="Arial" w:eastAsia="Arial" w:hAnsi="Arial"/>
          <w:sz w:val="15"/>
          <w:szCs w:val="15"/>
          <w:color w:val="auto"/>
        </w:rPr>
      </w:pPr>
      <w:r>
        <w:rPr>
          <w:rFonts w:ascii="Arial" w:cs="Arial" w:eastAsia="Arial" w:hAnsi="Arial"/>
          <w:sz w:val="15"/>
          <w:szCs w:val="15"/>
          <w:color w:val="auto"/>
        </w:rPr>
        <w:t>The Brady conflict minerals team conducted a detailed review of the products manufactured or contracted to be manufactured during the reporting year 2015 to identify products that may be in scope of the rule.</w:t>
      </w:r>
    </w:p>
    <w:p>
      <w:pPr>
        <w:ind w:left="560" w:hanging="279"/>
        <w:spacing w:after="0"/>
        <w:tabs>
          <w:tab w:leader="none" w:pos="560" w:val="left"/>
        </w:tabs>
        <w:numPr>
          <w:ilvl w:val="1"/>
          <w:numId w:val="6"/>
        </w:numPr>
        <w:rPr>
          <w:rFonts w:ascii="Arial" w:cs="Arial" w:eastAsia="Arial" w:hAnsi="Arial"/>
          <w:sz w:val="15"/>
          <w:szCs w:val="15"/>
          <w:color w:val="auto"/>
        </w:rPr>
      </w:pPr>
      <w:r>
        <w:rPr>
          <w:rFonts w:ascii="Arial" w:cs="Arial" w:eastAsia="Arial" w:hAnsi="Arial"/>
          <w:sz w:val="15"/>
          <w:szCs w:val="15"/>
          <w:color w:val="auto"/>
        </w:rPr>
        <w:t>Brady identified the direct suppliers of products or components that may contain 3TG Minerals.</w:t>
      </w:r>
    </w:p>
    <w:p>
      <w:pPr>
        <w:spacing w:after="0" w:line="10" w:lineRule="exact"/>
        <w:rPr>
          <w:rFonts w:ascii="Arial" w:cs="Arial" w:eastAsia="Arial" w:hAnsi="Arial"/>
          <w:sz w:val="15"/>
          <w:szCs w:val="15"/>
          <w:color w:val="auto"/>
        </w:rPr>
      </w:pPr>
    </w:p>
    <w:p>
      <w:pPr>
        <w:ind w:left="560" w:right="500" w:hanging="279"/>
        <w:spacing w:after="0" w:line="272" w:lineRule="auto"/>
        <w:tabs>
          <w:tab w:leader="none" w:pos="560" w:val="left"/>
        </w:tabs>
        <w:numPr>
          <w:ilvl w:val="1"/>
          <w:numId w:val="6"/>
        </w:numPr>
        <w:rPr>
          <w:rFonts w:ascii="Arial" w:cs="Arial" w:eastAsia="Arial" w:hAnsi="Arial"/>
          <w:sz w:val="14"/>
          <w:szCs w:val="14"/>
          <w:color w:val="auto"/>
        </w:rPr>
      </w:pPr>
      <w:r>
        <w:rPr>
          <w:rFonts w:ascii="Arial" w:cs="Arial" w:eastAsia="Arial" w:hAnsi="Arial"/>
          <w:sz w:val="14"/>
          <w:szCs w:val="14"/>
          <w:color w:val="auto"/>
        </w:rPr>
        <w:t>Brady conducted supply chain surveys of the in scope suppliers using the industry-developed CMRT and requested that suppliers conduct their own 3TG Mineral inquiries to identify smelters and refineries as well as the country of origin of 3TG Minerals in products that are supplied to Brady.</w:t>
      </w:r>
    </w:p>
    <w:p>
      <w:pPr>
        <w:ind w:left="560" w:hanging="279"/>
        <w:spacing w:after="0"/>
        <w:tabs>
          <w:tab w:leader="none" w:pos="560" w:val="left"/>
        </w:tabs>
        <w:numPr>
          <w:ilvl w:val="1"/>
          <w:numId w:val="6"/>
        </w:numPr>
        <w:rPr>
          <w:rFonts w:ascii="Arial" w:cs="Arial" w:eastAsia="Arial" w:hAnsi="Arial"/>
          <w:sz w:val="15"/>
          <w:szCs w:val="15"/>
          <w:color w:val="auto"/>
        </w:rPr>
      </w:pPr>
      <w:r>
        <w:rPr>
          <w:rFonts w:ascii="Arial" w:cs="Arial" w:eastAsia="Arial" w:hAnsi="Arial"/>
          <w:sz w:val="15"/>
          <w:szCs w:val="15"/>
          <w:color w:val="auto"/>
        </w:rPr>
        <w:t>Conducted follow ups with non-responding direct suppliers and also worked to clarify and validate the responses from the suppliers.</w:t>
      </w:r>
    </w:p>
    <w:p>
      <w:pPr>
        <w:spacing w:after="0" w:line="10" w:lineRule="exact"/>
        <w:rPr>
          <w:rFonts w:ascii="Arial" w:cs="Arial" w:eastAsia="Arial" w:hAnsi="Arial"/>
          <w:sz w:val="15"/>
          <w:szCs w:val="15"/>
          <w:color w:val="auto"/>
        </w:rPr>
      </w:pPr>
    </w:p>
    <w:p>
      <w:pPr>
        <w:ind w:left="560" w:right="540" w:hanging="279"/>
        <w:spacing w:after="0" w:line="258" w:lineRule="auto"/>
        <w:tabs>
          <w:tab w:leader="none" w:pos="560" w:val="left"/>
        </w:tabs>
        <w:numPr>
          <w:ilvl w:val="1"/>
          <w:numId w:val="6"/>
        </w:numPr>
        <w:rPr>
          <w:rFonts w:ascii="Arial" w:cs="Arial" w:eastAsia="Arial" w:hAnsi="Arial"/>
          <w:sz w:val="15"/>
          <w:szCs w:val="15"/>
          <w:color w:val="auto"/>
        </w:rPr>
      </w:pPr>
      <w:r>
        <w:rPr>
          <w:rFonts w:ascii="Arial" w:cs="Arial" w:eastAsia="Arial" w:hAnsi="Arial"/>
          <w:sz w:val="15"/>
          <w:szCs w:val="15"/>
          <w:color w:val="auto"/>
        </w:rPr>
        <w:t>Compared smelter listings supplied by responding suppliers with the CFSI list of validated conflict free and verified facilities and the US Department of Commerce “Reporting Requirements Under Section 1502(d)(3)(C) of the Dodd-Frank Act World-Wide Conflict Mineral Processing Facilities” (</w:t>
      </w:r>
      <w:r>
        <w:rPr>
          <w:rFonts w:ascii="Arial" w:cs="Arial" w:eastAsia="Arial" w:hAnsi="Arial"/>
          <w:sz w:val="15"/>
          <w:szCs w:val="15"/>
          <w:i w:val="1"/>
          <w:iCs w:val="1"/>
          <w:color w:val="auto"/>
        </w:rPr>
        <w:t>http://www.ita.doc.gov/td/forestprod/DOC-ConflictMineralReport.pdf</w:t>
      </w:r>
      <w:r>
        <w:rPr>
          <w:rFonts w:ascii="Arial" w:cs="Arial" w:eastAsia="Arial" w:hAnsi="Arial"/>
          <w:sz w:val="15"/>
          <w:szCs w:val="15"/>
          <w:color w:val="auto"/>
        </w:rPr>
        <w:t>) to verify smelter status. Further smelter confirmation was conducted using a commercially available smelter verification service.</w:t>
      </w:r>
    </w:p>
    <w:p>
      <w:pPr>
        <w:spacing w:after="0" w:line="158" w:lineRule="exact"/>
        <w:rPr>
          <w:rFonts w:ascii="Arial" w:cs="Arial" w:eastAsia="Arial" w:hAnsi="Arial"/>
          <w:sz w:val="15"/>
          <w:szCs w:val="15"/>
          <w:color w:val="auto"/>
        </w:rPr>
      </w:pPr>
    </w:p>
    <w:p>
      <w:pPr>
        <w:ind w:left="280" w:hanging="273"/>
        <w:spacing w:after="0"/>
        <w:tabs>
          <w:tab w:leader="none" w:pos="28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Step 3-Design and implement a strategy to respond to identified risks</w:t>
      </w:r>
    </w:p>
    <w:p>
      <w:pPr>
        <w:spacing w:after="0" w:line="196" w:lineRule="exact"/>
        <w:rPr>
          <w:rFonts w:ascii="Arial" w:cs="Arial" w:eastAsia="Arial" w:hAnsi="Arial"/>
          <w:sz w:val="15"/>
          <w:szCs w:val="15"/>
          <w:color w:val="auto"/>
        </w:rPr>
      </w:pPr>
    </w:p>
    <w:p>
      <w:pPr>
        <w:ind w:left="560" w:hanging="279"/>
        <w:spacing w:after="0"/>
        <w:tabs>
          <w:tab w:leader="none" w:pos="560" w:val="left"/>
        </w:tabs>
        <w:numPr>
          <w:ilvl w:val="1"/>
          <w:numId w:val="6"/>
        </w:numPr>
        <w:rPr>
          <w:rFonts w:ascii="Arial" w:cs="Arial" w:eastAsia="Arial" w:hAnsi="Arial"/>
          <w:sz w:val="14"/>
          <w:szCs w:val="14"/>
          <w:color w:val="auto"/>
        </w:rPr>
      </w:pPr>
      <w:r>
        <w:rPr>
          <w:rFonts w:ascii="Arial" w:cs="Arial" w:eastAsia="Arial" w:hAnsi="Arial"/>
          <w:sz w:val="14"/>
          <w:szCs w:val="14"/>
          <w:color w:val="auto"/>
        </w:rPr>
        <w:t>We have a risk management plan that addresses known issues with suppliers that do not meet the requirements of Brady’s corporate sourcing policy.</w:t>
      </w:r>
    </w:p>
    <w:p>
      <w:pPr>
        <w:spacing w:after="0" w:line="30" w:lineRule="exact"/>
        <w:rPr>
          <w:rFonts w:ascii="Arial" w:cs="Arial" w:eastAsia="Arial" w:hAnsi="Arial"/>
          <w:sz w:val="14"/>
          <w:szCs w:val="14"/>
          <w:color w:val="auto"/>
        </w:rPr>
      </w:pPr>
    </w:p>
    <w:p>
      <w:pPr>
        <w:ind w:left="560" w:hanging="279"/>
        <w:spacing w:after="0"/>
        <w:tabs>
          <w:tab w:leader="none" w:pos="560" w:val="left"/>
        </w:tabs>
        <w:numPr>
          <w:ilvl w:val="1"/>
          <w:numId w:val="6"/>
        </w:numPr>
        <w:rPr>
          <w:rFonts w:ascii="Arial" w:cs="Arial" w:eastAsia="Arial" w:hAnsi="Arial"/>
          <w:sz w:val="15"/>
          <w:szCs w:val="15"/>
          <w:color w:val="auto"/>
        </w:rPr>
      </w:pPr>
      <w:r>
        <w:rPr>
          <w:rFonts w:ascii="Arial" w:cs="Arial" w:eastAsia="Arial" w:hAnsi="Arial"/>
          <w:sz w:val="15"/>
          <w:szCs w:val="15"/>
          <w:color w:val="auto"/>
        </w:rPr>
        <w:t>The conflict minerals team reports to senior management and the Board of Directors on the status of direct supplier responses.</w:t>
      </w:r>
    </w:p>
    <w:p>
      <w:pPr>
        <w:spacing w:after="0" w:line="179" w:lineRule="exact"/>
        <w:rPr>
          <w:rFonts w:ascii="Arial" w:cs="Arial" w:eastAsia="Arial" w:hAnsi="Arial"/>
          <w:sz w:val="15"/>
          <w:szCs w:val="15"/>
          <w:color w:val="auto"/>
        </w:rPr>
      </w:pPr>
    </w:p>
    <w:p>
      <w:pPr>
        <w:ind w:left="280" w:hanging="273"/>
        <w:spacing w:after="0"/>
        <w:tabs>
          <w:tab w:leader="none" w:pos="28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Step 4- Carry out independent third-party audit of smelter/refiner's due diligence practices</w:t>
      </w:r>
    </w:p>
    <w:p>
      <w:pPr>
        <w:spacing w:after="0" w:line="196" w:lineRule="exact"/>
        <w:rPr>
          <w:rFonts w:ascii="Arial" w:cs="Arial" w:eastAsia="Arial" w:hAnsi="Arial"/>
          <w:sz w:val="15"/>
          <w:szCs w:val="15"/>
          <w:color w:val="auto"/>
        </w:rPr>
      </w:pPr>
    </w:p>
    <w:p>
      <w:pPr>
        <w:ind w:left="560" w:right="60" w:hanging="279"/>
        <w:spacing w:after="0" w:line="278" w:lineRule="auto"/>
        <w:tabs>
          <w:tab w:leader="none" w:pos="560" w:val="left"/>
        </w:tabs>
        <w:numPr>
          <w:ilvl w:val="1"/>
          <w:numId w:val="6"/>
        </w:numPr>
        <w:rPr>
          <w:rFonts w:ascii="Arial" w:cs="Arial" w:eastAsia="Arial" w:hAnsi="Arial"/>
          <w:sz w:val="14"/>
          <w:szCs w:val="14"/>
          <w:color w:val="auto"/>
        </w:rPr>
      </w:pPr>
      <w:r>
        <w:rPr>
          <w:rFonts w:ascii="Arial" w:cs="Arial" w:eastAsia="Arial" w:hAnsi="Arial"/>
          <w:sz w:val="14"/>
          <w:szCs w:val="14"/>
          <w:color w:val="auto"/>
        </w:rPr>
        <w:t>Brady relies on CFSI’s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1" w:lineRule="exact"/>
        <w:rPr>
          <w:rFonts w:ascii="Arial" w:cs="Arial" w:eastAsia="Arial" w:hAnsi="Arial"/>
          <w:sz w:val="14"/>
          <w:szCs w:val="14"/>
          <w:color w:val="auto"/>
        </w:rPr>
      </w:pPr>
    </w:p>
    <w:p>
      <w:pPr>
        <w:ind w:left="560" w:right="300" w:hanging="279"/>
        <w:spacing w:after="0" w:line="268" w:lineRule="auto"/>
        <w:tabs>
          <w:tab w:leader="none" w:pos="560" w:val="left"/>
        </w:tabs>
        <w:numPr>
          <w:ilvl w:val="1"/>
          <w:numId w:val="6"/>
        </w:numPr>
        <w:rPr>
          <w:rFonts w:ascii="Arial" w:cs="Arial" w:eastAsia="Arial" w:hAnsi="Arial"/>
          <w:sz w:val="15"/>
          <w:szCs w:val="15"/>
          <w:color w:val="auto"/>
        </w:rPr>
      </w:pPr>
      <w:r>
        <w:rPr>
          <w:rFonts w:ascii="Arial" w:cs="Arial" w:eastAsia="Arial" w:hAnsi="Arial"/>
          <w:sz w:val="15"/>
          <w:szCs w:val="15"/>
          <w:color w:val="auto"/>
        </w:rPr>
        <w:t>Supported the development and implementation of independent third party audits of smelters/refiners through our Conflict Minerals policy and procurement practices, which encourage suppliers to purchase materials from audited smelters/refiners.</w:t>
      </w:r>
    </w:p>
    <w:p>
      <w:pPr>
        <w:spacing w:after="0" w:line="149" w:lineRule="exact"/>
        <w:rPr>
          <w:rFonts w:ascii="Arial" w:cs="Arial" w:eastAsia="Arial" w:hAnsi="Arial"/>
          <w:sz w:val="15"/>
          <w:szCs w:val="15"/>
          <w:color w:val="auto"/>
        </w:rPr>
      </w:pPr>
    </w:p>
    <w:p>
      <w:pPr>
        <w:ind w:left="280" w:hanging="273"/>
        <w:spacing w:after="0"/>
        <w:tabs>
          <w:tab w:leader="none" w:pos="28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Step 5-Report on supply chain due diligence</w:t>
      </w:r>
    </w:p>
    <w:p>
      <w:pPr>
        <w:spacing w:after="0" w:line="196" w:lineRule="exact"/>
        <w:rPr>
          <w:rFonts w:ascii="Arial" w:cs="Arial" w:eastAsia="Arial" w:hAnsi="Arial"/>
          <w:sz w:val="15"/>
          <w:szCs w:val="15"/>
          <w:color w:val="auto"/>
        </w:rPr>
      </w:pPr>
    </w:p>
    <w:p>
      <w:pPr>
        <w:ind w:left="460" w:hanging="179"/>
        <w:spacing w:after="0"/>
        <w:tabs>
          <w:tab w:leader="none" w:pos="460" w:val="left"/>
        </w:tabs>
        <w:numPr>
          <w:ilvl w:val="1"/>
          <w:numId w:val="6"/>
        </w:numPr>
        <w:rPr>
          <w:rFonts w:ascii="Arial" w:cs="Arial" w:eastAsia="Arial" w:hAnsi="Arial"/>
          <w:sz w:val="15"/>
          <w:szCs w:val="15"/>
          <w:color w:val="auto"/>
        </w:rPr>
      </w:pPr>
      <w:r>
        <w:rPr>
          <w:rFonts w:ascii="Arial" w:cs="Arial" w:eastAsia="Arial" w:hAnsi="Arial"/>
          <w:sz w:val="15"/>
          <w:szCs w:val="15"/>
          <w:color w:val="auto"/>
        </w:rPr>
        <w:t>Brady has publicly communicated its Conflict Minerals policy on our company website.</w:t>
      </w:r>
    </w:p>
    <w:p>
      <w:pPr>
        <w:spacing w:after="0" w:line="19" w:lineRule="exact"/>
        <w:rPr>
          <w:rFonts w:ascii="Arial" w:cs="Arial" w:eastAsia="Arial" w:hAnsi="Arial"/>
          <w:sz w:val="15"/>
          <w:szCs w:val="15"/>
          <w:color w:val="auto"/>
        </w:rPr>
      </w:pPr>
    </w:p>
    <w:p>
      <w:pPr>
        <w:ind w:left="460" w:right="20"/>
        <w:spacing w:after="0" w:line="272" w:lineRule="auto"/>
        <w:rPr>
          <w:rFonts w:ascii="Arial" w:cs="Arial" w:eastAsia="Arial" w:hAnsi="Arial"/>
          <w:sz w:val="15"/>
          <w:szCs w:val="15"/>
          <w:color w:val="auto"/>
        </w:rPr>
      </w:pPr>
      <w:r>
        <w:rPr>
          <w:rFonts w:ascii="Arial" w:cs="Arial" w:eastAsia="Arial" w:hAnsi="Arial"/>
          <w:sz w:val="14"/>
          <w:szCs w:val="14"/>
          <w:color w:val="auto"/>
        </w:rPr>
        <w:t>(</w:t>
      </w:r>
      <w:r>
        <w:rPr>
          <w:rFonts w:ascii="Arial" w:cs="Arial" w:eastAsia="Arial" w:hAnsi="Arial"/>
          <w:sz w:val="14"/>
          <w:szCs w:val="14"/>
          <w:u w:val="single" w:color="auto"/>
          <w:color w:val="0000FF"/>
        </w:rPr>
        <w:t>http://www.bradycorp.com/en/sustainability/~/media/BradyCorp/Sustainability/Conflict%20Minerals/Brady%20Conflict%20Minerals%20Policy%20Final%205-20-2016.pdf</w:t>
      </w:r>
      <w:r>
        <w:rPr>
          <w:rFonts w:ascii="Arial" w:cs="Arial" w:eastAsia="Arial" w:hAnsi="Arial"/>
          <w:sz w:val="14"/>
          <w:szCs w:val="14"/>
          <w:color w:val="000000"/>
        </w:rPr>
        <w:t>)</w:t>
      </w:r>
    </w:p>
    <w:p>
      <w:pPr>
        <w:ind w:left="560" w:hanging="279"/>
        <w:spacing w:after="0"/>
        <w:tabs>
          <w:tab w:leader="none" w:pos="560" w:val="left"/>
        </w:tabs>
        <w:numPr>
          <w:ilvl w:val="1"/>
          <w:numId w:val="6"/>
        </w:numPr>
        <w:rPr>
          <w:rFonts w:ascii="Arial" w:cs="Arial" w:eastAsia="Arial" w:hAnsi="Arial"/>
          <w:sz w:val="15"/>
          <w:szCs w:val="15"/>
          <w:color w:val="auto"/>
        </w:rPr>
      </w:pPr>
      <w:r>
        <w:rPr>
          <w:rFonts w:ascii="Arial" w:cs="Arial" w:eastAsia="Arial" w:hAnsi="Arial"/>
          <w:sz w:val="15"/>
          <w:szCs w:val="15"/>
          <w:color w:val="auto"/>
        </w:rPr>
        <w:t>Brady’s Form SD and Conflict Minerals Report were filed with the SEC and are also available on our company website.</w:t>
      </w:r>
    </w:p>
    <w:p>
      <w:pPr>
        <w:spacing w:after="0" w:line="10"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0000FF"/>
        </w:rPr>
        <w:t>http://www.bradycorp.com/en/sustainability/~/media/BradyCorp/Sustainability/Conflict%20Minerals/Brady_2015_FormSD_CMR_Final_052016.pdf</w:t>
      </w:r>
      <w:r>
        <w:rPr>
          <w:rFonts w:ascii="Arial" w:cs="Arial" w:eastAsia="Arial" w:hAnsi="Arial"/>
          <w:sz w:val="15"/>
          <w:szCs w:val="15"/>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the Due Diligence measures</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Brady’s due diligence on the source and chain of custody of necessary 3TG Minerals contained in its products revealed that Brady currently has no evidence that the smelters or refiners in its supply chain are sourcing minerals from mines that may be funding any conflict in the Covered Countries. Additional due diligence is on-going, since 12 smelters in our supply chain are still actively participating in “Conflict-Free” audit programs and we have not received responses from all our suppliers (approximately 80% of supplier responses received to date).</w:t>
      </w:r>
    </w:p>
    <w:p>
      <w:pPr>
        <w:sectPr>
          <w:pgSz w:w="11900" w:h="16838" w:orient="portrait"/>
          <w:cols w:equalWidth="0" w:num="1">
            <w:col w:w="10360"/>
          </w:cols>
          <w:pgMar w:left="1320" w:top="513" w:right="219" w:bottom="1440" w:gutter="0" w:footer="0" w:header="0"/>
        </w:sectPr>
      </w:pPr>
    </w:p>
    <w:bookmarkStart w:id="5" w:name="page6"/>
    <w:bookmarkEnd w:id="5"/>
    <w:p>
      <w:pPr>
        <w:ind w:left="1"/>
        <w:spacing w:after="0"/>
        <w:rPr>
          <w:sz w:val="20"/>
          <w:szCs w:val="20"/>
          <w:color w:val="auto"/>
        </w:rPr>
      </w:pPr>
      <w:r>
        <w:rPr>
          <w:rFonts w:ascii="Arial" w:cs="Arial" w:eastAsia="Arial" w:hAnsi="Arial"/>
          <w:sz w:val="15"/>
          <w:szCs w:val="15"/>
          <w:b w:val="1"/>
          <w:bCs w:val="1"/>
          <w:color w:val="auto"/>
        </w:rPr>
        <w:t>IV. Product Description; Processing Facilities</w:t>
      </w:r>
    </w:p>
    <w:p>
      <w:pPr>
        <w:spacing w:after="0" w:line="197" w:lineRule="exact"/>
        <w:rPr>
          <w:sz w:val="20"/>
          <w:szCs w:val="20"/>
          <w:color w:val="auto"/>
        </w:rPr>
      </w:pPr>
    </w:p>
    <w:p>
      <w:pPr>
        <w:ind w:left="541"/>
        <w:spacing w:after="0"/>
        <w:rPr>
          <w:sz w:val="20"/>
          <w:szCs w:val="20"/>
          <w:color w:val="auto"/>
        </w:rPr>
      </w:pPr>
      <w:r>
        <w:rPr>
          <w:rFonts w:ascii="Arial" w:cs="Arial" w:eastAsia="Arial" w:hAnsi="Arial"/>
          <w:sz w:val="15"/>
          <w:szCs w:val="15"/>
          <w:color w:val="auto"/>
        </w:rPr>
        <w:t>The scope of our inquiry covered the following products, which we believe are the most likely to contain metallic forms of 3TG Minerals:</w:t>
      </w:r>
    </w:p>
    <w:p>
      <w:pPr>
        <w:spacing w:after="0" w:line="19" w:lineRule="exact"/>
        <w:rPr>
          <w:sz w:val="20"/>
          <w:szCs w:val="20"/>
          <w:color w:val="auto"/>
        </w:rPr>
      </w:pPr>
    </w:p>
    <w:p>
      <w:pPr>
        <w:ind w:left="821" w:hanging="273"/>
        <w:spacing w:after="0"/>
        <w:tabs>
          <w:tab w:leader="none" w:pos="821"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Thermal transfer printers - both hand-held and desk models - containing electronic parts;</w:t>
      </w:r>
    </w:p>
    <w:p>
      <w:pPr>
        <w:spacing w:after="0" w:line="10" w:lineRule="exact"/>
        <w:rPr>
          <w:rFonts w:ascii="Arial" w:cs="Arial" w:eastAsia="Arial" w:hAnsi="Arial"/>
          <w:sz w:val="15"/>
          <w:szCs w:val="15"/>
          <w:color w:val="auto"/>
        </w:rPr>
      </w:pPr>
    </w:p>
    <w:p>
      <w:pPr>
        <w:ind w:left="821" w:hanging="273"/>
        <w:spacing w:after="0"/>
        <w:tabs>
          <w:tab w:leader="none" w:pos="821" w:val="left"/>
        </w:tabs>
        <w:numPr>
          <w:ilvl w:val="0"/>
          <w:numId w:val="7"/>
        </w:numPr>
        <w:rPr>
          <w:rFonts w:ascii="Arial" w:cs="Arial" w:eastAsia="Arial" w:hAnsi="Arial"/>
          <w:sz w:val="15"/>
          <w:szCs w:val="15"/>
          <w:color w:val="auto"/>
        </w:rPr>
      </w:pPr>
      <w:r>
        <w:rPr>
          <w:rFonts w:ascii="Arial" w:cs="Arial" w:eastAsia="Arial" w:hAnsi="Arial"/>
          <w:sz w:val="15"/>
          <w:szCs w:val="15"/>
          <w:color w:val="auto"/>
        </w:rPr>
        <w:t>Labels and tapes for thermal transfer printing, some of which are in cassettes containing electronic parts;</w:t>
      </w:r>
    </w:p>
    <w:p>
      <w:pPr>
        <w:spacing w:after="0" w:line="10" w:lineRule="exact"/>
        <w:rPr>
          <w:rFonts w:ascii="Arial" w:cs="Arial" w:eastAsia="Arial" w:hAnsi="Arial"/>
          <w:sz w:val="15"/>
          <w:szCs w:val="15"/>
          <w:color w:val="auto"/>
        </w:rPr>
      </w:pPr>
    </w:p>
    <w:p>
      <w:pPr>
        <w:ind w:left="821" w:hanging="273"/>
        <w:spacing w:after="0"/>
        <w:tabs>
          <w:tab w:leader="none" w:pos="821" w:val="left"/>
        </w:tabs>
        <w:numPr>
          <w:ilvl w:val="0"/>
          <w:numId w:val="7"/>
        </w:numPr>
        <w:rPr>
          <w:rFonts w:ascii="Arial" w:cs="Arial" w:eastAsia="Arial" w:hAnsi="Arial"/>
          <w:sz w:val="15"/>
          <w:szCs w:val="15"/>
          <w:color w:val="auto"/>
        </w:rPr>
      </w:pPr>
      <w:r>
        <w:rPr>
          <w:rFonts w:ascii="Arial" w:cs="Arial" w:eastAsia="Arial" w:hAnsi="Arial"/>
          <w:sz w:val="15"/>
          <w:szCs w:val="15"/>
          <w:color w:val="auto"/>
        </w:rPr>
        <w:t>Preprinted labels and tapes, some with external coating, pipe and wire markers, and metal asset tags;</w:t>
      </w:r>
    </w:p>
    <w:p>
      <w:pPr>
        <w:spacing w:after="0" w:line="10" w:lineRule="exact"/>
        <w:rPr>
          <w:rFonts w:ascii="Arial" w:cs="Arial" w:eastAsia="Arial" w:hAnsi="Arial"/>
          <w:sz w:val="15"/>
          <w:szCs w:val="15"/>
          <w:color w:val="auto"/>
        </w:rPr>
      </w:pPr>
    </w:p>
    <w:p>
      <w:pPr>
        <w:ind w:left="821" w:hanging="273"/>
        <w:spacing w:after="0"/>
        <w:tabs>
          <w:tab w:leader="none" w:pos="821" w:val="left"/>
        </w:tabs>
        <w:numPr>
          <w:ilvl w:val="0"/>
          <w:numId w:val="7"/>
        </w:numPr>
        <w:rPr>
          <w:rFonts w:ascii="Arial" w:cs="Arial" w:eastAsia="Arial" w:hAnsi="Arial"/>
          <w:sz w:val="15"/>
          <w:szCs w:val="15"/>
          <w:color w:val="auto"/>
        </w:rPr>
      </w:pPr>
      <w:r>
        <w:rPr>
          <w:rFonts w:ascii="Arial" w:cs="Arial" w:eastAsia="Arial" w:hAnsi="Arial"/>
          <w:sz w:val="15"/>
          <w:szCs w:val="15"/>
          <w:color w:val="auto"/>
        </w:rPr>
        <w:t>Safety signs and traffic signs;</w:t>
      </w:r>
    </w:p>
    <w:p>
      <w:pPr>
        <w:spacing w:after="0" w:line="10" w:lineRule="exact"/>
        <w:rPr>
          <w:rFonts w:ascii="Arial" w:cs="Arial" w:eastAsia="Arial" w:hAnsi="Arial"/>
          <w:sz w:val="15"/>
          <w:szCs w:val="15"/>
          <w:color w:val="auto"/>
        </w:rPr>
      </w:pPr>
    </w:p>
    <w:p>
      <w:pPr>
        <w:ind w:left="821" w:hanging="273"/>
        <w:spacing w:after="0"/>
        <w:tabs>
          <w:tab w:leader="none" w:pos="821" w:val="left"/>
        </w:tabs>
        <w:numPr>
          <w:ilvl w:val="0"/>
          <w:numId w:val="7"/>
        </w:numPr>
        <w:rPr>
          <w:rFonts w:ascii="Arial" w:cs="Arial" w:eastAsia="Arial" w:hAnsi="Arial"/>
          <w:sz w:val="15"/>
          <w:szCs w:val="15"/>
          <w:color w:val="auto"/>
        </w:rPr>
      </w:pPr>
      <w:r>
        <w:rPr>
          <w:rFonts w:ascii="Arial" w:cs="Arial" w:eastAsia="Arial" w:hAnsi="Arial"/>
          <w:sz w:val="15"/>
          <w:szCs w:val="15"/>
          <w:color w:val="auto"/>
        </w:rPr>
        <w:t>Pads for medical applications and sorbent materials for environmental clean-up;</w:t>
      </w:r>
    </w:p>
    <w:p>
      <w:pPr>
        <w:spacing w:after="0" w:line="10" w:lineRule="exact"/>
        <w:rPr>
          <w:rFonts w:ascii="Arial" w:cs="Arial" w:eastAsia="Arial" w:hAnsi="Arial"/>
          <w:sz w:val="15"/>
          <w:szCs w:val="15"/>
          <w:color w:val="auto"/>
        </w:rPr>
      </w:pPr>
    </w:p>
    <w:p>
      <w:pPr>
        <w:ind w:left="821" w:hanging="273"/>
        <w:spacing w:after="0"/>
        <w:tabs>
          <w:tab w:leader="none" w:pos="821" w:val="left"/>
        </w:tabs>
        <w:numPr>
          <w:ilvl w:val="0"/>
          <w:numId w:val="7"/>
        </w:numPr>
        <w:rPr>
          <w:rFonts w:ascii="Arial" w:cs="Arial" w:eastAsia="Arial" w:hAnsi="Arial"/>
          <w:sz w:val="15"/>
          <w:szCs w:val="15"/>
          <w:color w:val="auto"/>
        </w:rPr>
      </w:pPr>
      <w:r>
        <w:rPr>
          <w:rFonts w:ascii="Arial" w:cs="Arial" w:eastAsia="Arial" w:hAnsi="Arial"/>
          <w:sz w:val="15"/>
          <w:szCs w:val="15"/>
          <w:color w:val="auto"/>
        </w:rPr>
        <w:t>Lock-out / tag-out devices (primarily plastic);</w:t>
      </w:r>
    </w:p>
    <w:p>
      <w:pPr>
        <w:spacing w:after="0" w:line="10" w:lineRule="exact"/>
        <w:rPr>
          <w:rFonts w:ascii="Arial" w:cs="Arial" w:eastAsia="Arial" w:hAnsi="Arial"/>
          <w:sz w:val="15"/>
          <w:szCs w:val="15"/>
          <w:color w:val="auto"/>
        </w:rPr>
      </w:pPr>
    </w:p>
    <w:p>
      <w:pPr>
        <w:ind w:left="821" w:hanging="273"/>
        <w:spacing w:after="0"/>
        <w:tabs>
          <w:tab w:leader="none" w:pos="821" w:val="left"/>
        </w:tabs>
        <w:numPr>
          <w:ilvl w:val="0"/>
          <w:numId w:val="7"/>
        </w:numPr>
        <w:rPr>
          <w:rFonts w:ascii="Arial" w:cs="Arial" w:eastAsia="Arial" w:hAnsi="Arial"/>
          <w:sz w:val="15"/>
          <w:szCs w:val="15"/>
          <w:color w:val="auto"/>
        </w:rPr>
      </w:pPr>
      <w:r>
        <w:rPr>
          <w:rFonts w:ascii="Arial" w:cs="Arial" w:eastAsia="Arial" w:hAnsi="Arial"/>
          <w:sz w:val="15"/>
          <w:szCs w:val="15"/>
          <w:color w:val="auto"/>
        </w:rPr>
        <w:t>Visitor identification badges, badge holders and lanyards, and wristbands; and</w:t>
      </w:r>
    </w:p>
    <w:p>
      <w:pPr>
        <w:spacing w:after="0" w:line="10" w:lineRule="exact"/>
        <w:rPr>
          <w:rFonts w:ascii="Arial" w:cs="Arial" w:eastAsia="Arial" w:hAnsi="Arial"/>
          <w:sz w:val="15"/>
          <w:szCs w:val="15"/>
          <w:color w:val="auto"/>
        </w:rPr>
      </w:pPr>
    </w:p>
    <w:p>
      <w:pPr>
        <w:ind w:left="821" w:hanging="273"/>
        <w:spacing w:after="0"/>
        <w:tabs>
          <w:tab w:leader="none" w:pos="821" w:val="left"/>
        </w:tabs>
        <w:numPr>
          <w:ilvl w:val="0"/>
          <w:numId w:val="7"/>
        </w:numPr>
        <w:rPr>
          <w:rFonts w:ascii="Arial" w:cs="Arial" w:eastAsia="Arial" w:hAnsi="Arial"/>
          <w:sz w:val="15"/>
          <w:szCs w:val="15"/>
          <w:color w:val="auto"/>
        </w:rPr>
      </w:pPr>
      <w:r>
        <w:rPr>
          <w:rFonts w:ascii="Arial" w:cs="Arial" w:eastAsia="Arial" w:hAnsi="Arial"/>
          <w:sz w:val="15"/>
          <w:szCs w:val="15"/>
          <w:color w:val="auto"/>
        </w:rPr>
        <w:t>Die-cut materials for the telecommunications industry - primarily plastics and polyester foams.</w:t>
      </w:r>
    </w:p>
    <w:p>
      <w:pPr>
        <w:spacing w:after="0" w:line="184" w:lineRule="exact"/>
        <w:rPr>
          <w:sz w:val="20"/>
          <w:szCs w:val="20"/>
          <w:color w:val="auto"/>
        </w:rPr>
      </w:pPr>
    </w:p>
    <w:p>
      <w:pPr>
        <w:jc w:val="both"/>
        <w:ind w:left="541" w:right="20"/>
        <w:spacing w:after="0" w:line="294" w:lineRule="auto"/>
        <w:rPr>
          <w:sz w:val="20"/>
          <w:szCs w:val="20"/>
          <w:color w:val="auto"/>
        </w:rPr>
      </w:pPr>
      <w:r>
        <w:rPr>
          <w:rFonts w:ascii="Arial" w:cs="Arial" w:eastAsia="Arial" w:hAnsi="Arial"/>
          <w:sz w:val="14"/>
          <w:szCs w:val="14"/>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of our lock-out/tag-out devices. Brady also develops software for products that are factory installed or downloadable. All of the foregoing products are not within the scope of this report.</w:t>
      </w:r>
    </w:p>
    <w:p>
      <w:pPr>
        <w:spacing w:after="0" w:line="139" w:lineRule="exact"/>
        <w:rPr>
          <w:sz w:val="20"/>
          <w:szCs w:val="20"/>
          <w:color w:val="auto"/>
        </w:rPr>
      </w:pPr>
    </w:p>
    <w:p>
      <w:pPr>
        <w:jc w:val="both"/>
        <w:ind w:left="541" w:right="20"/>
        <w:spacing w:after="0" w:line="280" w:lineRule="auto"/>
        <w:rPr>
          <w:sz w:val="20"/>
          <w:szCs w:val="20"/>
          <w:color w:val="auto"/>
        </w:rPr>
      </w:pPr>
      <w:r>
        <w:rPr>
          <w:rFonts w:ascii="Arial" w:cs="Arial" w:eastAsia="Arial" w:hAnsi="Arial"/>
          <w:sz w:val="15"/>
          <w:szCs w:val="15"/>
          <w:color w:val="auto"/>
        </w:rPr>
        <w:t>The smelting and refining facilities used to process the 3TG Minerals that were identified by our suppliers are listed in Appendix 1(A and B) and the potential countries of origin of the 3TG Minerals are listed in Appendix 2 to this Conflict Minerals Report.</w:t>
      </w:r>
    </w:p>
    <w:p>
      <w:pPr>
        <w:spacing w:after="0" w:line="141" w:lineRule="exact"/>
        <w:rPr>
          <w:sz w:val="20"/>
          <w:szCs w:val="20"/>
          <w:color w:val="auto"/>
        </w:rPr>
      </w:pPr>
    </w:p>
    <w:p>
      <w:pPr>
        <w:ind w:left="281" w:hanging="281"/>
        <w:spacing w:after="0"/>
        <w:tabs>
          <w:tab w:leader="none" w:pos="281"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Steps to Improve Due Diligence</w:t>
      </w:r>
    </w:p>
    <w:p>
      <w:pPr>
        <w:spacing w:after="0" w:line="197" w:lineRule="exact"/>
        <w:rPr>
          <w:sz w:val="20"/>
          <w:szCs w:val="20"/>
          <w:color w:val="auto"/>
        </w:rPr>
      </w:pPr>
    </w:p>
    <w:p>
      <w:pPr>
        <w:jc w:val="both"/>
        <w:ind w:left="541"/>
        <w:spacing w:after="0" w:line="257" w:lineRule="auto"/>
        <w:rPr>
          <w:sz w:val="20"/>
          <w:szCs w:val="20"/>
          <w:color w:val="auto"/>
        </w:rPr>
      </w:pPr>
      <w:r>
        <w:rPr>
          <w:rFonts w:ascii="Arial" w:cs="Arial" w:eastAsia="Arial" w:hAnsi="Arial"/>
          <w:sz w:val="15"/>
          <w:szCs w:val="15"/>
          <w:color w:val="auto"/>
        </w:rPr>
        <w:t>We will continue to communicate our expectations and information requirements regarding 3TG Minerals to our direct suppliers, as a part of our 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 detailed on-site assessments that examine policies, procedures and practices. We will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162" w:lineRule="exact"/>
        <w:rPr>
          <w:sz w:val="20"/>
          <w:szCs w:val="20"/>
          <w:color w:val="auto"/>
        </w:rPr>
      </w:pPr>
    </w:p>
    <w:p>
      <w:pPr>
        <w:ind w:left="1"/>
        <w:spacing w:after="0"/>
        <w:tabs>
          <w:tab w:leader="none" w:pos="341" w:val="left"/>
        </w:tabs>
        <w:rPr>
          <w:sz w:val="20"/>
          <w:szCs w:val="20"/>
          <w:color w:val="auto"/>
        </w:rPr>
      </w:pPr>
      <w:r>
        <w:rPr>
          <w:rFonts w:ascii="Arial" w:cs="Arial" w:eastAsia="Arial" w:hAnsi="Arial"/>
          <w:sz w:val="15"/>
          <w:szCs w:val="15"/>
          <w:b w:val="1"/>
          <w:bCs w:val="1"/>
          <w:color w:val="auto"/>
        </w:rPr>
        <w:t>VI.</w:t>
      </w:r>
      <w:r>
        <w:rPr>
          <w:sz w:val="20"/>
          <w:szCs w:val="20"/>
          <w:color w:val="auto"/>
        </w:rPr>
        <w:tab/>
      </w:r>
      <w:r>
        <w:rPr>
          <w:rFonts w:ascii="Arial" w:cs="Arial" w:eastAsia="Arial" w:hAnsi="Arial"/>
          <w:sz w:val="13"/>
          <w:szCs w:val="13"/>
          <w:b w:val="1"/>
          <w:bCs w:val="1"/>
          <w:color w:val="auto"/>
        </w:rPr>
        <w:t>Independent Private Sector Audit</w:t>
      </w:r>
    </w:p>
    <w:p>
      <w:pPr>
        <w:spacing w:after="0" w:line="197" w:lineRule="exact"/>
        <w:rPr>
          <w:sz w:val="20"/>
          <w:szCs w:val="20"/>
          <w:color w:val="auto"/>
        </w:rPr>
      </w:pPr>
    </w:p>
    <w:p>
      <w:pPr>
        <w:ind w:left="541"/>
        <w:spacing w:after="0"/>
        <w:rPr>
          <w:sz w:val="20"/>
          <w:szCs w:val="20"/>
          <w:color w:val="auto"/>
        </w:rPr>
      </w:pPr>
      <w:r>
        <w:rPr>
          <w:rFonts w:ascii="Arial" w:cs="Arial" w:eastAsia="Arial" w:hAnsi="Arial"/>
          <w:sz w:val="15"/>
          <w:szCs w:val="15"/>
          <w:color w:val="auto"/>
        </w:rPr>
        <w:t>Pursuant to SEC rules and related guidance, an independent private sector audit was not required for Brady’s conflict minerals filing for calendar year 2015.</w:t>
      </w:r>
    </w:p>
    <w:p>
      <w:pPr>
        <w:sectPr>
          <w:pgSz w:w="11900" w:h="16838" w:orient="portrait"/>
          <w:cols w:equalWidth="0" w:num="1">
            <w:col w:w="10901"/>
          </w:cols>
          <w:pgMar w:left="779" w:top="513" w:right="21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21"/>
          <w:szCs w:val="21"/>
          <w:b w:val="1"/>
          <w:bCs w:val="1"/>
          <w:color w:val="auto"/>
        </w:rPr>
        <w:t>Appendix 1(A)</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Smelters/Refiners Identified by Suppliers and Verified as Conflict-Free, or “Low Risk” (Not Sourcing From Conflict Regions) According to CFSI</w:t>
      </w:r>
    </w:p>
    <w:p>
      <w:pPr>
        <w:spacing w:after="0" w:line="321" w:lineRule="exact"/>
        <w:rPr>
          <w:sz w:val="20"/>
          <w:szCs w:val="20"/>
          <w:color w:val="auto"/>
        </w:rPr>
      </w:pPr>
    </w:p>
    <w:tbl>
      <w:tblPr>
        <w:tblLayout w:type="fixed"/>
        <w:tblInd w:w="210" w:type="dxa"/>
        <w:tblCellMar>
          <w:top w:w="0" w:type="dxa"/>
          <w:left w:w="0" w:type="dxa"/>
          <w:bottom w:w="0" w:type="dxa"/>
          <w:right w:w="0" w:type="dxa"/>
        </w:tblCellMar>
      </w:tblPr>
      <w:tr>
        <w:trPr>
          <w:trHeight w:val="215"/>
        </w:trPr>
        <w:tc>
          <w:tcPr>
            <w:tcW w:w="1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Metal Processed</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Official Smelter Name</w:t>
            </w:r>
          </w:p>
        </w:tc>
        <w:tc>
          <w:tcPr>
            <w:tcW w:w="1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Known CID</w:t>
            </w:r>
          </w:p>
        </w:tc>
        <w:tc>
          <w:tcPr>
            <w:tcW w:w="2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Smelter Location</w:t>
            </w:r>
          </w:p>
        </w:tc>
      </w:tr>
      <w:tr>
        <w:trPr>
          <w:trHeight w:val="24"/>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22"/>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A.L.M.T. TUNGSTEN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CID000004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Advanced Chemical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CID000015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Aida Chemical Industries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CID000019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Aktyubinsk Copper Company TOO</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CID000028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Kazakhstan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Allgemeine Gold-und Silberscheideanstalt A.G.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CID000035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Almalyk Mining and Metallurgical Complex (AMMC)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CID000041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Uzbekistan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Alpha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CID000292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An Vinh Joint Stock Mineral Processing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CID002703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Vietnam</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AngloGold Ashanti Córrego do Sítio Mineração</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CID000058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Argor-Heraeus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CID000077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Switzerland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Asahi Pretec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CID000082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Asahi Refining Canada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CID000924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Canada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Asahi Refining USA Inc.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CID000920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Asaka Riken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CID000090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Atasay Kuyumculuk Sanayi Ve Ticaret A.S.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CID000103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Turkey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Aurubis AG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CID000113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Bangko Sentral ng Pilipinas (Central Bank of the Philippines)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CID000128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Philippines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Bauer Walser AG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CID000141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Boliden AB</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CID000157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Sweden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 Hafner GmbH +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CID000176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Caridad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CID000180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Mexico</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CCR Refinery - Glencore Canada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CID000185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Canada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Cendres + Métaux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CID000189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Switzerland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Changsha South Tantalum Niobium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CID000211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Chenzhou Diamond Tungsten Products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CID002513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Chimet S.p.A.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CID000233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Italy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 Tin Group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CID001070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Chongyi Zhangyuan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CID000258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Chugai Mining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CID000264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CNMC (Guangxi) PGMA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CID000278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Conghua Tantalum and Niobium Smeltry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CID000291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Cooperativa Metalurgica de Rondônia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CID000295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CV Gita Pesona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CID000306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CV Serumpun Sebalai</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CID000313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CV United Smelting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CID000315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Daejin Indus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CID000328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Daye Non-Ferrous Metals Mining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CID000343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bl>
    <w:p>
      <w:pPr>
        <w:sectPr>
          <w:pgSz w:w="11900" w:h="16838" w:orient="portrait"/>
          <w:cols w:equalWidth="0" w:num="1">
            <w:col w:w="11280"/>
          </w:cols>
          <w:pgMar w:left="240" w:top="873" w:right="37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5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Dayu Weiliang Tungsten Co., Ltd.</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CID000345</w:t>
            </w:r>
          </w:p>
        </w:tc>
        <w:tc>
          <w:tcPr>
            <w:tcW w:w="2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DODUCO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CID000362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Dowa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CID000401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Dowa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CID000402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Canada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DSC (Do Sung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CID000359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Duoluoshan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CID000410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Eco-System Recycling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CID000425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Elemetal Refining, LLC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CID001322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Elmet S.L.U. (Metallo Group)</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CID002774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Spain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EM Vinto</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CID000438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Bolivia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Estanho de Rondônia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CID000448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Exotech Inc.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CID000456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F&amp;X Electro-Materials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CID000460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Faggi Enrico S.p.A.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CID002355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Italy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Fenix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CID000468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Poland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Fujian Jinxin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CID000499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Gansu Seemine Material Hi-Tech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CID000522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Ganxian Shirui New Material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CID002531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Ganzhou Huaxing Tungsten Products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CID000875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Ganzhou Jiangwu Ferrotungsten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Ganzhou Non-ferrous Metals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CID000868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Ganzhou Seadragon W &amp; Mo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CID002494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Gejiu Kai Meng Industry and Trade LLC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CID000942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Gejiu Non-Ferrous Metal Processing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CID000538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Gejiu Zi-Li</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CID000555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Global Advanced Metals Aizu</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CID002558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Global Advanced Metals Boyertown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CID002557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Global Tungsten &amp; Powders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CID000568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Guangdong Jinding Gold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Guangdong Xianglu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CID000218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Guangdong Zhiyuan New Material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CID000616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Guizhou Zhenhua Xinyun Technology Ltd., Kaili branch</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CID002501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H.C. Starck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Thailand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H.C. Starck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H.C. Starck GmbH Goslar</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H.C. Starck GmbH Laufenburg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H.C. Starck Hermsdorf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H.C. Starck Inc.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H.C. Starck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H.C. Starck Smelting GmbH &amp; Co.KG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CID002550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Hangzhou Fuchunjiang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CID000671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Heimerle + Meule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CID000694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Hengyang King Xing Lifeng New Materials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CID002492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Heraeus Ltd. Hong Kong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CID000707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Heraeus Precious Metals GmbH &amp;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CID000711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Germany</w:t>
            </w:r>
          </w:p>
        </w:tc>
      </w:tr>
    </w:tbl>
    <w:p>
      <w:pPr>
        <w:sectPr>
          <w:pgSz w:w="11900" w:h="16838" w:orient="portrait"/>
          <w:cols w:equalWidth="0" w:num="1">
            <w:col w:w="11040"/>
          </w:cols>
          <w:pgMar w:left="440" w:top="622" w:right="4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5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Hi-Temp Specialty Metals, Inc.</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CID000731</w:t>
            </w:r>
          </w:p>
        </w:tc>
        <w:tc>
          <w:tcPr>
            <w:tcW w:w="2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Huichang Jinshunda Tin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CID000760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Hunan Chenzhou Mining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CID000766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Hunan Chunchang Nonferrous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CID000769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Hwasung CJ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CID000778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Hydrometallurg, JSC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CID002649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w w:val="97"/>
              </w:rPr>
              <w:t>Inner Mongolia Qiankun Gold and Silver Refinery Share Company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CID000801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Ishifuku Metal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CID000807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Istanbul Gold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CID000814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Turkey</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CID000823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 New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CID000825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Jiangwu H.C. Starck Tungsten Products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CID002551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Copper Company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CID000855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Gan Bei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CID002321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Ketai Advanced Material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CID000244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Minmetals Gao'an Non-ferrous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Tonggu Non-ferrous Metallurgical &amp; Chemical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Xinsheng Tungsten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Yaosheng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JiuJiang JinXin Nonferrous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CID000914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Jiujiang Tanbre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CID000917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JSC Ekaterinburg Non-Ferrous Metal Processing Plant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CID000927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JSC Uralelectromed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CID000929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JX Nippon Mining &amp;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CID000937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Kazzinc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CID000957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Kazakhstan</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KEMET Blue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CID002539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Kemet Blue Powder</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CID002568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Kennametal Fallon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CID000966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Kennametal Huntsville</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CID000105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Kennecott Utah Copper LLC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CID000969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King-Tan Tantalum Industry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CID000973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Kojima Chemicals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CID000981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Korea 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CID000988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Kyrgyzaltyn JSC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CID001029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Kyrgyzstan</w:t>
            </w:r>
          </w:p>
        </w:tc>
        <w:tc>
          <w:tcPr>
            <w:tcW w:w="0" w:type="dxa"/>
            <w:vAlign w:val="bottom"/>
          </w:tcPr>
          <w:p>
            <w:pPr>
              <w:spacing w:after="0"/>
              <w:rPr>
                <w:sz w:val="1"/>
                <w:szCs w:val="1"/>
                <w:color w:val="auto"/>
              </w:rPr>
            </w:pPr>
          </w:p>
        </w:tc>
      </w:tr>
      <w:tr>
        <w:trPr>
          <w:trHeight w:val="202"/>
        </w:trPr>
        <w:tc>
          <w:tcPr>
            <w:tcW w:w="1580" w:type="dxa"/>
            <w:vAlign w:val="bottom"/>
            <w:tcBorders>
              <w:left w:val="single" w:sz="8" w:color="auto"/>
              <w:right w:val="single" w:sz="8" w:color="auto"/>
            </w:tcBorders>
          </w:tcPr>
          <w:p>
            <w:pPr>
              <w:spacing w:after="0"/>
              <w:rPr>
                <w:sz w:val="17"/>
                <w:szCs w:val="17"/>
                <w:color w:val="auto"/>
              </w:rPr>
            </w:pP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L' azurde Company For Jewelry</w:t>
            </w:r>
          </w:p>
        </w:tc>
        <w:tc>
          <w:tcPr>
            <w:tcW w:w="17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580" w:type="dxa"/>
            <w:vAlign w:val="bottom"/>
            <w:tcBorders>
              <w:left w:val="single" w:sz="8" w:color="auto"/>
              <w:right w:val="single" w:sz="8" w:color="auto"/>
            </w:tcBorders>
          </w:tcPr>
          <w:p>
            <w:pPr>
              <w:spacing w:after="0"/>
              <w:rPr>
                <w:sz w:val="17"/>
                <w:szCs w:val="17"/>
                <w:color w:val="auto"/>
              </w:rPr>
            </w:pP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w w:val="93"/>
              </w:rPr>
              <w:t xml:space="preserve">Note: </w:t>
            </w:r>
            <w:r>
              <w:rPr>
                <w:rFonts w:ascii="Arial" w:cs="Arial" w:eastAsia="Arial" w:hAnsi="Arial"/>
                <w:sz w:val="15"/>
                <w:szCs w:val="15"/>
                <w:color w:val="auto"/>
                <w:w w:val="93"/>
              </w:rPr>
              <w:t>L’azurde Co. has recently been moved by the London Bullion Market Association</w:t>
            </w:r>
          </w:p>
        </w:tc>
        <w:tc>
          <w:tcPr>
            <w:tcW w:w="17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to “Former Good Delivery List” and is currently being re-assessed by the certifying</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CID001032</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Saudi Arabia</w:t>
            </w:r>
          </w:p>
        </w:tc>
        <w:tc>
          <w:tcPr>
            <w:tcW w:w="0" w:type="dxa"/>
            <w:vAlign w:val="bottom"/>
          </w:tcPr>
          <w:p>
            <w:pPr>
              <w:spacing w:after="0"/>
              <w:rPr>
                <w:sz w:val="1"/>
                <w:szCs w:val="1"/>
                <w:color w:val="auto"/>
              </w:rPr>
            </w:pPr>
          </w:p>
        </w:tc>
      </w:tr>
      <w:tr>
        <w:trPr>
          <w:trHeight w:val="207"/>
        </w:trPr>
        <w:tc>
          <w:tcPr>
            <w:tcW w:w="1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body.</w:t>
            </w:r>
          </w:p>
        </w:tc>
        <w:tc>
          <w:tcPr>
            <w:tcW w:w="1760" w:type="dxa"/>
            <w:vAlign w:val="bottom"/>
            <w:tcBorders>
              <w:bottom w:val="single" w:sz="8" w:color="auto"/>
              <w:right w:val="single" w:sz="8" w:color="auto"/>
            </w:tcBorders>
            <w:vMerge w:val="continue"/>
          </w:tcPr>
          <w:p>
            <w:pPr>
              <w:spacing w:after="0"/>
              <w:rPr>
                <w:sz w:val="18"/>
                <w:szCs w:val="18"/>
                <w:color w:val="auto"/>
              </w:rPr>
            </w:pPr>
          </w:p>
        </w:tc>
        <w:tc>
          <w:tcPr>
            <w:tcW w:w="22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Lingbao Gold Company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CID001056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Lingbao Jinyuan Tonghui Refinery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CID001058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Linwu Xianggui Smelter Co</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CID001063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LS-NIKKO Copper Inc.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CID001078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LSM Brasil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CID001076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Luo yang Zijin Yinhui Metal Smelt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CID001093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bl>
    <w:p>
      <w:pPr>
        <w:sectPr>
          <w:pgSz w:w="11900" w:h="16838" w:orient="portrait"/>
          <w:cols w:equalWidth="0" w:num="1">
            <w:col w:w="11040"/>
          </w:cols>
          <w:pgMar w:left="440" w:top="622" w:right="4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5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Magnu's Minerais Metais e Ligas Ltda.</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CID002468</w:t>
            </w:r>
          </w:p>
        </w:tc>
        <w:tc>
          <w:tcPr>
            <w:tcW w:w="2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Malaysia Smelting Corporation (MSC)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CID001105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Malaysia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Malipo Haiyu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Materion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CID001113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Matsuda Sangyo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CID001119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Melt Metais e Ligas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CID002500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Metallo-Chimique N.V.</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CID002773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Belgium</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Metallurgical Products India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CID001163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Metalor Technologies (Hong Kong)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CID001149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Metalor Technologies (Singapore) Pte.,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CID001152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Singapore</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Metalor Technologies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CID001153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Switzerland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Metalor USA Refining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CID001157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METALÚRGICA MET-MEX PEÑOLES, S.A. DE C.V</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CID001161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Mexico</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Mineração Taboca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CID001175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Minsur</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CID001182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Peru</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Mitsubishi Materials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CID001188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Mitsui Mining &amp; Smelting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CID001192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Molycorp Silmet A.S.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CID001200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Estonia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Moscow Special Alloys Processing Plant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CID001204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Nadir Metal Rafineri San. Ve Tic. 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CID001220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Turkey</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Nankang Nanshan Tin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CID001231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Navoi Mining and Metallurgical Combinat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CID001236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Uzbekistan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Nihon Material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CID001259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Ningxia Orient Tantalum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CID001277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Novosibirsk Integrated Tin Works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CID001305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Nui Phao H.C. Starck Tungsten Chemicals Manufacturing LLC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Vietnam</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O.M. Manufacturing (Thailand)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CID001314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Thailand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O.M. Manufacturing Philippines, Inc.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CID002517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Philippines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Ohura Precious Metal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CID001325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OJSC Kolyma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CID001328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OJSC Novosibirsk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CID000493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Operaciones Metalurgical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CID001337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Bolivia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PAMP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CID001352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Switzerland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Penglai Penggang Gold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CID001362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Plansee SE Liezen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CID002540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Austria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Plansee SE Reutte</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CID002556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Austria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Pobedit, JSC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CID002532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Prioksky Plant of Non-Ferrous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CID001386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Alam Lestari Kencana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CID001393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Aneka Tambang (Persero) Tbk</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CID001397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Aries Kencana Sejahtera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CID000309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Artha Cipta Langgeng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CID001399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ATD Makmur Mandiri Jaya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CID002503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Babel Inti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CID001402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Bangka Kudai Tin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CID001409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bl>
    <w:p>
      <w:pPr>
        <w:sectPr>
          <w:pgSz w:w="11900" w:h="16838" w:orient="portrait"/>
          <w:cols w:equalWidth="0" w:num="1">
            <w:col w:w="11040"/>
          </w:cols>
          <w:pgMar w:left="440" w:top="622" w:right="4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5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Bangka Timah Utama Sejahtera</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CID001416</w:t>
            </w:r>
          </w:p>
        </w:tc>
        <w:tc>
          <w:tcPr>
            <w:tcW w:w="2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Bangka Tin Industry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CID001419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Belitung Industri Sejahtera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CID001421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BilliTin Makmur Lestari</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CID001424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Bukit Timah</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CID001428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DS Jaya Abadi</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CID001434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Eunindo Usaha Mandiri</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CID001438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Fang Di MulTindo</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CID001442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Inti Stania Prima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CID002530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Justindo</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CID000307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Karimun Mining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CID001448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Mitra Stania Prima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CID001453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Panca Mega Persada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CID001457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PT Pelat Timah Nusantara Tbk</w:t>
            </w:r>
          </w:p>
        </w:tc>
        <w:tc>
          <w:tcPr>
            <w:tcW w:w="17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right w:val="single" w:sz="8" w:color="auto"/>
            </w:tcBorders>
          </w:tcPr>
          <w:p>
            <w:pPr>
              <w:spacing w:after="0"/>
              <w:rPr>
                <w:sz w:val="15"/>
                <w:szCs w:val="15"/>
                <w:color w:val="auto"/>
              </w:rPr>
            </w:pP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Note: This smelter was not operational for 2015 but was reported by 3 of Brady’s</w:t>
            </w:r>
          </w:p>
        </w:tc>
        <w:tc>
          <w:tcPr>
            <w:tcW w:w="176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right w:val="single" w:sz="8" w:color="auto"/>
            </w:tcBorders>
          </w:tcPr>
          <w:p>
            <w:pPr>
              <w:spacing w:after="0"/>
              <w:rPr>
                <w:sz w:val="15"/>
                <w:szCs w:val="15"/>
                <w:color w:val="auto"/>
              </w:rPr>
            </w:pP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suppliers. These suppliers have been notified to take corrective actions and report</w:t>
            </w:r>
          </w:p>
        </w:tc>
        <w:tc>
          <w:tcPr>
            <w:tcW w:w="176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3"/>
              </w:rPr>
              <w:t>additional smelters if any. Additional follow up with the suppliers was not complete as of</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CID001486</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07"/>
        </w:trPr>
        <w:tc>
          <w:tcPr>
            <w:tcW w:w="1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the date this report.</w:t>
            </w:r>
          </w:p>
        </w:tc>
        <w:tc>
          <w:tcPr>
            <w:tcW w:w="1760" w:type="dxa"/>
            <w:vAlign w:val="bottom"/>
            <w:tcBorders>
              <w:bottom w:val="single" w:sz="8" w:color="auto"/>
              <w:right w:val="single" w:sz="8" w:color="auto"/>
            </w:tcBorders>
            <w:vMerge w:val="continue"/>
          </w:tcPr>
          <w:p>
            <w:pPr>
              <w:spacing w:after="0"/>
              <w:rPr>
                <w:sz w:val="18"/>
                <w:szCs w:val="18"/>
                <w:color w:val="auto"/>
              </w:rPr>
            </w:pPr>
          </w:p>
        </w:tc>
        <w:tc>
          <w:tcPr>
            <w:tcW w:w="22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Prima Timah Utama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CID001458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Refined Bangka Tin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CID001460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Sariwiguna Binasentosa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CID001463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Seirama Tin investment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CID001466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Stanindo Inti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CID001468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Sukses Inti Makmur</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CID002816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Sumber Jaya Indah</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CID001471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Timah (Persero) Tbk Kundur</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CID001477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Timah (Persero) Tbk Mentok</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CID001482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Tinindo Inter Nusa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CID001490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PT WAHANA PERKIT JAYA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CID002479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PX Precinox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CID001498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Switzerland</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QuantumClean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CID001508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Rand Refinery (Pty)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CID001512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Africa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Republic Metals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CID002510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RFH Tantalum Smeltry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CID001522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Royal Canadian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CID001534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Rui Da Hung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CID001539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Taiwan</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Sabin Metal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CID001546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Samduck Precious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CID001555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SAMWON METALS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CID001562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Schone Edelmetaal B.V.</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CID001573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Netherlands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SEMPSA Joyería Platería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CID001585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Shandong Zhaojin Gold &amp; Silver Refinery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CID001622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Sichuan Tianze Precious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CID001736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 Accurate Group, Inc.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CID001754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SOE Shyolkovsky Factory of Secondary Precious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CID001756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c>
          <w:tcPr>
            <w:tcW w:w="0" w:type="dxa"/>
            <w:vAlign w:val="bottom"/>
          </w:tcPr>
          <w:p>
            <w:pPr>
              <w:spacing w:after="0"/>
              <w:rPr>
                <w:sz w:val="1"/>
                <w:szCs w:val="1"/>
                <w:color w:val="auto"/>
              </w:rPr>
            </w:pP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Soft Metais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CID001758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c>
          <w:tcPr>
            <w:tcW w:w="0" w:type="dxa"/>
            <w:vAlign w:val="bottom"/>
          </w:tcPr>
          <w:p>
            <w:pPr>
              <w:spacing w:after="0"/>
              <w:rPr>
                <w:sz w:val="1"/>
                <w:szCs w:val="1"/>
                <w:color w:val="auto"/>
              </w:rPr>
            </w:pPr>
          </w:p>
        </w:tc>
      </w:tr>
    </w:tbl>
    <w:p>
      <w:pPr>
        <w:sectPr>
          <w:pgSz w:w="11900" w:h="16838" w:orient="portrait"/>
          <w:cols w:equalWidth="0" w:num="1">
            <w:col w:w="11040"/>
          </w:cols>
          <w:pgMar w:left="440" w:top="622" w:right="4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5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Solar Applied Materials Technology Corp.</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CID001761</w:t>
            </w:r>
          </w:p>
        </w:tc>
        <w:tc>
          <w:tcPr>
            <w:tcW w:w="2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Taiwan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Solikamsk Magnesium Works OAO</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CID001769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Russia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Sumitomo Metal Mining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CID001798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Taki Chemicals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CID001869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Tanaka Kikinzoku Kogyo K.K.</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CID001875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Tejing (Vietnam)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CID001889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Vietnam</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Telex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CID001891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Thaisarco</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CID001898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Thailand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The Great Wall Gold and Silver Refinery of China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CID001909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The Refinery of Shandong Gold Mining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CID001916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Tokuriki Honten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CID001938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TongLing Nonferrous Metals Group Holdings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CID001947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Torecom</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CID001955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Ulba Metallurgical Plant JSC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CID001969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Kazakhstan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Umicore Brasil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CID001977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Umicore Precious Metals Thailand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Thailand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Umicore SA Business Unit Precious Metals Refining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CID001980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Belgium</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Precious Metal Refining, Inc.</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CID001993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States</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Valcambi SA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CID002003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Switzerland</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Vietnam Youngsun Tungsten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CID002011</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Vietnam</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Western Australian Mint trading as The Perth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CID002030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Australia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White Solder Metalurgia e Mineração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CID002036</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Brazil</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Wolfram Bergbau und Hütten AG</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CID002044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Austria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Xiamen Tungsten (H.C.)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CID002320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Xiamen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CID002082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Xinhai Rendan Shaoguan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CID002095</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Yamamoto Precious 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CID002100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Yichun Jin Yang Rare 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CID002307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Yokohama 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CID002129</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Japan</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Yunnan Chengfeng Non-ferrous Metals Co.,Ltd.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CID002158</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Yunnan Copper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CID000197</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Yunnan Tin Group (Holding) Company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CID002180</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Zhongyuan Gold Smelter of Zhongjin Gold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CID002224</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TANTALUM</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Zhuzhou Cemented Carbide</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CID002232</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r>
        <w:trPr>
          <w:trHeight w:val="231"/>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Zijin Mining Group Co., Ltd. Gold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CID002243</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China</w:t>
            </w:r>
          </w:p>
        </w:tc>
      </w:tr>
    </w:tbl>
    <w:p>
      <w:pPr>
        <w:sectPr>
          <w:pgSz w:w="11900" w:h="16838" w:orient="portrait"/>
          <w:cols w:equalWidth="0" w:num="1">
            <w:col w:w="11040"/>
          </w:cols>
          <w:pgMar w:left="440" w:top="622" w:right="4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1"/>
          <w:szCs w:val="21"/>
          <w:b w:val="1"/>
          <w:bCs w:val="1"/>
          <w:color w:val="auto"/>
        </w:rPr>
        <w:t>Appendix 1(B)</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Smelters*</w:t>
      </w:r>
    </w:p>
    <w:p>
      <w:pPr>
        <w:spacing w:after="0" w:line="298" w:lineRule="exact"/>
        <w:rPr>
          <w:sz w:val="20"/>
          <w:szCs w:val="20"/>
          <w:color w:val="auto"/>
        </w:rPr>
      </w:pPr>
    </w:p>
    <w:tbl>
      <w:tblPr>
        <w:tblLayout w:type="fixed"/>
        <w:tblInd w:w="50" w:type="dxa"/>
        <w:tblCellMar>
          <w:top w:w="0" w:type="dxa"/>
          <w:left w:w="0" w:type="dxa"/>
          <w:bottom w:w="0" w:type="dxa"/>
          <w:right w:w="0" w:type="dxa"/>
        </w:tblCellMar>
      </w:tblPr>
      <w:tr>
        <w:trPr>
          <w:trHeight w:val="215"/>
        </w:trPr>
        <w:tc>
          <w:tcPr>
            <w:tcW w:w="2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Metal Processed</w:t>
            </w:r>
          </w:p>
        </w:tc>
        <w:tc>
          <w:tcPr>
            <w:tcW w:w="5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Official Smelter Name</w:t>
            </w:r>
          </w:p>
        </w:tc>
        <w:tc>
          <w:tcPr>
            <w:tcW w:w="1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Known CID</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b w:val="1"/>
                <w:bCs w:val="1"/>
                <w:color w:val="auto"/>
              </w:rPr>
              <w:t>Smelter Location</w:t>
            </w:r>
          </w:p>
        </w:tc>
      </w:tr>
      <w:tr>
        <w:trPr>
          <w:trHeight w:val="24"/>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22"/>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Almalyk Mining and Metallurgical Complex (AMMC)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CID000041</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Uzbekistan</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Dayu Weiliang Tungsten Co., Ltd.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CID000345</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Ganzhou Non-ferrous Metals Smelting Co., Ltd.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CID000868</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Gejiu Kai Meng Industry and Trade LLC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CID000942</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Jiangwu H.C. Starck Tungsten Products Co., Ltd.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CID002551</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Tonggu Non-ferrous Metallurgical &amp; Chemical Co., Ltd.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CID002318</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Xinsheng Tungsten Industry Co., Ltd.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CID002317</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Jiangxi Yaosheng Tungsten Co., Ltd.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CID002316</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China</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Kennametal Fallon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CID000966</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United States</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GOLD</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Navoi Mining and Metallurgical Combinat</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CID001236</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Uzbekistan</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TUNGSTEN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Pobedit, JSC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CID002532</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Russia</w:t>
            </w:r>
          </w:p>
        </w:tc>
      </w:tr>
      <w:tr>
        <w:trPr>
          <w:trHeight w:val="231"/>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TIN</w:t>
            </w:r>
          </w:p>
        </w:tc>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Yunnan Chengfeng Non-ferrous Metals Co.,Ltd.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CID002158</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China</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*All smelters/refiners on this list have been identified as currently undergoing the audit process.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Appendix 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Countries of Origin*</w:t>
      </w:r>
    </w:p>
    <w:p>
      <w:pPr>
        <w:sectPr>
          <w:pgSz w:w="11900" w:h="16838" w:orient="portrait"/>
          <w:cols w:equalWidth="0" w:num="1">
            <w:col w:w="11400"/>
          </w:cols>
          <w:pgMar w:left="240" w:top="873" w:right="259" w:bottom="1440" w:gutter="0" w:footer="0" w:header="0"/>
        </w:sectPr>
      </w:pPr>
    </w:p>
    <w:bookmarkStart w:id="13" w:name="page14"/>
    <w:bookmarkEnd w:id="13"/>
    <w:tbl>
      <w:tblPr>
        <w:tblLayout w:type="fixed"/>
        <w:tblInd w:w="1270" w:type="dxa"/>
        <w:tblCellMar>
          <w:top w:w="0" w:type="dxa"/>
          <w:left w:w="0" w:type="dxa"/>
          <w:bottom w:w="0" w:type="dxa"/>
          <w:right w:w="0" w:type="dxa"/>
        </w:tblCellMar>
      </w:tblPr>
      <w:tr>
        <w:trPr>
          <w:trHeight w:val="242"/>
        </w:trPr>
        <w:tc>
          <w:tcPr>
            <w:tcW w:w="4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Australia</w:t>
            </w:r>
          </w:p>
        </w:tc>
        <w:tc>
          <w:tcPr>
            <w:tcW w:w="41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Canada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Niger</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China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Indonesia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Japan</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South Korea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Peru</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Nigeria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Portugal</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Kazakhstan</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Spain</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Poland</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Taiwan</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Mozambique</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United States</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Sierra Leone</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Bolivia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Namibia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Germany</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Zimbabwe</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Thailand</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Estonia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Mexico</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Austria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Uzbekistan</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France</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Chile</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Laos</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Jersey</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Mongolia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South Africa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Burundi</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Brazil</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Kyrgyzstan</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Argentina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Saudi Arabia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Hong Kong</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Kingdom</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Singapore</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United Arab Emirates</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Switzerland</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Belgium</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Guinea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Tanzania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Papua New Guinea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Ghana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Malaysia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Mali</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Armenia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Guyana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Turkey</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Suriname</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Philippines</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Netherlands</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Sweden</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Vietnam</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DRC- Congo</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Morocco</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Zambia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Myanmar</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Russia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Belarus</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Italy</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Angola</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Rwanda</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Tajikistan</w:t>
            </w:r>
          </w:p>
        </w:tc>
      </w:tr>
      <w:tr>
        <w:trPr>
          <w:trHeight w:val="231"/>
        </w:trPr>
        <w:tc>
          <w:tcPr>
            <w:tcW w:w="4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Ethiopia</w:t>
            </w:r>
          </w:p>
        </w:tc>
        <w:tc>
          <w:tcPr>
            <w:tcW w:w="4100" w:type="dxa"/>
            <w:vAlign w:val="bottom"/>
            <w:tcBorders>
              <w:bottom w:val="single" w:sz="8" w:color="auto"/>
              <w:right w:val="single" w:sz="8" w:color="auto"/>
            </w:tcBorders>
          </w:tcPr>
          <w:p>
            <w:pPr>
              <w:spacing w:after="0"/>
              <w:rPr>
                <w:sz w:val="20"/>
                <w:szCs w:val="20"/>
                <w:color w:val="auto"/>
              </w:rPr>
            </w:pPr>
          </w:p>
        </w:tc>
      </w:tr>
    </w:tbl>
    <w:p>
      <w:pPr>
        <w:spacing w:after="0" w:line="174" w:lineRule="exact"/>
        <w:rPr>
          <w:sz w:val="20"/>
          <w:szCs w:val="20"/>
          <w:color w:val="auto"/>
        </w:rPr>
      </w:pPr>
    </w:p>
    <w:p>
      <w:pPr>
        <w:spacing w:after="0" w:line="244" w:lineRule="auto"/>
        <w:rPr>
          <w:sz w:val="20"/>
          <w:szCs w:val="20"/>
          <w:color w:val="auto"/>
        </w:rPr>
      </w:pPr>
      <w:r>
        <w:rPr>
          <w:rFonts w:ascii="Arial" w:cs="Arial" w:eastAsia="Arial" w:hAnsi="Arial"/>
          <w:sz w:val="14"/>
          <w:szCs w:val="14"/>
          <w:color w:val="222222"/>
        </w:rPr>
        <w:t>*These countries were identified as “possible sources of mineral origin” partly based on supplier declarations, and partly by our external smelter verification service.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9"/>
    </w:lvl>
  </w:abstractNum>
  <w:abstractNum w:abstractNumId="2">
    <w:nsid w:val="3D1B58BA"/>
    <w:multiLevelType w:val="hybridMultilevel"/>
    <w:lvl w:ilvl="0">
      <w:lvlJc w:val="left"/>
      <w:lvlText w:val="%1."/>
      <w:numFmt w:val="upperLetter"/>
      <w:start w:val="35"/>
    </w:lvl>
  </w:abstractNum>
  <w:abstractNum w:abstractNumId="3">
    <w:nsid w:val="507ED7AB"/>
    <w:multiLevelType w:val="hybridMultilevel"/>
    <w:lvl w:ilvl="0">
      <w:lvlJc w:val="left"/>
      <w:lvlText w:val="%1."/>
      <w:numFmt w:val="upperLetter"/>
      <w:start w:val="6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2019-12-05T17:15:01Z</dcterms:created>
  <dcterms:modified xsi:type="dcterms:W3CDTF">2019-12-05T17:15:01Z</dcterms:modified>
</cp:coreProperties>
</file>