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May 20, 2024, there were 43,941,713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April 30, 2024</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$6,690 and $8,467,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177,078</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524,820</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592,646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1,424,096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258,036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398,338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43,941,713 and 45,008,724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stock—7,319,774 and 6,252,763 shares, respectively, of Class A nonvoting common stock, at cost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1,424,096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985,934</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504,539</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481,395</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45,025</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273,202</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318,227</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163,168</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161,878</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36,399</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125,479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49,755</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50,033</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recognized in other comprehensive (loss)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r>
      <w:tr>
        <w:trPr>
          <w:trHeight w:val="216"/>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13,676</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(50,932)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$0.2350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1,129,739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1,022,102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2024</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$0.7050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$0.6884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April 30, 2023</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$0.2300 per share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983,694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(95,401)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995,096</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2023</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$0.6900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$0.6734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995,096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0" w:type="dxa"/>
            <w:vAlign w:val="bottom"/>
          </w:tcPr>
          <w:p>
            <w:pPr>
              <w:spacing w:after="0"/>
              <w:rPr>
                <w:sz w:val="1"/>
                <w:szCs w:val="1"/>
                <w:color w:val="auto"/>
              </w:rPr>
            </w:pP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Sale of business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(147,067)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135,047</w:t>
            </w:r>
          </w:p>
        </w:tc>
        <w:tc>
          <w:tcPr>
            <w:tcW w:w="0" w:type="dxa"/>
            <w:vAlign w:val="bottom"/>
          </w:tcPr>
          <w:p>
            <w:pPr>
              <w:spacing w:after="0"/>
              <w:rPr>
                <w:sz w:val="1"/>
                <w:szCs w:val="1"/>
                <w:color w:val="auto"/>
              </w:rPr>
            </w:pPr>
          </w:p>
        </w:tc>
      </w:tr>
      <w:tr>
        <w:trPr>
          <w:trHeight w:val="26"/>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81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April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2024 and July 31, 2023, its results of operations and comprehensive income for the three and nine months ended April 30, 2024 and 2023, and cash flows for the nine months ended April 30, 2024 and 2023. The condensed consolidated balance sheet as of July 31, 2023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2023.</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2025 Form 10-K and interim periods thereafter. The Company is currently evaluating the ASU to determine its impact on the Company's disclosures.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evaluating the ASU to determine its impact on the Company’s disclosures.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April 30, 2024 and July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2024</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46,844</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153,272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177,078</w:t>
            </w: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$302,424 and $292,680 as of April 30, 2024 and July 31, 2023,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April 30, 2024 and July 31, 2023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42,744</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7,552</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other intangible assets as of April 30, 2024 compared to July 31, 2023 was primarily due to the removal of a fully amortized tradename as well as a discontinued tradename during the nine-month period.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$2,365 and $2,461 for the three months ended April 30, 2024 and 2023, respectively, and $7,084 and $9,350 for the nine months ended April 30, 2024 and 2023,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April 30, 2024,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$3,688 and $3,997 for the three months ended April 30, 2024 and 2023, respectively, and $11,557 and $11,645 for the nine months ended April 30, 2024 and 2023,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nine months ended April 30, 2024 and 2023.</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nine months ended April 30, 2024 and 2023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w:t>
            </w:r>
          </w:p>
        </w:tc>
      </w:tr>
      <w:tr>
        <w:trPr>
          <w:trHeight w:val="27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w:t>
            </w:r>
          </w:p>
        </w:tc>
      </w:tr>
    </w:tbl>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nine months ended April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(107,768)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April 30, 2024 compared to July 31, 2023 was primarily due to the appreciation of the U.S. dollar against certain other currencies during the nine-month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nine months ended April 30, 2023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(98,482)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(95,401)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April 30, 2023 compared to July 31, 2022 was primarily due to the depreciation of the U.S. dollar against certain other currencies during the nine-month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nine months ended April 30, 2024 and 2023, unrealized gains on cash flow hedges were reclassified to "Cost of goods sold" and unamortized gains on post-retirement plans were reclassified into "Investment and other income" on the condensed consolidated statements of income.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(loss) income for the three and nine months ended April 30,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Income tax (expense) benefit related to items of other comprehensive (loss)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(51)</w:t>
            </w:r>
          </w:p>
        </w:tc>
        <w:tc>
          <w:tcPr>
            <w:tcW w:w="10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tax (expense) benefit related to items of other comprehensive (loss)</w:t>
            </w:r>
          </w:p>
        </w:tc>
        <w:tc>
          <w:tcPr>
            <w:tcW w:w="1000" w:type="dxa"/>
            <w:vAlign w:val="bottom"/>
            <w:tcBorders>
              <w:top w:val="single" w:sz="8" w:color="auto"/>
            </w:tcBorders>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(51)</w:t>
            </w:r>
          </w:p>
        </w:tc>
        <w:tc>
          <w:tcPr>
            <w:tcW w:w="100" w:type="dxa"/>
            <w:vAlign w:val="bottom"/>
          </w:tcPr>
          <w:p>
            <w:pPr>
              <w:spacing w:after="0"/>
              <w:rPr>
                <w:sz w:val="12"/>
                <w:szCs w:val="12"/>
                <w:color w:val="auto"/>
              </w:rPr>
            </w:pPr>
          </w:p>
        </w:tc>
        <w:tc>
          <w:tcPr>
            <w:tcW w:w="1080" w:type="dxa"/>
            <w:vAlign w:val="bottom"/>
            <w:tcBorders>
              <w:top w:val="single" w:sz="8" w:color="auto"/>
            </w:tcBorders>
            <w:vMerge w:val="restart"/>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$3,149 and $2,757 as of April 30, 2024 and July 31, 2023, respectively. The current portion and non-current portion of contract liabilities are included in “Other current liabilities” and “Other liabilities," respectively, on the condensed consolidated balance sheets. The Company recognized revenue of $325 and $311 during the three months ended April 30, 2024 and 2023, respectively, and $960 and $928 during the nine months ended April 30, 2024 and 2023, respectively, that was included in the contract liability balance at the beginning of the respective period from the amortization of extended service warranties. Of the contract liability balance outstanding at April 30, 2024, the Company expects to recognize 11% by the end of fiscal 2024, an additional 36% by the end of fiscal 2025,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following is a summary of net sales by segment and geographic region for the three and nine months ended April 30,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584,505</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76,870</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661,375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284,432</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40,127</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and nine months ended April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49,697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130,511</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47,316</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69,234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194,824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177,827</w:t>
            </w: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profit from reportable segments is a measure of operating income that excludes administrative costs related to corporate functions that are otherwise included in the Company's operating income. The following is a reconciliation of total profit from reportable segments to income before income taxes for the three and nine months ended April 30,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177,827</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business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64,411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161,878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50,890</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50,890</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141,006</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124,706</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48,004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48,386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50,033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47,409 and 447,210 for the three months ended April 30, 2024 and 2023, respectively, and 136,919 and 555,247 for the nine months ended April 30, 2024 and 2023,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July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2024</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2024</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39,661</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2024 and July 31, 2023, unrealized gains of $1,104 and $1,580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April 30, 2024 and July 31, 2023, the cumulative balances recognized in accumulated other comprehensive income were losses of $799 and $1,746, respectively, on any outstanding foreign currency denominated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2,165</w:t>
            </w:r>
          </w:p>
        </w:tc>
      </w:tr>
      <w:tr>
        <w:trPr>
          <w:trHeight w:val="219"/>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(1,502)</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reclassified from OCI into cost of goods sold</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1,261</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April 30, 2024</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-865505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rate for the three months ended April 30, 2024 and 2023 was 21.0% and 23.8%, respectively. The income tax rate for the nine months ended April 30, 2024 and 2023, was 21.1% and 22.5%, respectively. The decrease in the tax rate in the nine-month period was primarily due to tax benefits from stock-based compensation and other permanent adjustments. The Company expects its ongoing annual income tax rate to be approximately 21% based on its current global business mix and based on tax laws and statutory rates currently in effect.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20, 2024, the Board of Directors declared a quarterly cash dividend to shareholders of the Company’s Class A and Class B Common Stock of $0.235 per share payable on July 31, 2024, to shareholders of record at the close of business on July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FINANCIAL CONDITION AND RESULTS OF OPERATIONS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Within each of the reportable segments, the Company sells products under the product identification, wire identification, healthcare identification and safety and facility identification product lines to a diverse base of customers. The product identification, wire identification, and healthcare identification product lines include high-performance and innovative products that are designed, manufactured, and distributed within the Company's value chain. The safety and facility identification product line includes a broad range of stock and custom products that the Company manufactures, as well as a wide variety of products that the Company purchases and resells as a distributor.</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2024:</w:t>
      </w:r>
    </w:p>
    <w:p>
      <w:pPr>
        <w:spacing w:after="0" w:line="158"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inflationary pressures and supply chain and other business disruptions through the end of fiscal 2024. While we have seen certain pressures alleviate, we expect raw materials and labor cost inflation to continue. Thus far, the Company has been able to mitigate the impact of inflation through pricing actions and the execution of sustainable efficiency gains.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the financial strength to continue to invest in organic sales growth opportunities including sales, marketing and research and development ("R&amp;D"), as well as inorganic sales opportunities including acquisitions, while continuing to drive sustainable efficiency gains and automation in our operations and selling, general and administrative ("SG&amp;A") functions and return capital to our shareholders in the form of dividends and share repurchases. At April 30, 2024, we had cash of $160.5 million, as well as a credit agreement with $234.5 million available for future borrowing, which can be increased up to $1,084.5 million at the Company's option and subject to certain conditions, for total available liquidity of $1,245.0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remaining undrawn amount of the credit agreement and our ability to increase that credit line as necessary are sufficient to manage the continuing impact of economic or geopolitical events which may result in reduced sales, net income, or cash provided by operating activities. Refer to Risk Factors, included in Part I, Item 1A of our Annual Report on Form 10-K for the year ended July 31, 2023,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nine months ended April 30, 2024 and 2023,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985,934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177,027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169,691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481,395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113,484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106,690</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333,630</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318,227</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32.3 %</w:t>
            </w: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163,168</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2024 increased 1.9% to $343.4 million compared to $337.1 million in the same period in the prior year, which consisted of organic sales growth of 4.5%, partially offset by a decrease from foreign currency translation of 0.3% and a decrease due to divestitures of 2.3%. Organic sales grew 4.5% in the Americas &amp; Asia segment and 4.4% in the Europe &amp; Australia segment during the three months ended April 30, 2024.</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April 30, 2024 increased 1.2% to $998.0 million compared to $985.9 million in the same period in the prior year. The increase consisted of organic sales growth of 3.0% and an increase from foreign currency translation of 0.6%, which was partially offset by a decrease of 2.4% due to divestitures. Organic sales grew 3.0% in the Americas &amp; Asia segment and 2.8% in the Europe &amp; Australia segment during the nine months ended April 30, 2024.</w:t>
      </w:r>
    </w:p>
    <w:p>
      <w:pPr>
        <w:spacing w:after="0" w:line="12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4.3% to $177.0 million in the three months ended April 30, 2024 compared to $169.7 million in the same period in the prior year. As a percentage of net sales, gross margin increased to 51.6% from 50.3% in the three-month period. Gross margin increased 6.1% to $510.8 million in the nine months ended April 30, 2024 compared to $481.4 million in the same period in the prior year. As a percentage of net sales, gross margin increased to 51.2% from 48.8% in the nine-month period. The increase in gross margin as a percentage of net sales was primarily due to organic sales growth in higher gross margin product lines during both the three and nine-month periods.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R&amp;D expenses increased 12.5% to $17.7 million in the three months ended April 30, 2024 compared to $15.7 million in the same period in the prior year. As a percentage of net sales, R&amp;D expenses increased to 5.1% from 4.7% in the three-month period. R&amp;D expenses increased 11.5% to $50.2 million in the nine months ended April 30, 2024 compared to $45.0 million in the same period in the prior year. As a percentage of net sales, R&amp;D expenses increased to 5.0% from 4.6% in the nine-month period. The increase in R&amp;D spending was primarily due to an increase in R&amp;D headcount. The Company remains committed to investing in new product development to increase sales within our businesses. Investments in new printing systems, materials and an industrial track and trace solution remain the primary focus of R&amp;D expenditures in fiscal 2024.</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administrative expenses including finance, information technology, human resources, and corporate administrative expenses. SG&amp;A expenses increased 5.3% to $95.8 million in the three months ended April 30, 2024 compared to $91.0 million in the same period in the prior year. As a percentage of sales, SG&amp;A increased to 27.9% from 27.0% in the three-month period. SG&amp;A expenses increased 3.7% to $283.4 million for the nine months ended April 30, 2024 compared to $273.2 million in the same period in the prior year. As a percentage of net sales, SG&amp;A increased to 28.4% from 27.7% in the nine-month period. SG&amp;A expenses include a gain of $3.8 million from the sale of the PremiSys business during the three months ended April 30, 2023. The increase in SG&amp;A expenses during the three and nine months ended April 30, 2024 was primarily due to increased headcount in sales and technology roles, investments in digital advertising and the gain on sale of business recorded in the prior period, which was partially offset by a decrease in headcount and advertising expense from divested businesses and a decrease in amortization expense.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0.9% to $63.5 million and increased 8.6% to $177.2 million in the three and nine months ended April 30, 2024, respectively, compared to $63.0 million and $163.2 million in the same periods in the prior year. The increase in operating income in both the three and nine-month periods was primarily due to organic sales growth and increased gross margin, which was partially offset by investments in sales, technology and R&amp;D personnel along with the gain of $3.8 million from the sale of the PremiSys business in the prior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179,633</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161,878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income was $1.6 million and $4.7 million in the three and nine months ended April 30, 2024, respectively, compared to $0.8 million and $1.6 million in the same periods in the prior year. The increase in income during the three and nine-month periods was primarily due to an increase in interest income and an increase in the market value of securities held in deferred compensation plans.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to $0.7 million and $2.3 million in the three and nine months ended April 30, 2024, respectively, compared to $0.8 million and $2.9 million in the same periods in the prior year. The decrease in interest expense was primarily due to a decrease in outstanding borrowings on the Company's credit agreement, which was partially offset by an increase in interest rates on the Company's credit agreement compared to the same periods in the prior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21.0% and 23.8% in the three months ended April 30, 2024 and 2023, respectively, and the income tax rate was 21.1% and 22.5% for the nine months ended April 30, 2024 and 2023, respectively. Refer to Note L, "Income Taxes" for additional information on the Company's income tax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nine months ended April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40" w:type="dxa"/>
            <w:vAlign w:val="bottom"/>
          </w:tcPr>
          <w:p>
            <w:pPr>
              <w:spacing w:after="0"/>
              <w:rPr>
                <w:sz w:val="18"/>
                <w:szCs w:val="18"/>
                <w:color w:val="auto"/>
              </w:rPr>
            </w:pPr>
          </w:p>
        </w:tc>
        <w:tc>
          <w:tcPr>
            <w:tcW w:w="280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143,489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130,511</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19,537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17,099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51,335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47,316</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69,234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66,291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194,824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177,827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Americas &amp; Asia net sales increased 0.9% to $224.8 million in the three months ended April 30, 2024 compared to $222.8 million in the same period in the prior year, which consisted of organic sales growth of 4.5% and decreases from foreign currency translation of 0.1% and divestitures of 3.5%. Americas &amp; Asia net sales declined 0.5% to $658.0 million in the nine months ended April 30, 2024 compared to $661.4 million in the same period in the prior year, which consisted of organic sales growth of 3.0% that was offset by a decrease due to divestitures of 3.5%.</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the Americas increased in the mid-single digits in the three months ended April 30, 2024 and increased in the low-single digits in the nine months ended April 30, 2024 compared to the same periods in the prior year. Organic sales growth during the three-month period was driven by growth in all major product lines with the strongest growth in the safety and facility identification and wire identification product lines. Organic sales growth during the nine-month period was primarily driven by growth in the wire identification, safety and facility identification and product identification product lines, which was partially offset by an organic sales decline in the healthcare identification product line.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Asia increased in the low-single digits in both the three and nine-month periods ended April 30, 2024 compared to the same periods in the prior year. The organic sales increase during the three and nine-month periods was driven by sales growth in India, Singapore and Japan, which was partially offset by a decline in volume in China.</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Americas &amp; Asia segment profit increased 1.0% to $49.7 million in the three months ended April 30, 2024 compared to $49.2 million in the same period in the prior year. Segment profit increased 9.9% to $143.5 million in the nine months ended April 30, 2024 compared to $130.5 million in the same period in the prior year. As a percentage of net sales, segment profit remained flat at 22.1% in the three-month period and segment profit increased to 21.8% from 19.7% in the nine-month period ended April 30, 2024 compared to the same periods in the prior year. The increase in segment profit was primarily due to organic sales growth in higher gross margin product lines and a decrease in headcount and advertising expenses from divested businesses, which was partially offset by increased headcount in sales and R&amp;D roles during both the three and nine-month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Europe &amp; Australia net sales increased 3.8% to $118.6 million in the three months ended April 30, 2024 compared to $114.3 million in the same period in the prior year, which consisted of organic sales growth of 4.4% and a decrease from foreign currency translation of 0.6%. Europe &amp; Australia net sales increased 4.7% to $340.0 million in the nine months ended April 30, 2024 compared to $324.6 million in the same period in the prior year, which consisted of organic sales growth of 2.8% and an increase from foreign currency translation of 1.9%.</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increased in the mid-single digits in the three months ended April 30, 2024 and increased in the low-single digits in the nine months ended April 30, 2024 compared to the same periods in the prior year. Organic sales during the three and nine-month periods grew in all major product lines with the strongest growth in the safety and facility identification product line. Organic sales in the three-month period were stronger than the first half of the fiscal year primarily due to growth in Western Europe, specifically due to an increased growth rate in France and Germany.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increased in the low-single digits in both the three and nine months ended April 30, 2024 compared to the same periods in the prior year. Organic sales growth during the three and nine-month periods was primarily driven by the wire identification product line and, to a lesser extent, the product identification product line.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Europe &amp; Australia segment profit increased 14.3% to $19.5 million in the three months ended April 30, 2024 compared to $17.1 million in the same period in the prior year. Segment profit increased 8.5% to $51.3 million in the nine months ended April 30, 2024 compared to $47.3 million in the same period in the prior year. As a percentage of net sales, segment profit increased to 16.5% from 15.0% for the three-month period and segment profit increased to 15.1% from 14.6% for the nine-month period ended April 30, 2024 compared to the same periods in the prior year. The increase in segment profit during both periods was primarily due to organic sales growth and improved gross margins due to product mix and reductions in freight expenses, which was partially offset by increased headcount in sales and R&amp;D roles.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April 30, 2024, 97%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share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$160.5 million at April 30, 2024, an increase of $8.9 million from July 31, 2023.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129,861</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(105,935)</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20,978</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$171.1 million in the nine months ended April 30, 2024 compared to $129.9 million in the same period of the prior year. The increase in cash provided by operating activities was primarily due to improved profitability, reduced inventory spend and lower annual incentive compensation payments compared to the same period in the prior year.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$70.3 million in the nine months ended April 30, 2024 compared to $4.9 million in the same period of the prior year. The increase in cash used in investing activities was primarily due to the purchase of a previously leased facility in Mexico, in addition to facility construction costs in Belgium.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$89.0 million in the nine months ended April 30, 2024 compared to $105.9 million in the same period in the prior year. The decrease in cash used in financing activities was primarily due to increased net borrowings to fund higher level of capital expenditures during the nine months ended April 30, 2024, which was partially offset by an increase in share repurchases.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credit agreement dated August 1, 2019 to adjust to alternative benchmarks due to the elimination of the London Inter-bank Offered Rate (LIBOR).</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April 30, 2024, the outstanding balance on the Company's credit agreement was $63.8 million. The maximum amount outstanding on the credit agreement during the nine months ended April 30, 2024 was $64.7 million. As of April 30, 2024, the U.S. dollar-denominated borrowings of $28.0 million bear interest at 6.3%; the Euro-denominated borrowings of €24.0 million bear interest at 4.7%; and the British Pound-denominated borrowings of £8.0 million bear interest at 6.1% for a weighted average interest rate of 5.6%. The Company had letters of credit outstanding under the credit agreement of $1.7 million as of April 30, 2024, and there was $234.5 million available for future borrowing, which can be increased to $1,084.5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credit agreement, of not more than a 3.5 to 1.0 ratio (leverage ratio) and the trailing twelve months EBITDA to interest expense of not less than a 3.0 to 1.0 ratio (interest expense coverage). As of April 30, 2024, the Company was in compliance with these financial covenants, with a ratio of debt to EBITDA, as defined by the agreement, equal to 0.2 to 1.0 and the interest expense coverage ratio equal to 98.1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of which are beyond Brady's control, that could cause actual results to differ materially from those expressed or implied by such forward-looking statements. For Brady, uncertainties arise from:</w:t>
      </w:r>
    </w:p>
    <w:p>
      <w:pPr>
        <w:spacing w:after="0" w:line="108" w:lineRule="exact"/>
        <w:rPr>
          <w:sz w:val="20"/>
          <w:szCs w:val="20"/>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and labor as well as raw material shortages and supply chain disruptions</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regional epidemics or global pandemics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540" w:hanging="330"/>
        <w:spacing w:after="0" w:line="253"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2023. There has been no material change in this information since the 2023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are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M, "Contingencies" included in this Quarterly Report on Form 10-Q is incorporated herein by 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2023. There have been no material changes from the risk factors set forth in the 2023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30, 2023, the Company's Board of Directors authorized an increase in the Company's share repurchase program, authorizing the repurchase of an additional $100.0 million of the Company's Class A Nonvoting Common Stock, which expanded upon the Company's prior authorization. The share repurchase program may be implemented from time to time on the open market or in privately negotiated transactions and has no expiration date. As of April 30, 2024, there was $37.8 million worth of repurchase authority remaining pursuant to the existing share repurchase program.</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April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2024 - February 29, 2024</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1, 2024 - March 31,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57,288</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 April 30, 2024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Put Option Letter, dated as of March 15, 2024, by and between Brady Corporation and MML Capital Europe VI II S.A. and</w:t>
            </w:r>
          </w:p>
        </w:tc>
      </w:tr>
      <w:tr>
        <w:trPr>
          <w:trHeight w:val="169"/>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other institutional and individual holders</w:t>
            </w:r>
          </w:p>
        </w:tc>
        <w:tc>
          <w:tcPr>
            <w:tcW w:w="598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gridSpan w:val="2"/>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3"/>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5"/>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0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w:t>
      </w:r>
      <w:r>
        <w:rPr>
          <w:rFonts w:ascii="Arial" w:cs="Arial" w:eastAsia="Arial" w:hAnsi="Arial"/>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MML Capital Europe VI Equity II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rue Lou Hemmer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L-1748 Senningerberg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the attention of Mr. Fabrice Badouraly and Mrs. Anne-Cécile Jourdren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MML Capital Europe VI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 rue Lou Hemmer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L-1748 Senningerberg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the attention of Mr. Fabrice Badouraly and Mrs. Anne-Cécile Jourdren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Arnaud Linquette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 parc de Diane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78350 Jouy-en-Josas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FPCI FIC 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its management company Bpifrance Investissement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27/31, avenue du Général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94710 Maisons-Alfort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the attention of Mr. Arnaud Legardeur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Gérard Guyard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3140 Ferncliff Commons,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United-States of America;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Beneficiaries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Beneficiaries hereby appoint, with effect on and as of the date hereof, (i) MML Capital Europe VI Equity II SA, (ii) FPCI FIC 5, represented by Bpifrance Investissement and (iii) Mr. Arnaud Linquette as sellers’ agent (the “</w:t>
      </w:r>
      <w:r>
        <w:rPr>
          <w:rFonts w:ascii="Arial" w:cs="Arial" w:eastAsia="Arial" w:hAnsi="Arial"/>
          <w:sz w:val="18"/>
          <w:szCs w:val="18"/>
          <w:b w:val="1"/>
          <w:bCs w:val="1"/>
          <w:color w:val="auto"/>
        </w:rPr>
        <w:t>Sellers’ Agents</w:t>
      </w:r>
      <w:r>
        <w:rPr>
          <w:rFonts w:ascii="Arial" w:cs="Arial" w:eastAsia="Arial" w:hAnsi="Arial"/>
          <w:sz w:val="18"/>
          <w:szCs w:val="18"/>
          <w:color w:val="auto"/>
        </w:rPr>
        <w:t>”) for the purpose of this Put-Option, with Clause 1.4 (</w:t>
      </w:r>
      <w:r>
        <w:rPr>
          <w:rFonts w:ascii="Arial" w:cs="Arial" w:eastAsia="Arial" w:hAnsi="Arial"/>
          <w:sz w:val="18"/>
          <w:szCs w:val="18"/>
          <w:i w:val="1"/>
          <w:iCs w:val="1"/>
          <w:color w:val="auto"/>
        </w:rPr>
        <w:t>Sellers’ Agents</w:t>
      </w:r>
      <w:r>
        <w:rPr>
          <w:rFonts w:ascii="Arial" w:cs="Arial" w:eastAsia="Arial" w:hAnsi="Arial"/>
          <w:sz w:val="18"/>
          <w:szCs w:val="18"/>
          <w:color w:val="auto"/>
        </w:rPr>
        <w:t xml:space="preserve">) of the SPA applying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Put Option.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Paris, March 15,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Acquisition of the Gravotech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Irrevocable commitment to acquire the Gravotech Group</w:t>
      </w:r>
    </w:p>
    <w:p>
      <w:pPr>
        <w:spacing w:after="0" w:line="185"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We Braton Europe Sarl (the “</w:t>
      </w:r>
      <w:r>
        <w:rPr>
          <w:rFonts w:ascii="Arial" w:cs="Arial" w:eastAsia="Arial" w:hAnsi="Arial"/>
          <w:sz w:val="18"/>
          <w:szCs w:val="18"/>
          <w:b w:val="1"/>
          <w:bCs w:val="1"/>
          <w:color w:val="auto"/>
        </w:rPr>
        <w:t>Purchaser</w:t>
      </w:r>
      <w:r>
        <w:rPr>
          <w:rFonts w:ascii="Arial" w:cs="Arial" w:eastAsia="Arial" w:hAnsi="Arial"/>
          <w:sz w:val="18"/>
          <w:szCs w:val="18"/>
          <w:color w:val="auto"/>
        </w:rPr>
        <w:t xml:space="preserve">”), a French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xml:space="preserve"> incorporated under the laws of France, having its registered office located at 2 rue de la Troisième Révolution Industrielle Pa Pierre Mauroy, 59223 Roncq, France, identified under number 423 444 033 R.C.S. Lille Metropole and controlled directly or indirectly by Brady Worlwide, Inc., a company having its registered office located at 6555 Good Hope Road, Milwaukee, Wisconsin 53223, United States of America, hereby confirm our irrevocable commitment under the terms and conditions set forth herein (the “</w:t>
      </w:r>
      <w:r>
        <w:rPr>
          <w:rFonts w:ascii="Arial" w:cs="Arial" w:eastAsia="Arial" w:hAnsi="Arial"/>
          <w:sz w:val="18"/>
          <w:szCs w:val="18"/>
          <w:b w:val="1"/>
          <w:bCs w:val="1"/>
          <w:color w:val="auto"/>
        </w:rPr>
        <w:t>Put Option</w:t>
      </w:r>
      <w:r>
        <w:rPr>
          <w:rFonts w:ascii="Arial" w:cs="Arial" w:eastAsia="Arial" w:hAnsi="Arial"/>
          <w:sz w:val="18"/>
          <w:szCs w:val="18"/>
          <w:color w:val="auto"/>
        </w:rPr>
        <w:t>”) to acquire directly or indirectly one hundred percent (100%) of the share capital and voting rights (on a fully diluted basis) of Gravotech Holding, a French société par actions simplifiée incorporated under the laws of France with a share capital of €17,924,888, having its registered office at 466, rue des Mercières, Zone Industrielle Perica, 69140 Rillieux-la-Pape, France (“</w:t>
      </w:r>
      <w:r>
        <w:rPr>
          <w:rFonts w:ascii="Arial" w:cs="Arial" w:eastAsia="Arial" w:hAnsi="Arial"/>
          <w:sz w:val="18"/>
          <w:szCs w:val="18"/>
          <w:b w:val="1"/>
          <w:bCs w:val="1"/>
          <w:color w:val="auto"/>
        </w:rPr>
        <w:t>Gravotech Holding</w:t>
      </w:r>
      <w:r>
        <w:rPr>
          <w:rFonts w:ascii="Arial" w:cs="Arial" w:eastAsia="Arial" w:hAnsi="Arial"/>
          <w:sz w:val="18"/>
          <w:szCs w:val="18"/>
          <w:color w:val="auto"/>
        </w:rPr>
        <w:t>”) through the acquisition of the securities (including the convertible bonds) issued by Gravotech Holding on the terms and conditions set forth in the agreed</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82" w:right="339" w:bottom="1440" w:gutter="0" w:footer="0" w:header="0"/>
          <w:type w:val="continuous"/>
        </w:sectPr>
      </w:pPr>
    </w:p>
    <w:bookmarkStart w:id="26" w:name="page27"/>
    <w:bookmarkEnd w:id="26"/>
    <w:p>
      <w:pPr>
        <w:ind w:left="660"/>
        <w:spacing w:after="0" w:line="296" w:lineRule="auto"/>
        <w:rPr>
          <w:sz w:val="20"/>
          <w:szCs w:val="20"/>
          <w:color w:val="auto"/>
        </w:rPr>
      </w:pPr>
      <w:r>
        <w:rPr>
          <w:rFonts w:ascii="Arial" w:cs="Arial" w:eastAsia="Arial" w:hAnsi="Arial"/>
          <w:sz w:val="18"/>
          <w:szCs w:val="18"/>
          <w:color w:val="auto"/>
        </w:rPr>
        <w:t xml:space="preserve">form Securities Sale and Purchase Agreement attached to this Put Option as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SPA</w:t>
      </w:r>
      <w:r>
        <w:rPr>
          <w:rFonts w:ascii="Arial" w:cs="Arial" w:eastAsia="Arial" w:hAnsi="Arial"/>
          <w:sz w:val="18"/>
          <w:szCs w:val="18"/>
          <w:color w:val="auto"/>
        </w:rPr>
        <w:t>”), such acquisition being defined hereinafter as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Capitalized terms and expressions not otherwise defined in this Put Option shall have the meaning given to them in the SPA.</w:t>
      </w:r>
    </w:p>
    <w:p>
      <w:pPr>
        <w:spacing w:after="0" w:line="185" w:lineRule="exact"/>
        <w:rPr>
          <w:sz w:val="20"/>
          <w:szCs w:val="20"/>
          <w:color w:val="auto"/>
        </w:rPr>
      </w:pPr>
    </w:p>
    <w:p>
      <w:pPr>
        <w:ind w:left="640" w:right="2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Following our discussions, we understand and hereby acknowledge that, before the Beneficiaries are in a position to take any decision to sell the Sold Securities:</w:t>
      </w:r>
    </w:p>
    <w:p>
      <w:pPr>
        <w:spacing w:after="0" w:line="112" w:lineRule="exact"/>
        <w:rPr>
          <w:sz w:val="20"/>
          <w:szCs w:val="20"/>
          <w:color w:val="auto"/>
        </w:rPr>
      </w:pPr>
    </w:p>
    <w:p>
      <w:pPr>
        <w:jc w:val="both"/>
        <w:ind w:left="1300" w:hanging="644"/>
        <w:spacing w:after="0" w:line="262"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employees of Gravotech Holding shall be informed of their right to make an offer to purchase the securities giving access to the majority of the share capital of Gravotech Holding (the “</w:t>
      </w:r>
      <w:r>
        <w:rPr>
          <w:rFonts w:ascii="Arial" w:cs="Arial" w:eastAsia="Arial" w:hAnsi="Arial"/>
          <w:sz w:val="18"/>
          <w:szCs w:val="18"/>
          <w:b w:val="1"/>
          <w:bCs w:val="1"/>
          <w:color w:val="auto"/>
        </w:rPr>
        <w:t>Hamon Law Process</w:t>
      </w:r>
      <w:r>
        <w:rPr>
          <w:rFonts w:ascii="Arial" w:cs="Arial" w:eastAsia="Arial" w:hAnsi="Arial"/>
          <w:sz w:val="18"/>
          <w:szCs w:val="18"/>
          <w:color w:val="auto"/>
        </w:rPr>
        <w:t>”) and the Hamon Law Process shall be completed in accordance with article L.23-10-1 and seq.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and clause 6 (</w:t>
      </w:r>
      <w:r>
        <w:rPr>
          <w:rFonts w:ascii="Arial" w:cs="Arial" w:eastAsia="Arial" w:hAnsi="Arial"/>
          <w:sz w:val="18"/>
          <w:szCs w:val="18"/>
          <w:i w:val="1"/>
          <w:iCs w:val="1"/>
          <w:color w:val="auto"/>
        </w:rPr>
        <w:t>Social and Economic Committee Consultation Process – Hamon Law Process</w:t>
      </w:r>
      <w:r>
        <w:rPr>
          <w:rFonts w:ascii="Arial" w:cs="Arial" w:eastAsia="Arial" w:hAnsi="Arial"/>
          <w:sz w:val="18"/>
          <w:szCs w:val="18"/>
          <w:color w:val="auto"/>
        </w:rPr>
        <w:t>) of this Put Option; and</w:t>
      </w:r>
    </w:p>
    <w:p>
      <w:pPr>
        <w:spacing w:after="0" w:line="149" w:lineRule="exact"/>
        <w:rPr>
          <w:rFonts w:ascii="Arial" w:cs="Arial" w:eastAsia="Arial" w:hAnsi="Arial"/>
          <w:sz w:val="18"/>
          <w:szCs w:val="18"/>
          <w:color w:val="auto"/>
        </w:rPr>
      </w:pPr>
    </w:p>
    <w:p>
      <w:pPr>
        <w:jc w:val="both"/>
        <w:ind w:left="1300" w:hanging="644"/>
        <w:spacing w:after="0" w:line="255"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Social and Economic Committee (</w:t>
      </w:r>
      <w:r>
        <w:rPr>
          <w:rFonts w:ascii="Arial" w:cs="Arial" w:eastAsia="Arial" w:hAnsi="Arial"/>
          <w:sz w:val="18"/>
          <w:szCs w:val="18"/>
          <w:i w:val="1"/>
          <w:iCs w:val="1"/>
          <w:color w:val="auto"/>
        </w:rPr>
        <w:t>Comité social et économique central</w:t>
      </w:r>
      <w:r>
        <w:rPr>
          <w:rFonts w:ascii="Arial" w:cs="Arial" w:eastAsia="Arial" w:hAnsi="Arial"/>
          <w:sz w:val="18"/>
          <w:szCs w:val="18"/>
          <w:color w:val="auto"/>
        </w:rPr>
        <w:t>) of Gravotech Marking and, as the case may arise depending on the direct impact of the Transaction on the sites of Gravotech Marking, the Social and Economic Committees of the sites of Gravotech Marking in Rillieux-la-Pape and La Chapelle-Saint Luc (</w:t>
      </w:r>
      <w:r>
        <w:rPr>
          <w:rFonts w:ascii="Arial" w:cs="Arial" w:eastAsia="Arial" w:hAnsi="Arial"/>
          <w:sz w:val="18"/>
          <w:szCs w:val="18"/>
          <w:i w:val="1"/>
          <w:iCs w:val="1"/>
          <w:color w:val="auto"/>
        </w:rPr>
        <w:t>Comités sociaux et</w:t>
      </w:r>
      <w:r>
        <w:rPr>
          <w:rFonts w:ascii="Arial" w:cs="Arial" w:eastAsia="Arial" w:hAnsi="Arial"/>
          <w:sz w:val="18"/>
          <w:szCs w:val="18"/>
          <w:color w:val="auto"/>
        </w:rPr>
        <w:t xml:space="preserve"> </w:t>
      </w:r>
      <w:r>
        <w:rPr>
          <w:rFonts w:ascii="Arial" w:cs="Arial" w:eastAsia="Arial" w:hAnsi="Arial"/>
          <w:sz w:val="18"/>
          <w:szCs w:val="18"/>
          <w:i w:val="1"/>
          <w:iCs w:val="1"/>
          <w:color w:val="auto"/>
        </w:rPr>
        <w:t>économiques d’établissements des sites de Rillieux-la-Pape et de La-Chapelle-Saint-Luc</w:t>
      </w:r>
      <w:r>
        <w:rPr>
          <w:rFonts w:ascii="Arial" w:cs="Arial" w:eastAsia="Arial" w:hAnsi="Arial"/>
          <w:sz w:val="18"/>
          <w:szCs w:val="18"/>
          <w:color w:val="auto"/>
        </w:rPr>
        <w:t>) (together the “</w:t>
      </w:r>
      <w:r>
        <w:rPr>
          <w:rFonts w:ascii="Arial" w:cs="Arial" w:eastAsia="Arial" w:hAnsi="Arial"/>
          <w:sz w:val="18"/>
          <w:szCs w:val="18"/>
          <w:b w:val="1"/>
          <w:bCs w:val="1"/>
          <w:color w:val="auto"/>
        </w:rPr>
        <w:t>SEC</w:t>
      </w:r>
      <w:r>
        <w:rPr>
          <w:rFonts w:ascii="Arial" w:cs="Arial" w:eastAsia="Arial" w:hAnsi="Arial"/>
          <w:sz w:val="18"/>
          <w:szCs w:val="18"/>
          <w:color w:val="auto"/>
        </w:rPr>
        <w: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informed and consulted in connection with the Transaction (the “</w:t>
      </w:r>
      <w:r>
        <w:rPr>
          <w:rFonts w:ascii="Arial" w:cs="Arial" w:eastAsia="Arial" w:hAnsi="Arial"/>
          <w:sz w:val="18"/>
          <w:szCs w:val="18"/>
          <w:b w:val="1"/>
          <w:bCs w:val="1"/>
          <w:color w:val="auto"/>
        </w:rPr>
        <w:t>SEC Process</w:t>
      </w:r>
      <w:r>
        <w:rPr>
          <w:rFonts w:ascii="Arial" w:cs="Arial" w:eastAsia="Arial" w:hAnsi="Arial"/>
          <w:sz w:val="18"/>
          <w:szCs w:val="18"/>
          <w:color w:val="auto"/>
        </w:rPr>
        <w:t>”) (the SEC Process together with the Hamon Law Process being hereinafter defined as the "</w:t>
      </w:r>
      <w:r>
        <w:rPr>
          <w:rFonts w:ascii="Arial" w:cs="Arial" w:eastAsia="Arial" w:hAnsi="Arial"/>
          <w:sz w:val="18"/>
          <w:szCs w:val="18"/>
          <w:b w:val="1"/>
          <w:bCs w:val="1"/>
          <w:color w:val="auto"/>
        </w:rPr>
        <w:t>Information and Consultation Processes</w:t>
      </w:r>
      <w:r>
        <w:rPr>
          <w:rFonts w:ascii="Arial" w:cs="Arial" w:eastAsia="Arial" w:hAnsi="Arial"/>
          <w:sz w:val="18"/>
          <w:szCs w:val="18"/>
          <w:color w:val="auto"/>
        </w:rPr>
        <w:t>”) in accordance with article L. 2312-8 of the French Labor Code (</w:t>
      </w:r>
      <w:r>
        <w:rPr>
          <w:rFonts w:ascii="Arial" w:cs="Arial" w:eastAsia="Arial" w:hAnsi="Arial"/>
          <w:sz w:val="18"/>
          <w:szCs w:val="18"/>
          <w:i w:val="1"/>
          <w:iCs w:val="1"/>
          <w:color w:val="auto"/>
        </w:rPr>
        <w:t>Code du travail</w:t>
      </w:r>
      <w:r>
        <w:rPr>
          <w:rFonts w:ascii="Arial" w:cs="Arial" w:eastAsia="Arial" w:hAnsi="Arial"/>
          <w:sz w:val="18"/>
          <w:szCs w:val="18"/>
          <w:color w:val="auto"/>
        </w:rPr>
        <w:t>) and clause 6 (</w:t>
      </w:r>
      <w:r>
        <w:rPr>
          <w:rFonts w:ascii="Arial" w:cs="Arial" w:eastAsia="Arial" w:hAnsi="Arial"/>
          <w:sz w:val="18"/>
          <w:szCs w:val="18"/>
          <w:i w:val="1"/>
          <w:iCs w:val="1"/>
          <w:color w:val="auto"/>
        </w:rPr>
        <w:t>Social and Economic Committee Consultation Process –</w:t>
      </w:r>
      <w:r>
        <w:rPr>
          <w:rFonts w:ascii="Arial" w:cs="Arial" w:eastAsia="Arial" w:hAnsi="Arial"/>
          <w:sz w:val="18"/>
          <w:szCs w:val="18"/>
          <w:color w:val="auto"/>
        </w:rPr>
        <w:t xml:space="preserve"> </w:t>
      </w:r>
      <w:r>
        <w:rPr>
          <w:rFonts w:ascii="Arial" w:cs="Arial" w:eastAsia="Arial" w:hAnsi="Arial"/>
          <w:sz w:val="18"/>
          <w:szCs w:val="18"/>
          <w:i w:val="1"/>
          <w:iCs w:val="1"/>
          <w:color w:val="auto"/>
        </w:rPr>
        <w:t>Hamon Law Process</w:t>
      </w:r>
      <w:r>
        <w:rPr>
          <w:rFonts w:ascii="Arial" w:cs="Arial" w:eastAsia="Arial" w:hAnsi="Arial"/>
          <w:sz w:val="18"/>
          <w:szCs w:val="18"/>
          <w:color w:val="auto"/>
        </w:rPr>
        <w:t>) of this Put Option.</w:t>
      </w:r>
    </w:p>
    <w:p>
      <w:pPr>
        <w:spacing w:after="0" w:line="14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This Put Option is granted for the benefit of the Beneficiaries and shall benefit them as soon as this Put Option will be exercised under the conditions provided for herein. By countersigning this Put Option, the Beneficiaries accept the benefit of the Put Option as an option solely, without undertaking to exercise such option.</w:t>
      </w:r>
    </w:p>
    <w:p>
      <w:pPr>
        <w:spacing w:after="0" w:line="13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Validity and Exercise of this Put Option</w:t>
      </w:r>
    </w:p>
    <w:p>
      <w:pPr>
        <w:spacing w:after="0" w:line="196" w:lineRule="exact"/>
        <w:rPr>
          <w:sz w:val="20"/>
          <w:szCs w:val="20"/>
          <w:color w:val="auto"/>
        </w:rPr>
      </w:pPr>
    </w:p>
    <w:p>
      <w:pPr>
        <w:jc w:val="both"/>
        <w:ind w:left="640" w:right="20" w:hanging="647"/>
        <w:spacing w:after="0" w:line="236" w:lineRule="auto"/>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This Put Option is valid as from the date hereof and can be exercised until the earlier of (i) the tenth (10</w:t>
      </w:r>
      <w:r>
        <w:rPr>
          <w:rFonts w:ascii="Arial" w:cs="Arial" w:eastAsia="Arial" w:hAnsi="Arial"/>
          <w:sz w:val="23"/>
          <w:szCs w:val="23"/>
          <w:color w:val="auto"/>
          <w:vertAlign w:val="superscript"/>
        </w:rPr>
        <w:t>th</w:t>
      </w:r>
      <w:r>
        <w:rPr>
          <w:rFonts w:ascii="Arial" w:cs="Arial" w:eastAsia="Arial" w:hAnsi="Arial"/>
          <w:sz w:val="18"/>
          <w:szCs w:val="18"/>
          <w:color w:val="auto"/>
        </w:rPr>
        <w:t>) calendar day following the completion of the Information and Consultation Processes and (ii) four (4) months after the date hereof (the “</w:t>
      </w:r>
      <w:r>
        <w:rPr>
          <w:rFonts w:ascii="Arial" w:cs="Arial" w:eastAsia="Arial" w:hAnsi="Arial"/>
          <w:sz w:val="18"/>
          <w:szCs w:val="18"/>
          <w:b w:val="1"/>
          <w:bCs w:val="1"/>
          <w:color w:val="auto"/>
        </w:rPr>
        <w:t>Expiry Date</w:t>
      </w:r>
      <w:r>
        <w:rPr>
          <w:rFonts w:ascii="Arial" w:cs="Arial" w:eastAsia="Arial" w:hAnsi="Arial"/>
          <w:sz w:val="18"/>
          <w:szCs w:val="18"/>
          <w:color w:val="auto"/>
        </w:rPr>
        <w:t>”).</w:t>
      </w:r>
    </w:p>
    <w:p>
      <w:pPr>
        <w:spacing w:after="0" w:line="146"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The exercise of this Put Option shall be made by means of a registered letter with acknowledgement of receipt, or by any other means evidencing the delivery and receipt of a written notification, sent to the Purchaser by the Sellers’ Agents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The Exercise Notice shall confirm to the Purchaser completion of both the SEC Process and the Hamon Law Process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written evidence of such completion satisfactory to the Purchaser) and shall include, in order to be valid, an original copy of the SPA duly signed by all Sellers (it being specified that MML Capital Europe VI Equity II SA and MML Capital Europe VI SA undertake, in the case where one of the Sellers would have decided not to sign the SPA, to implement the drag along provisions provided for in the shareholders agreement entered into between the current shareholders of Gravotech Holding).</w:t>
      </w:r>
    </w:p>
    <w:p>
      <w:pPr>
        <w:spacing w:after="0" w:line="142"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This Put Option may not be revoked, withdrawn or varied upon in any matter until the Expiry Date without the written consent of the Sellers’ Agents and the Purchaser.</w:t>
      </w:r>
    </w:p>
    <w:p>
      <w:pPr>
        <w:spacing w:after="0" w:line="126"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Absent the sending of the Exercise Notice before the Expiry Date in accordance with the abovementioned provisions, our and your undertakings under this Put Option shall lapse as of the Expiry Date without any liability on any party hereto (other than as a result of a breach by such party of its obligations hereunder) but without prejudice to the provisions set forth in clauses 4 (</w:t>
      </w:r>
      <w:r>
        <w:rPr>
          <w:rFonts w:ascii="Arial" w:cs="Arial" w:eastAsia="Arial" w:hAnsi="Arial"/>
          <w:sz w:val="18"/>
          <w:szCs w:val="18"/>
          <w:i w:val="1"/>
          <w:iCs w:val="1"/>
          <w:color w:val="auto"/>
        </w:rPr>
        <w:t>Exclusivity</w:t>
      </w:r>
      <w:r>
        <w:rPr>
          <w:rFonts w:ascii="Arial" w:cs="Arial" w:eastAsia="Arial" w:hAnsi="Arial"/>
          <w:sz w:val="18"/>
          <w:szCs w:val="18"/>
          <w:color w:val="auto"/>
        </w:rPr>
        <w:t>), 9 (</w:t>
      </w:r>
      <w:r>
        <w:rPr>
          <w:rFonts w:ascii="Arial" w:cs="Arial" w:eastAsia="Arial" w:hAnsi="Arial"/>
          <w:sz w:val="18"/>
          <w:szCs w:val="18"/>
          <w:i w:val="1"/>
          <w:iCs w:val="1"/>
          <w:color w:val="auto"/>
        </w:rPr>
        <w:t>Confidentiality</w:t>
      </w:r>
      <w:r>
        <w:rPr>
          <w:rFonts w:ascii="Arial" w:cs="Arial" w:eastAsia="Arial" w:hAnsi="Arial"/>
          <w:sz w:val="18"/>
          <w:szCs w:val="18"/>
          <w:color w:val="auto"/>
        </w:rPr>
        <w:t>), 10 (</w:t>
      </w:r>
      <w:r>
        <w:rPr>
          <w:rFonts w:ascii="Arial" w:cs="Arial" w:eastAsia="Arial" w:hAnsi="Arial"/>
          <w:sz w:val="18"/>
          <w:szCs w:val="18"/>
          <w:i w:val="1"/>
          <w:iCs w:val="1"/>
          <w:color w:val="auto"/>
        </w:rPr>
        <w:t>Miscellaneous</w:t>
      </w:r>
      <w:r>
        <w:rPr>
          <w:rFonts w:ascii="Arial" w:cs="Arial" w:eastAsia="Arial" w:hAnsi="Arial"/>
          <w:sz w:val="18"/>
          <w:szCs w:val="18"/>
          <w:color w:val="auto"/>
        </w:rPr>
        <w:t>) and 11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of this Put Option which shall remain in full force and effect.</w:t>
      </w:r>
    </w:p>
    <w:p>
      <w:pPr>
        <w:spacing w:after="0" w:line="13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Agreement</w:t>
      </w:r>
    </w:p>
    <w:p>
      <w:pPr>
        <w:spacing w:after="0" w:line="185" w:lineRule="exact"/>
        <w:rPr>
          <w:sz w:val="20"/>
          <w:szCs w:val="20"/>
          <w:color w:val="auto"/>
        </w:rPr>
      </w:pPr>
    </w:p>
    <w:p>
      <w:pPr>
        <w:ind w:left="640" w:hanging="647"/>
        <w:spacing w:after="0" w:line="235" w:lineRule="auto"/>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We hereby unconditionally and irrevocably undertake to execute the SPA at the latest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Business Day following the receipt of the Exercise Notice (the “</w:t>
      </w:r>
      <w:r>
        <w:rPr>
          <w:rFonts w:ascii="Arial" w:cs="Arial" w:eastAsia="Arial" w:hAnsi="Arial"/>
          <w:sz w:val="18"/>
          <w:szCs w:val="18"/>
          <w:b w:val="1"/>
          <w:bCs w:val="1"/>
          <w:color w:val="auto"/>
        </w:rPr>
        <w:t>Execution Date</w:t>
      </w:r>
      <w:r>
        <w:rPr>
          <w:rFonts w:ascii="Arial" w:cs="Arial" w:eastAsia="Arial" w:hAnsi="Arial"/>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6" w:right="339" w:bottom="1440" w:gutter="0" w:footer="0" w:header="0"/>
        </w:sectPr>
      </w:pPr>
    </w:p>
    <w:bookmarkStart w:id="27" w:name="page28"/>
    <w:bookmarkEnd w:id="27"/>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Prior to the Execution Date, each party hereto undertakes:</w:t>
      </w:r>
    </w:p>
    <w:p>
      <w:pPr>
        <w:spacing w:after="0" w:line="198" w:lineRule="exact"/>
        <w:rPr>
          <w:sz w:val="20"/>
          <w:szCs w:val="20"/>
          <w:color w:val="auto"/>
        </w:rPr>
      </w:pPr>
    </w:p>
    <w:p>
      <w:pPr>
        <w:jc w:val="both"/>
        <w:ind w:left="1300" w:hanging="644"/>
        <w:spacing w:after="0" w:line="268" w:lineRule="auto"/>
        <w:tabs>
          <w:tab w:leader="none" w:pos="1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complete and agree upon, in good faith and to the extent necessary, the texts in brackets and the missing schedules of the SPA and, if necessary, to agree upon minor changes in the SPA, but only to the extent such changes, additions or amendments could not reasonably be expected to have any adverse effect on the Purchaser; and</w:t>
      </w:r>
    </w:p>
    <w:p>
      <w:pPr>
        <w:spacing w:after="0" w:line="130"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to the other party hereto with all the relevant documentation and other evidence, as being necessary to complete their “know your customer”/anti money laundering checks in respect of (i) the Purchaser and (ii) the Sellers.</w:t>
      </w:r>
    </w:p>
    <w:p>
      <w:pPr>
        <w:spacing w:after="0" w:line="112"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The Put Option constitutes a “</w:t>
      </w:r>
      <w:r>
        <w:rPr>
          <w:rFonts w:ascii="Arial" w:cs="Arial" w:eastAsia="Arial" w:hAnsi="Arial"/>
          <w:sz w:val="18"/>
          <w:szCs w:val="18"/>
          <w:i w:val="1"/>
          <w:iCs w:val="1"/>
          <w:color w:val="auto"/>
        </w:rPr>
        <w:t>promesse unilatérale</w:t>
      </w:r>
      <w:r>
        <w:rPr>
          <w:rFonts w:ascii="Arial" w:cs="Arial" w:eastAsia="Arial" w:hAnsi="Arial"/>
          <w:sz w:val="18"/>
          <w:szCs w:val="18"/>
          <w:color w:val="auto"/>
        </w:rPr>
        <w:t>” governed by article 1124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(and does not constitute an offer (“</w:t>
      </w:r>
      <w:r>
        <w:rPr>
          <w:rFonts w:ascii="Arial" w:cs="Arial" w:eastAsia="Arial" w:hAnsi="Arial"/>
          <w:sz w:val="18"/>
          <w:szCs w:val="18"/>
          <w:i w:val="1"/>
          <w:iCs w:val="1"/>
          <w:color w:val="auto"/>
        </w:rPr>
        <w:t>offre</w:t>
      </w:r>
      <w:r>
        <w:rPr>
          <w:rFonts w:ascii="Arial" w:cs="Arial" w:eastAsia="Arial" w:hAnsi="Arial"/>
          <w:sz w:val="18"/>
          <w:szCs w:val="18"/>
          <w:color w:val="auto"/>
        </w:rPr>
        <w:t xml:space="preserve">”) governed by article 1114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and is irrevocable (either prior or after the exercise of the Put Option) until the Expiry Date.</w:t>
      </w:r>
    </w:p>
    <w:p>
      <w:pPr>
        <w:spacing w:after="0" w:line="144"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color w:val="auto"/>
        </w:rPr>
        <w:t>Should we fail to execute the SPA on the Execution Date, we agree that the Beneficiaries may in their absolute discretion seek to force us to comply with our obligations under this Put Option and in respect of the Transaction as provided under the SPA. In this respect, we hereby agree and acknowledge that this Put Option is subject, following the sending of a prior notice (</w:t>
      </w:r>
      <w:r>
        <w:rPr>
          <w:rFonts w:ascii="Arial" w:cs="Arial" w:eastAsia="Arial" w:hAnsi="Arial"/>
          <w:sz w:val="18"/>
          <w:szCs w:val="18"/>
          <w:i w:val="1"/>
          <w:iCs w:val="1"/>
          <w:color w:val="auto"/>
        </w:rPr>
        <w:t>mise en demeure</w:t>
      </w:r>
      <w:r>
        <w:rPr>
          <w:rFonts w:ascii="Arial" w:cs="Arial" w:eastAsia="Arial" w:hAnsi="Arial"/>
          <w:sz w:val="18"/>
          <w:szCs w:val="18"/>
          <w:color w:val="auto"/>
        </w:rPr>
        <w:t>), to specific performance (</w:t>
      </w:r>
      <w:r>
        <w:rPr>
          <w:rFonts w:ascii="Arial" w:cs="Arial" w:eastAsia="Arial" w:hAnsi="Arial"/>
          <w:sz w:val="18"/>
          <w:szCs w:val="18"/>
          <w:i w:val="1"/>
          <w:iCs w:val="1"/>
          <w:color w:val="auto"/>
        </w:rPr>
        <w:t>exécution en nature</w:t>
      </w:r>
      <w:r>
        <w:rPr>
          <w:rFonts w:ascii="Arial" w:cs="Arial" w:eastAsia="Arial" w:hAnsi="Arial"/>
          <w:sz w:val="18"/>
          <w:szCs w:val="18"/>
          <w:color w:val="auto"/>
        </w:rPr>
        <w:t>) by you in accordance with the provisions of article 1221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and we acknowledge that such specific performance is not impossible and will not create any manifest disproportion between its cost for us and its interest for you.</w:t>
      </w:r>
    </w:p>
    <w:p>
      <w:pPr>
        <w:spacing w:after="0" w:line="142"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color w:val="auto"/>
        </w:rPr>
        <w:t>It is hereby expressly specified that the validity and enforceability of the Put Option is not subject to the execution of the SPA and, accordingly, upon exercise of the Put Option, the sale of the Sold Securities at the price and under the other terms and conditions set forth in the SPA shall be definitive (subject to the Condition Precedent and the Additional Conditions Precedent), whether or not the SPA is executed by the Purchaser (on the Execution Date or at any other date).</w:t>
      </w:r>
    </w:p>
    <w:p>
      <w:pPr>
        <w:spacing w:after="0" w:line="136"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98"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As from the countersigning of the Put Option by the Beneficiaries and until the date that is the earlier of (i) the Execution Date and (ii) eight (8) months as from the date hereof, the Beneficiaries shall not, directly or indirectly (including through their advisors), and shall procure that none of their Related Parties and none of the Group Companies shall, directly or indirectly (including through their respective directors, officers, employees and advisors):</w:t>
      </w:r>
    </w:p>
    <w:p>
      <w:pPr>
        <w:spacing w:after="0" w:line="136" w:lineRule="exact"/>
        <w:rPr>
          <w:sz w:val="20"/>
          <w:szCs w:val="20"/>
          <w:color w:val="auto"/>
        </w:rPr>
      </w:pPr>
    </w:p>
    <w:p>
      <w:pPr>
        <w:jc w:val="both"/>
        <w:ind w:left="1300" w:hanging="644"/>
        <w:spacing w:after="0" w:line="259"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pursue, initiate or follow up any discussions or negotiations, or enter into any contract, agreement or understanding, with any person (other than the Purchaser and/or its Affiliates), or solicit or encourage any person (other than the Purchaser and/or its Affiliates), with a view to sell or transfer all or part of the share capital, voting rights or securities of any of the Group Companies and/or all or part of their assets to any person (other than the Purchaser and/or its Affiliates), or to proceed with the merger, spin-off, contribution, business combination, recapitalization, or any similar transaction involving any Group Company with any person (other than the Purchaser and/or its Affiliates) (an “</w:t>
      </w:r>
      <w:r>
        <w:rPr>
          <w:rFonts w:ascii="Arial" w:cs="Arial" w:eastAsia="Arial" w:hAnsi="Arial"/>
          <w:sz w:val="18"/>
          <w:szCs w:val="18"/>
          <w:b w:val="1"/>
          <w:bCs w:val="1"/>
          <w:color w:val="auto"/>
        </w:rPr>
        <w:t>Alternative Transaction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300" w:right="20" w:hanging="644"/>
        <w:spacing w:after="0" w:line="287"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provide or consent to provide any information with respect to the Group Companies to any person (other than the Purchaser and/or its Affiliates) with a view to solicit, initiate, pursue, or undertake any Alternative Transaction;</w:t>
      </w:r>
    </w:p>
    <w:p>
      <w:pPr>
        <w:spacing w:after="0" w:line="125" w:lineRule="exact"/>
        <w:rPr>
          <w:rFonts w:ascii="Arial" w:cs="Arial" w:eastAsia="Arial" w:hAnsi="Arial"/>
          <w:sz w:val="18"/>
          <w:szCs w:val="18"/>
          <w:color w:val="auto"/>
        </w:rPr>
      </w:pPr>
    </w:p>
    <w:p>
      <w:pPr>
        <w:ind w:left="1300" w:hanging="644"/>
        <w:spacing w:after="0" w:line="287" w:lineRule="auto"/>
        <w:tabs>
          <w:tab w:leader="none" w:pos="12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solicit or encourage offers or expressions of interest or otherwise cooperate with a view to solicit, initiate, pursue, or undertake any Alternative Transaction; or</w:t>
      </w:r>
    </w:p>
    <w:p>
      <w:pPr>
        <w:spacing w:after="0" w:line="112"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generally, undertake any action which may jeopardize the completion of the Transaction.</w:t>
      </w:r>
    </w:p>
    <w:p>
      <w:pPr>
        <w:spacing w:after="0" w:line="184" w:lineRule="exact"/>
        <w:rPr>
          <w:rFonts w:ascii="Arial" w:cs="Arial" w:eastAsia="Arial" w:hAnsi="Arial"/>
          <w:sz w:val="18"/>
          <w:szCs w:val="18"/>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Purchaser’s Financing</w:t>
      </w:r>
    </w:p>
    <w:p>
      <w:pPr>
        <w:spacing w:after="0" w:line="198" w:lineRule="exact"/>
        <w:rPr>
          <w:rFonts w:ascii="Arial" w:cs="Arial" w:eastAsia="Arial" w:hAnsi="Arial"/>
          <w:sz w:val="18"/>
          <w:szCs w:val="18"/>
          <w:b w:val="1"/>
          <w:bCs w:val="1"/>
          <w:color w:val="auto"/>
        </w:rPr>
      </w:pPr>
    </w:p>
    <w:p>
      <w:pPr>
        <w:jc w:val="both"/>
        <w:ind w:lef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hereby represent that we have or have access to all funds necessary as of the date hereof and shall unconditionally have or have access to all funds necessary and immediately available on the Completion Date (i) to pay the Purchase Price, (ii) to repay the Existing Financial Debt as of the Completion Date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66" w:right="339" w:bottom="1440" w:gutter="0" w:footer="0" w:header="0"/>
        </w:sectPr>
      </w:pPr>
    </w:p>
    <w:bookmarkStart w:id="28" w:name="page29"/>
    <w:bookmarkEnd w:id="28"/>
    <w:p>
      <w:pPr>
        <w:ind w:left="660"/>
        <w:spacing w:after="0" w:line="287" w:lineRule="auto"/>
        <w:rPr>
          <w:sz w:val="20"/>
          <w:szCs w:val="20"/>
          <w:color w:val="auto"/>
        </w:rPr>
      </w:pPr>
      <w:r>
        <w:rPr>
          <w:rFonts w:ascii="Arial" w:cs="Arial" w:eastAsia="Arial" w:hAnsi="Arial"/>
          <w:sz w:val="18"/>
          <w:szCs w:val="18"/>
          <w:color w:val="auto"/>
        </w:rPr>
        <w:t>(including all interests, fees, related hedge, swap, or any other derivative agreement commitments, commissions and penalties relating thereto) in accordance with the provisions of Clause 3.4 of the SPA.</w:t>
      </w:r>
    </w:p>
    <w:p>
      <w:pPr>
        <w:spacing w:after="0" w:line="126"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Social and Economic Committee Consultation Process – Hamon Law Process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Beneficiaries shall, and shall procure that the management of the relevant Group Companies shall:</w:t>
      </w:r>
    </w:p>
    <w:p>
      <w:pPr>
        <w:spacing w:after="0" w:line="18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the SEC Process within ten (10) Business Days from the date hereof;</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the Hamon Law Process within ten (10) Business Days from the date hereof;</w:t>
      </w:r>
    </w:p>
    <w:p>
      <w:pPr>
        <w:spacing w:after="0" w:line="184" w:lineRule="exact"/>
        <w:rPr>
          <w:rFonts w:ascii="Arial" w:cs="Arial" w:eastAsia="Arial" w:hAnsi="Arial"/>
          <w:sz w:val="18"/>
          <w:szCs w:val="18"/>
          <w:color w:val="auto"/>
        </w:rPr>
      </w:pPr>
    </w:p>
    <w:p>
      <w:pPr>
        <w:ind w:left="1300" w:right="20" w:hanging="644"/>
        <w:spacing w:after="0" w:line="287"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diligently the Information and Consultation Processes with a view to completing the Information and Consultation Processes as soon as practicable and, in any event, in accordance with applicable Law;</w:t>
      </w:r>
    </w:p>
    <w:p>
      <w:pPr>
        <w:spacing w:after="0" w:line="112"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promptly, and in any event no later than three (3) Business Days following receipt of such communication, provide the Purchaser with any written substantive communication from the SEC or any expert that may be appointed by the SEC and keep the Purchaser reasonably informed of the progress of the Information and Consultation Processes and of any material issues arising therefrom;</w:t>
      </w:r>
    </w:p>
    <w:p>
      <w:pPr>
        <w:spacing w:after="0" w:line="149"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 the Purchaser of completion of the Information and Consultation Processes within five (5) calendar days as from such completion;</w:t>
      </w:r>
    </w:p>
    <w:p>
      <w:pPr>
        <w:spacing w:after="0" w:line="112"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the Purchaser the opportunity to review and comment the information notice that will be provided during the first meeting with the SEC prior to such document/communication being submitted and to take into account any reasonable comment from the Purchaser;</w:t>
      </w:r>
    </w:p>
    <w:p>
      <w:pPr>
        <w:spacing w:after="0" w:line="130"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directly or indirectly, enter into any binding agreements, collective bargaining agreements or, more generally, take any commitment with regards to the SEC, the employees and the unions of the Group without the prior written consent of the Purchaser;</w:t>
      </w:r>
    </w:p>
    <w:p>
      <w:pPr>
        <w:spacing w:after="0" w:line="143"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generally, act and provide all reasonable assistance and cooperation, in accordance with legal requirements and standard practice in similar transactions, with a view to completing the Information and Consultation Processes as soon as reasonably practicable and, in any event, prior to the Expiry Date.</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The Purchaser agrees that it shall, and shall cause its Affiliates to:</w:t>
      </w:r>
    </w:p>
    <w:p>
      <w:pPr>
        <w:spacing w:after="0" w:line="185" w:lineRule="exact"/>
        <w:rPr>
          <w:sz w:val="20"/>
          <w:szCs w:val="20"/>
          <w:color w:val="auto"/>
        </w:rPr>
      </w:pPr>
    </w:p>
    <w:p>
      <w:pPr>
        <w:jc w:val="both"/>
        <w:ind w:left="1300" w:hanging="644"/>
        <w:spacing w:after="0" w:line="265"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all usual presentations and other information relating to them as reasonably required, with prior notice, by the Sellers’ Agents in connection with the SEC Process and following a corresponding request by the SEC or the expert appointed by it, including as the case may be, a document setting forth their background and history, including their plans for the Group;</w:t>
      </w:r>
    </w:p>
    <w:p>
      <w:pPr>
        <w:spacing w:after="0" w:line="367"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procure that senior representatives of the Purchaser and its Affiliates (as chosen by the Purchaser) attend at least one meeting of the SEC and meet with the relevant employees and employee representatives where and when reasonably requested;</w:t>
      </w:r>
    </w:p>
    <w:p>
      <w:pPr>
        <w:spacing w:after="0" w:line="130" w:lineRule="exact"/>
        <w:rPr>
          <w:rFonts w:ascii="Arial" w:cs="Arial" w:eastAsia="Arial" w:hAnsi="Arial"/>
          <w:sz w:val="18"/>
          <w:szCs w:val="18"/>
          <w:color w:val="auto"/>
        </w:rPr>
      </w:pPr>
    </w:p>
    <w:p>
      <w:pPr>
        <w:ind w:left="1300" w:hanging="644"/>
        <w:spacing w:after="0" w:line="287"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all reasonable endeavors to avoid any act reasonably likely to prejudice an expeditious outcome of the SEC Process; and</w:t>
      </w:r>
    </w:p>
    <w:p>
      <w:pPr>
        <w:spacing w:after="0" w:line="112"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generally, provide all reasonable assistance and cooperation with a view to completing the SEC Process in a timely manner and, in any event, before the Expiry Date.</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The SEC Process shall be deemed completed:</w:t>
      </w:r>
    </w:p>
    <w:p>
      <w:pPr>
        <w:spacing w:after="0" w:line="185" w:lineRule="exact"/>
        <w:rPr>
          <w:sz w:val="20"/>
          <w:szCs w:val="20"/>
          <w:color w:val="auto"/>
        </w:rPr>
      </w:pPr>
    </w:p>
    <w:p>
      <w:pPr>
        <w:jc w:val="both"/>
        <w:ind w:left="1300" w:hanging="644"/>
        <w:spacing w:after="0" w:line="265"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the date on which the SEC delivered its opinion (whether positive or negative) in relation to the Transaction before the expiration of the consultation period provided under article R. 2312-6 of the French Labor Code (</w:t>
      </w:r>
      <w:r>
        <w:rPr>
          <w:rFonts w:ascii="Arial" w:cs="Arial" w:eastAsia="Arial" w:hAnsi="Arial"/>
          <w:sz w:val="18"/>
          <w:szCs w:val="18"/>
          <w:i w:val="1"/>
          <w:iCs w:val="1"/>
          <w:color w:val="auto"/>
        </w:rPr>
        <w:t>Code du travail</w:t>
      </w:r>
      <w:r>
        <w:rPr>
          <w:rFonts w:ascii="Arial" w:cs="Arial" w:eastAsia="Arial" w:hAnsi="Arial"/>
          <w:sz w:val="18"/>
          <w:szCs w:val="18"/>
          <w:color w:val="auto"/>
        </w:rPr>
        <w:t>) (or before the expiration of such longer time period as may be ordered by the competent court, in accordance with article L. 2312-15 of the French Labor Code (</w:t>
      </w:r>
      <w:r>
        <w:rPr>
          <w:rFonts w:ascii="Arial" w:cs="Arial" w:eastAsia="Arial" w:hAnsi="Arial"/>
          <w:sz w:val="18"/>
          <w:szCs w:val="18"/>
          <w:i w:val="1"/>
          <w:iCs w:val="1"/>
          <w:color w:val="auto"/>
        </w:rPr>
        <w:t>Code du travail</w:t>
      </w:r>
      <w:r>
        <w:rPr>
          <w:rFonts w:ascii="Arial" w:cs="Arial" w:eastAsia="Arial" w:hAnsi="Arial"/>
          <w:sz w:val="18"/>
          <w:szCs w:val="18"/>
          <w:color w:val="auto"/>
        </w:rPr>
        <w:t>)) (the “</w:t>
      </w:r>
      <w:r>
        <w:rPr>
          <w:rFonts w:ascii="Arial" w:cs="Arial" w:eastAsia="Arial" w:hAnsi="Arial"/>
          <w:sz w:val="18"/>
          <w:szCs w:val="18"/>
          <w:b w:val="1"/>
          <w:bCs w:val="1"/>
          <w:color w:val="auto"/>
        </w:rPr>
        <w:t>SEC Consultation Period</w:t>
      </w:r>
      <w:r>
        <w:rPr>
          <w:rFonts w:ascii="Arial" w:cs="Arial" w:eastAsia="Arial" w:hAnsi="Arial"/>
          <w:sz w:val="18"/>
          <w:szCs w:val="18"/>
          <w:color w:val="auto"/>
        </w:rPr>
        <w:t>”); or</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066" w:right="339" w:bottom="1440" w:gutter="0" w:footer="0" w:header="0"/>
          <w:type w:val="continuous"/>
        </w:sectPr>
      </w:pPr>
    </w:p>
    <w:bookmarkStart w:id="29" w:name="page30"/>
    <w:bookmarkEnd w:id="29"/>
    <w:p>
      <w:pPr>
        <w:jc w:val="both"/>
        <w:ind w:left="1300" w:hanging="644"/>
        <w:spacing w:after="0" w:line="262"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absence of such express opinion (i) upon the expiry of the SEC Consultation Period as determined by applicable laws (in the absence of judicial proceedings initiated by the SEC during the SEC Consultation Period requesting an extension of the Consultation Period), or (ii) upon the expiry of the extended SEC Consultation Period in case of judicial proceedings initiated by the SEC and granting such extension.</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The Hamon Law Process shall be deemed to have been completed in relation to the Transaction when:</w:t>
      </w:r>
    </w:p>
    <w:p>
      <w:pPr>
        <w:spacing w:after="0" w:line="185" w:lineRule="exact"/>
        <w:rPr>
          <w:sz w:val="20"/>
          <w:szCs w:val="20"/>
          <w:color w:val="auto"/>
        </w:rPr>
      </w:pPr>
    </w:p>
    <w:p>
      <w:pPr>
        <w:jc w:val="both"/>
        <w:ind w:left="1300" w:hanging="644"/>
        <w:spacing w:after="0" w:line="268" w:lineRule="auto"/>
        <w:tabs>
          <w:tab w:leader="none" w:pos="1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employees of Gravotech Holding has either submitted an acquisition offer concerning Gravotech Holding in accordance with article L. 23-10-1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or signed a nominative waiver in writing with respect to his right to submit such an offer; or</w:t>
      </w:r>
    </w:p>
    <w:p>
      <w:pPr>
        <w:spacing w:after="0" w:line="130"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two-month period has lapsed from the date on which the employees of Gravotech Holding were informed of the Transaction and on which they were entitled to submit an acquisition offer in this respect.</w:t>
      </w:r>
    </w:p>
    <w:p>
      <w:pPr>
        <w:spacing w:after="0" w:line="12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color w:val="auto"/>
        </w:rPr>
        <w:t>The Information and Consultation Processes shall be deemed completed in relation to the Transaction upon the date on which both the SEC Process and the Hamon Law Process shall be deemed to have been completed.</w:t>
      </w:r>
    </w:p>
    <w:p>
      <w:pPr>
        <w:spacing w:after="0" w:line="112"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The Sellers’ Agents shall notify us the Exercise Notice which will confirm the completion of the Information and Consultation Processes within five (5) calendar days as from such completion, along with the relevant documentation or information evidencing such completion.</w:t>
      </w:r>
    </w:p>
    <w:p>
      <w:pPr>
        <w:spacing w:after="0" w:line="13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Covenants</w:t>
      </w:r>
    </w:p>
    <w:p>
      <w:pPr>
        <w:spacing w:after="0" w:line="198"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The Purchaser warrants to the Beneficiaries that: (i) it has the power and authority required and have obtained or satisfied all corporate or regulatory approvals or other conditions necessary to enter into this Put Option and to perform the obligations to which it is bound hereunder (for such obligations which exist prior to the exercise of the Put Option), (ii) it is not a Sanctioned Person and complies with the Fight Against Money Laundering regulations, the Financing of Terrorism regulations and any Sanctions regulations,</w:t>
      </w:r>
    </w:p>
    <w:p>
      <w:pPr>
        <w:spacing w:after="0" w:line="2" w:lineRule="exact"/>
        <w:rPr>
          <w:sz w:val="20"/>
          <w:szCs w:val="20"/>
          <w:color w:val="auto"/>
        </w:rPr>
      </w:pPr>
    </w:p>
    <w:p>
      <w:pPr>
        <w:jc w:val="both"/>
        <w:ind w:left="660" w:hanging="4"/>
        <w:spacing w:after="0" w:line="258" w:lineRule="auto"/>
        <w:tabs>
          <w:tab w:leader="none" w:pos="9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entry into this Put Option will not result in a breach of, or give rise to a default under, any contract or other instrument to which it is a party or by which it is bound and (iv) this Put Option constitutes valid and legally binding obligations for the Purchaser enforceable in accordance with the terms hereof.</w:t>
      </w:r>
    </w:p>
    <w:p>
      <w:pPr>
        <w:spacing w:after="0" w:line="138"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Beneficiaries warrants to the Purchaser that: (i) they have the power and authority required and have obtained or satisfied all corporate or regulatory approvals or other conditions necessary to enter into this Put Option and to perform the obligations to which they are bound hereunder (for such obligations which exist prior to the exercise of the Put Option), (ii) the entry into this Put Option will not result in a breach of, or give rise to a default under, any contract or other instrument to which it is a party or by which it is bound and iii) this Put Option constitutes valid and legally binding obligations for each Seller enforceable in accordance with the terms hereof.</w:t>
      </w:r>
    </w:p>
    <w:p>
      <w:pPr>
        <w:spacing w:after="0" w:line="142"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During the period from the countersigning of the Put Option to the first to occur of (i) the Execution Date, and (ii) the Expiry Date, each of the Beneficiaries, within the limits of its powers, shall perform and comply, for itself and not for any other Seller, with the obligations of the Sellers set forth in Clause 6.3 (</w:t>
      </w:r>
      <w:r>
        <w:rPr>
          <w:rFonts w:ascii="Arial" w:cs="Arial" w:eastAsia="Arial" w:hAnsi="Arial"/>
          <w:sz w:val="18"/>
          <w:szCs w:val="18"/>
          <w:i w:val="1"/>
          <w:iCs w:val="1"/>
          <w:color w:val="auto"/>
        </w:rPr>
        <w:t>Covenants of the Sellers</w:t>
      </w:r>
      <w:r>
        <w:rPr>
          <w:rFonts w:ascii="Arial" w:cs="Arial" w:eastAsia="Arial" w:hAnsi="Arial"/>
          <w:sz w:val="18"/>
          <w:szCs w:val="18"/>
          <w:color w:val="auto"/>
        </w:rPr>
        <w:t xml:space="preserve">) of the SPA as if such obligations had been set forth in full in this Put Option, </w:t>
      </w:r>
      <w:r>
        <w:rPr>
          <w:rFonts w:ascii="Arial" w:cs="Arial" w:eastAsia="Arial" w:hAnsi="Arial"/>
          <w:sz w:val="18"/>
          <w:szCs w:val="18"/>
          <w:i w:val="1"/>
          <w:iCs w:val="1"/>
          <w:color w:val="auto"/>
        </w:rPr>
        <w:t>mutatis mutandis</w:t>
      </w:r>
      <w:r>
        <w:rPr>
          <w:rFonts w:ascii="Arial" w:cs="Arial" w:eastAsia="Arial" w:hAnsi="Arial"/>
          <w:sz w:val="18"/>
          <w:szCs w:val="18"/>
          <w:color w:val="auto"/>
        </w:rPr>
        <w:t>, with effect on and as of the date hereof, and as if references in these clauses to the “Agreement”, the “Parties”, the “Purchaser”, the “Sellers” or the “date hereof” (or similar expressions) were respectively references to this Put Option, the parties hereto, the Purchaser, the Beneficiaries and the date of this Put Option.</w:t>
      </w:r>
    </w:p>
    <w:p>
      <w:pPr>
        <w:spacing w:after="0" w:line="15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Clearance</w:t>
      </w:r>
    </w:p>
    <w:p>
      <w:pPr>
        <w:spacing w:after="0" w:line="18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The Purchaser will at its own costs make appropriate pre-notification(s) (of any a nature whatsoever) with the Required Regulatory Authority as soon as practicable after the date of this Put Option and in any event within twenty (20) Business Days of the date of this Put Option with a view to obtain the Regulatory Clearance.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66" w:right="339" w:bottom="1440" w:gutter="0" w:footer="0" w:header="0"/>
        </w:sectPr>
      </w:pPr>
    </w:p>
    <w:bookmarkStart w:id="30" w:name="page31"/>
    <w:bookmarkEnd w:id="30"/>
    <w:p>
      <w:pPr>
        <w:jc w:val="both"/>
        <w:ind w:left="640" w:hanging="647"/>
        <w:spacing w:after="0" w:line="262" w:lineRule="auto"/>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The provisions of paragraphs (a) to (i) of Clause 4.2 (</w:t>
      </w:r>
      <w:r>
        <w:rPr>
          <w:rFonts w:ascii="Arial" w:cs="Arial" w:eastAsia="Arial" w:hAnsi="Arial"/>
          <w:sz w:val="18"/>
          <w:szCs w:val="18"/>
          <w:i w:val="1"/>
          <w:iCs w:val="1"/>
          <w:color w:val="auto"/>
        </w:rPr>
        <w:t>Undertakings and Co-Operation relating to the Regulatory Clearance</w:t>
      </w:r>
      <w:r>
        <w:rPr>
          <w:rFonts w:ascii="Arial" w:cs="Arial" w:eastAsia="Arial" w:hAnsi="Arial"/>
          <w:sz w:val="18"/>
          <w:szCs w:val="18"/>
          <w:color w:val="auto"/>
        </w:rPr>
        <w:t xml:space="preserve">) of the SPA shall be incorporated in this Put Option by reference as if set out herein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references in those clauses to the “Agreement” (or similar expression), the “Purchaser”, “the date of the Agreement” and the “Sellers’ Agents” were respectively mean this Put Option, the Purchaser, the date of this Put Option and the Beneficiaries.</w:t>
      </w:r>
    </w:p>
    <w:p>
      <w:pPr>
        <w:spacing w:after="0" w:line="149"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84" w:lineRule="exact"/>
        <w:rPr>
          <w:rFonts w:ascii="Arial" w:cs="Arial" w:eastAsia="Arial" w:hAnsi="Arial"/>
          <w:sz w:val="18"/>
          <w:szCs w:val="18"/>
          <w:b w:val="1"/>
          <w:bCs w:val="1"/>
          <w:color w:val="auto"/>
        </w:rPr>
      </w:pPr>
    </w:p>
    <w:p>
      <w:pPr>
        <w:ind w:left="660" w:right="2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provisions of Clause 10.2 (</w:t>
      </w:r>
      <w:r>
        <w:rPr>
          <w:rFonts w:ascii="Arial" w:cs="Arial" w:eastAsia="Arial" w:hAnsi="Arial"/>
          <w:sz w:val="18"/>
          <w:szCs w:val="18"/>
          <w:i w:val="1"/>
          <w:iCs w:val="1"/>
          <w:color w:val="auto"/>
        </w:rPr>
        <w:t>Confidentiality and Public Announcement</w:t>
      </w:r>
      <w:r>
        <w:rPr>
          <w:rFonts w:ascii="Arial" w:cs="Arial" w:eastAsia="Arial" w:hAnsi="Arial"/>
          <w:sz w:val="18"/>
          <w:szCs w:val="18"/>
          <w:color w:val="auto"/>
        </w:rPr>
        <w:t xml:space="preserve">) of the SPA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Put Option, subject only to such disclosures that are required or contemplated under this Put Option.</w:t>
      </w:r>
    </w:p>
    <w:p>
      <w:pPr>
        <w:spacing w:after="0" w:line="112" w:lineRule="exact"/>
        <w:rPr>
          <w:rFonts w:ascii="Arial" w:cs="Arial" w:eastAsia="Arial" w:hAnsi="Arial"/>
          <w:sz w:val="18"/>
          <w:szCs w:val="18"/>
          <w:b w:val="1"/>
          <w:bCs w:val="1"/>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Any provision of this Put Option which is invalid, illegal or unenforceable in any jurisdiction shall, as to that jurisdiction, be ineffective to the extent that such invalidity, illegality or unenforceability, without affecting in any way the remaining provisions hereof in such jurisdiction or rendering that or any other provision of this Put Option invalid, illegal or unenforceable in any other jurisdiction.</w:t>
      </w:r>
    </w:p>
    <w:p>
      <w:pPr>
        <w:spacing w:after="0" w:line="13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The provisions of Clause 10.7 (</w:t>
      </w:r>
      <w:r>
        <w:rPr>
          <w:rFonts w:ascii="Arial" w:cs="Arial" w:eastAsia="Arial" w:hAnsi="Arial"/>
          <w:sz w:val="18"/>
          <w:szCs w:val="18"/>
          <w:i w:val="1"/>
          <w:iCs w:val="1"/>
          <w:color w:val="auto"/>
        </w:rPr>
        <w:t>Absence of Third Party Rights – Assignment – Substitution</w:t>
      </w:r>
      <w:r>
        <w:rPr>
          <w:rFonts w:ascii="Arial" w:cs="Arial" w:eastAsia="Arial" w:hAnsi="Arial"/>
          <w:sz w:val="18"/>
          <w:szCs w:val="18"/>
          <w:color w:val="auto"/>
        </w:rPr>
        <w:t xml:space="preserve">) of the SPA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Put Option.</w:t>
      </w:r>
    </w:p>
    <w:p>
      <w:pPr>
        <w:spacing w:after="0" w:line="11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This Put Option and the SPA, as well as any other documents and writings referred to herein or delivered pursuant hereto contain the entire understanding of the parties hereto with respect to the subject matter hereof and thereof and supersede all prior agreements and understandings, both written and oral, between the parties hereto with respect to the subject matter hereof and thereof (including notably, in their whole extent, any prior offer made to you in connection with the Transaction).</w:t>
      </w:r>
    </w:p>
    <w:p>
      <w:pPr>
        <w:spacing w:after="0" w:line="149"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This Put Option is subject to French law.</w:t>
      </w:r>
    </w:p>
    <w:p>
      <w:pPr>
        <w:spacing w:after="0" w:line="18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The parties hereto hereby irrevocably agree that the commercial court of Paris (</w:t>
      </w:r>
      <w:r>
        <w:rPr>
          <w:rFonts w:ascii="Arial" w:cs="Arial" w:eastAsia="Arial" w:hAnsi="Arial"/>
          <w:sz w:val="18"/>
          <w:szCs w:val="18"/>
          <w:i w:val="1"/>
          <w:iCs w:val="1"/>
          <w:color w:val="auto"/>
        </w:rPr>
        <w:t>Tribunal de Commerce de Paris</w:t>
      </w:r>
      <w:r>
        <w:rPr>
          <w:rFonts w:ascii="Arial" w:cs="Arial" w:eastAsia="Arial" w:hAnsi="Arial"/>
          <w:sz w:val="18"/>
          <w:szCs w:val="18"/>
          <w:color w:val="auto"/>
        </w:rPr>
        <w:t>) shall have exclusive jurisdiction to settle any disputes arising out of or in connection with this Put Option and that, accordingly, any proceedings arising out of or in connection with this Put Option shall be brought in such courts.</w:t>
      </w:r>
    </w:p>
    <w:p>
      <w:pPr>
        <w:spacing w:after="0" w:line="144"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Each party hereby irrevocably waives, to the fullest extent possible, any objection the other party may now or hereafter have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jurisdiction or venue of such proceedings on the basis of the lack of personal jurisdiction,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or otherwise.</w:t>
      </w:r>
    </w:p>
    <w:p>
      <w:pPr>
        <w:spacing w:after="0" w:line="112"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Signature</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Electronic Signature Laws and Regulations means articles 1366 and 1367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and the decree no.</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2017-1416 dated 28 September 2017 on the electronic signature and the EIDAS Regulation.</w:t>
      </w:r>
    </w:p>
    <w:p>
      <w:pPr>
        <w:spacing w:after="0" w:line="18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This Put Option has been entered into on the date stated at the beginning of it. In accordance with articles 1367 and 1368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the parties hereto agree that each party hereto or its authorized representative can duly execute this Put Option electronically, including by appending an electronic signature generated through DocuSign© or any similar service, and acknowledge that such electronic signature carries the same legal value as their handwritten signature.</w:t>
      </w:r>
    </w:p>
    <w:p>
      <w:pPr>
        <w:spacing w:after="0" w:line="13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 xml:space="preserve">Each party hereto acknowledges and agrees that its signing or the signing by its authorized representative of this Put Option </w:t>
      </w:r>
      <w:r>
        <w:rPr>
          <w:rFonts w:ascii="Arial" w:cs="Arial" w:eastAsia="Arial" w:hAnsi="Arial"/>
          <w:sz w:val="18"/>
          <w:szCs w:val="18"/>
          <w:i w:val="1"/>
          <w:iCs w:val="1"/>
          <w:color w:val="auto"/>
        </w:rPr>
        <w:t>via</w:t>
      </w:r>
      <w:r>
        <w:rPr>
          <w:rFonts w:ascii="Arial" w:cs="Arial" w:eastAsia="Arial" w:hAnsi="Arial"/>
          <w:sz w:val="18"/>
          <w:szCs w:val="18"/>
          <w:color w:val="auto"/>
        </w:rPr>
        <w:t xml:space="preserve"> the abovementioned electronic process is made in full knowledge of the technology implemented, its related terms of use and the Electronic Signature Laws and Regulations, and, accordingly, hereby irrevocably and unconditionally waives any right such party may have to initiate any claim and/or legal action, directly or indirectly arising out of or relating to the reliability of said electronic signature process and/or the evidence of its intention to enter into this Put Option in this respect.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6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Purchaser</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747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Braton Europe Sarl</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 its Co-Managing Director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Mrs. Ann Thornton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accepted by the Beneficiaries: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By countersigning this letter, the Beneficiaries hereby acknowledge and agree on the terms and conditions of the Put Option (including the granting of an exclusivity and the Beneficiaries’ other commitments provided herein), without any obligation to exercise such Put Option</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3580" w:val="left"/>
        </w:tabs>
        <w:rPr>
          <w:sz w:val="20"/>
          <w:szCs w:val="20"/>
          <w:color w:val="auto"/>
        </w:rPr>
      </w:pPr>
      <w:r>
        <w:rPr>
          <w:rFonts w:ascii="Arial" w:cs="Arial" w:eastAsia="Arial" w:hAnsi="Arial"/>
          <w:sz w:val="18"/>
          <w:szCs w:val="18"/>
          <w:color w:val="auto"/>
        </w:rPr>
        <w:t>/s/ FABRICE BADOURALY</w:t>
      </w:r>
      <w:r>
        <w:rPr>
          <w:sz w:val="20"/>
          <w:szCs w:val="20"/>
          <w:color w:val="auto"/>
        </w:rPr>
        <w:tab/>
      </w:r>
      <w:r>
        <w:rPr>
          <w:rFonts w:ascii="Arial" w:cs="Arial" w:eastAsia="Arial" w:hAnsi="Arial"/>
          <w:sz w:val="17"/>
          <w:szCs w:val="17"/>
          <w:color w:val="auto"/>
        </w:rPr>
        <w:t>/s/ ANNE-CÉCILE JOURDREN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91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MML CAPITAL EUROPE VI EQUITY II S.A</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 Mr. Fabrice Badouraly and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Mrs. Anne-Cécile Jourdren</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3580" w:val="left"/>
        </w:tabs>
        <w:rPr>
          <w:sz w:val="20"/>
          <w:szCs w:val="20"/>
          <w:color w:val="auto"/>
        </w:rPr>
      </w:pPr>
      <w:r>
        <w:rPr>
          <w:rFonts w:ascii="Arial" w:cs="Arial" w:eastAsia="Arial" w:hAnsi="Arial"/>
          <w:sz w:val="18"/>
          <w:szCs w:val="18"/>
          <w:color w:val="auto"/>
        </w:rPr>
        <w:t>/s/ FABRICE BADOURALY</w:t>
      </w:r>
      <w:r>
        <w:rPr>
          <w:sz w:val="20"/>
          <w:szCs w:val="20"/>
          <w:color w:val="auto"/>
        </w:rPr>
        <w:tab/>
      </w:r>
      <w:r>
        <w:rPr>
          <w:rFonts w:ascii="Arial" w:cs="Arial" w:eastAsia="Arial" w:hAnsi="Arial"/>
          <w:sz w:val="17"/>
          <w:szCs w:val="17"/>
          <w:color w:val="auto"/>
        </w:rPr>
        <w:t>/s/ ANNE-CÉCILE JOURDREN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91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MML CAPITAL EUROPE VI S.A</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 Mr. Fabrice Badouraly and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Mrs. Anne-Cécile Jourdren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ARNAUD LINQUETTE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5002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Mr. Arnaud Linquette</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ARNAUD LEGARDEUR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5002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FPCI FIC 5</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 its management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Bpifrance Investissement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Itself represented by Mr. Arnaud Legardeur</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GÉRARD GUYARD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5002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Mr. Gérard Guyard</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66"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[Intentionally Omitted - Agreement Not Finalized or Executed as of the Date of Filing]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1133"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1."/>
      <w:numFmt w:val="decimal"/>
      <w:start w:val="3"/>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1"/>
    </w:lvl>
    <w:lvl w:ilvl="1">
      <w:lvlJc w:val="left"/>
      <w:lvlText w:val="(%2)"/>
      <w:numFmt w:val="lowerLetter"/>
      <w:start w:val="1"/>
    </w:lvl>
  </w:abstractNum>
  <w:abstractNum w:abstractNumId="12">
    <w:nsid w:val="75A2A8D4"/>
    <w:multiLevelType w:val="hybridMultilevel"/>
    <w:lvl w:ilvl="0">
      <w:lvlJc w:val="left"/>
      <w:lvlText w:val="%1."/>
      <w:numFmt w:val="decimal"/>
      <w:start w:val="5"/>
    </w:lvl>
    <w:lvl w:ilvl="1">
      <w:lvlJc w:val="left"/>
      <w:lvlText w:val="%2"/>
      <w:numFmt w:val="lowerLetter"/>
      <w:start w:val="1"/>
    </w:lvl>
  </w:abstractNum>
  <w:abstractNum w:abstractNumId="13">
    <w:nsid w:val="8EDBDAB"/>
    <w:multiLevelType w:val="hybridMultilevel"/>
    <w:lvl w:ilvl="0">
      <w:lvlJc w:val="left"/>
      <w:lvlText w:val="%1."/>
      <w:numFmt w:val="decimal"/>
      <w:start w:val="6"/>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2"/>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decimal"/>
      <w:start w:val="7"/>
    </w:lvl>
  </w:abstractNum>
  <w:abstractNum w:abstractNumId="20">
    <w:nsid w:val="2CA88611"/>
    <w:multiLevelType w:val="hybridMultilevel"/>
    <w:lvl w:ilvl="0">
      <w:lvlJc w:val="left"/>
      <w:lvlText w:val="(%1)"/>
      <w:numFmt w:val="lowerRoman"/>
      <w:start w:val="3"/>
    </w:lvl>
  </w:abstractNum>
  <w:abstractNum w:abstractNumId="21">
    <w:nsid w:val="836C40E"/>
    <w:multiLevelType w:val="hybridMultilevel"/>
    <w:lvl w:ilvl="0">
      <w:lvlJc w:val="left"/>
      <w:lvlText w:val="%1."/>
      <w:numFmt w:val="decimal"/>
      <w:start w:val="8"/>
    </w:lvl>
  </w:abstractNum>
  <w:abstractNum w:abstractNumId="22">
    <w:nsid w:val="2901D82"/>
    <w:multiLevelType w:val="hybridMultilevel"/>
    <w:lvl w:ilvl="0">
      <w:lvlJc w:val="left"/>
      <w:lvlText w:val="%1."/>
      <w:numFmt w:val="decimal"/>
      <w:start w:val="9"/>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2"/>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2024-05-22T06:20:13Z</dcterms:created>
  <dcterms:modified xsi:type="dcterms:W3CDTF">2024-05-22T06:20:13Z</dcterms:modified>
</cp:coreProperties>
</file>