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4"/>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32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32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25" w:lineRule="exact"/>
        <w:rPr>
          <w:sz w:val="24"/>
          <w:szCs w:val="24"/>
          <w:color w:val="auto"/>
        </w:rPr>
      </w:pPr>
    </w:p>
    <w:p>
      <w:pPr>
        <w:jc w:val="center"/>
        <w:ind w:right="-324"/>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0" w:lineRule="exact"/>
        <w:rPr>
          <w:sz w:val="24"/>
          <w:szCs w:val="24"/>
          <w:color w:val="auto"/>
        </w:rPr>
      </w:pPr>
    </w:p>
    <w:p>
      <w:pPr>
        <w:spacing w:after="0" w:line="258" w:lineRule="exact"/>
        <w:rPr>
          <w:sz w:val="24"/>
          <w:szCs w:val="24"/>
          <w:color w:val="auto"/>
        </w:rPr>
      </w:pPr>
    </w:p>
    <w:p>
      <w:pPr>
        <w:ind w:left="685" w:hanging="685"/>
        <w:spacing w:after="0"/>
        <w:tabs>
          <w:tab w:leader="none" w:pos="685"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200" w:lineRule="exact"/>
        <w:rPr>
          <w:sz w:val="24"/>
          <w:szCs w:val="24"/>
          <w:color w:val="auto"/>
        </w:rPr>
      </w:pPr>
    </w:p>
    <w:p>
      <w:pPr>
        <w:spacing w:after="0" w:line="245" w:lineRule="exact"/>
        <w:rPr>
          <w:sz w:val="24"/>
          <w:szCs w:val="24"/>
          <w:color w:val="auto"/>
        </w:rPr>
      </w:pPr>
    </w:p>
    <w:p>
      <w:pPr>
        <w:ind w:left="4205"/>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2014</w:t>
      </w:r>
    </w:p>
    <w:p>
      <w:pPr>
        <w:spacing w:after="0" w:line="171" w:lineRule="exact"/>
        <w:rPr>
          <w:sz w:val="24"/>
          <w:szCs w:val="24"/>
          <w:color w:val="auto"/>
        </w:rPr>
      </w:pPr>
    </w:p>
    <w:p>
      <w:pPr>
        <w:ind w:left="5545"/>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51" w:lineRule="exact"/>
        <w:rPr>
          <w:sz w:val="24"/>
          <w:szCs w:val="24"/>
          <w:color w:val="auto"/>
        </w:rPr>
      </w:pPr>
    </w:p>
    <w:p>
      <w:pPr>
        <w:ind w:left="685" w:hanging="685"/>
        <w:spacing w:after="0"/>
        <w:tabs>
          <w:tab w:leader="none" w:pos="685"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15(d) OF THE SECURITIES EXCHANGE ACT OF 1934</w:t>
      </w:r>
    </w:p>
    <w:p>
      <w:pPr>
        <w:spacing w:after="0" w:line="213" w:lineRule="exact"/>
        <w:rPr>
          <w:sz w:val="24"/>
          <w:szCs w:val="24"/>
          <w:color w:val="auto"/>
        </w:rPr>
      </w:pPr>
    </w:p>
    <w:p>
      <w:pPr>
        <w:ind w:left="3725"/>
        <w:spacing w:after="0"/>
        <w:tabs>
          <w:tab w:leader="none" w:pos="6945"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71" w:lineRule="exact"/>
        <w:rPr>
          <w:sz w:val="24"/>
          <w:szCs w:val="24"/>
          <w:color w:val="auto"/>
        </w:rPr>
      </w:pPr>
    </w:p>
    <w:p>
      <w:pPr>
        <w:jc w:val="center"/>
        <w:ind w:right="-324"/>
        <w:spacing w:after="0"/>
        <w:rPr>
          <w:sz w:val="20"/>
          <w:szCs w:val="20"/>
          <w:color w:val="auto"/>
        </w:rPr>
      </w:pPr>
      <w:r>
        <w:rPr>
          <w:rFonts w:ascii="Times New Roman" w:cs="Times New Roman" w:eastAsia="Times New Roman" w:hAnsi="Times New Roman"/>
          <w:sz w:val="18"/>
          <w:szCs w:val="18"/>
          <w:b w:val="1"/>
          <w:bCs w:val="1"/>
          <w:color w:val="auto"/>
        </w:rPr>
        <w:t>Commission file number 1-14959 Brady Corporation</w:t>
      </w:r>
    </w:p>
    <w:p>
      <w:pPr>
        <w:spacing w:after="0" w:line="200" w:lineRule="exact"/>
        <w:rPr>
          <w:sz w:val="24"/>
          <w:szCs w:val="24"/>
          <w:color w:val="auto"/>
        </w:rPr>
      </w:pPr>
    </w:p>
    <w:p>
      <w:pPr>
        <w:spacing w:after="0" w:line="259" w:lineRule="exact"/>
        <w:rPr>
          <w:sz w:val="24"/>
          <w:szCs w:val="24"/>
          <w:color w:val="auto"/>
        </w:rPr>
      </w:pPr>
    </w:p>
    <w:p>
      <w:pPr>
        <w:ind w:left="685" w:hanging="685"/>
        <w:spacing w:after="0"/>
        <w:tabs>
          <w:tab w:leader="none" w:pos="6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w:t>
      </w:r>
    </w:p>
    <w:p>
      <w:pPr>
        <w:spacing w:after="0" w:line="199" w:lineRule="exact"/>
        <w:rPr>
          <w:sz w:val="24"/>
          <w:szCs w:val="24"/>
          <w:color w:val="auto"/>
        </w:rPr>
      </w:pPr>
    </w:p>
    <w:p>
      <w:pPr>
        <w:jc w:val="center"/>
        <w:ind w:right="-324"/>
        <w:spacing w:after="0"/>
        <w:rPr>
          <w:sz w:val="20"/>
          <w:szCs w:val="20"/>
          <w:color w:val="auto"/>
        </w:rPr>
      </w:pPr>
      <w:r>
        <w:rPr>
          <w:rFonts w:ascii="Times New Roman" w:cs="Times New Roman" w:eastAsia="Times New Roman" w:hAnsi="Times New Roman"/>
          <w:sz w:val="22"/>
          <w:szCs w:val="22"/>
          <w:b w:val="1"/>
          <w:bCs w:val="1"/>
          <w:color w:val="auto"/>
        </w:rPr>
        <w:t>BRADY MATCHED 401(k) PLAN</w:t>
      </w:r>
    </w:p>
    <w:p>
      <w:pPr>
        <w:spacing w:after="0" w:line="354" w:lineRule="exact"/>
        <w:rPr>
          <w:sz w:val="24"/>
          <w:szCs w:val="24"/>
          <w:color w:val="auto"/>
        </w:rPr>
      </w:pPr>
    </w:p>
    <w:p>
      <w:pPr>
        <w:ind w:left="685" w:hanging="685"/>
        <w:spacing w:after="0"/>
        <w:tabs>
          <w:tab w:leader="none" w:pos="6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199" w:lineRule="exact"/>
        <w:rPr>
          <w:sz w:val="24"/>
          <w:szCs w:val="24"/>
          <w:color w:val="auto"/>
        </w:rPr>
      </w:pPr>
    </w:p>
    <w:p>
      <w:pPr>
        <w:jc w:val="center"/>
        <w:ind w:right="-324"/>
        <w:spacing w:after="0"/>
        <w:rPr>
          <w:sz w:val="20"/>
          <w:szCs w:val="20"/>
          <w:color w:val="auto"/>
        </w:rPr>
      </w:pPr>
      <w:r>
        <w:rPr>
          <w:rFonts w:ascii="Times New Roman" w:cs="Times New Roman" w:eastAsia="Times New Roman" w:hAnsi="Times New Roman"/>
          <w:sz w:val="22"/>
          <w:szCs w:val="22"/>
          <w:b w:val="1"/>
          <w:bCs w:val="1"/>
          <w:color w:val="auto"/>
        </w:rPr>
        <w:t>BRADY CORPORATION</w:t>
      </w:r>
    </w:p>
    <w:p>
      <w:pPr>
        <w:spacing w:after="0" w:line="23" w:lineRule="exact"/>
        <w:rPr>
          <w:sz w:val="24"/>
          <w:szCs w:val="24"/>
          <w:color w:val="auto"/>
        </w:rPr>
      </w:pPr>
    </w:p>
    <w:p>
      <w:pPr>
        <w:jc w:val="center"/>
        <w:ind w:right="-324"/>
        <w:spacing w:after="0"/>
        <w:rPr>
          <w:sz w:val="20"/>
          <w:szCs w:val="20"/>
          <w:color w:val="auto"/>
        </w:rPr>
      </w:pPr>
      <w:r>
        <w:rPr>
          <w:rFonts w:ascii="Times New Roman" w:cs="Times New Roman" w:eastAsia="Times New Roman" w:hAnsi="Times New Roman"/>
          <w:sz w:val="18"/>
          <w:szCs w:val="18"/>
          <w:b w:val="1"/>
          <w:bCs w:val="1"/>
          <w:color w:val="auto"/>
        </w:rPr>
        <w:t>6555 WEST GOOD HOPE ROAD</w:t>
      </w:r>
    </w:p>
    <w:p>
      <w:pPr>
        <w:spacing w:after="0" w:line="7" w:lineRule="exact"/>
        <w:rPr>
          <w:sz w:val="24"/>
          <w:szCs w:val="24"/>
          <w:color w:val="auto"/>
        </w:rPr>
      </w:pPr>
    </w:p>
    <w:p>
      <w:pPr>
        <w:jc w:val="center"/>
        <w:ind w:right="-324"/>
        <w:spacing w:after="0"/>
        <w:rPr>
          <w:sz w:val="20"/>
          <w:szCs w:val="20"/>
          <w:color w:val="auto"/>
        </w:rPr>
      </w:pPr>
      <w:r>
        <w:rPr>
          <w:rFonts w:ascii="Times New Roman" w:cs="Times New Roman" w:eastAsia="Times New Roman" w:hAnsi="Times New Roman"/>
          <w:sz w:val="18"/>
          <w:szCs w:val="18"/>
          <w:b w:val="1"/>
          <w:bCs w:val="1"/>
          <w:color w:val="auto"/>
        </w:rPr>
        <w:t>PO BOX 571</w:t>
      </w:r>
    </w:p>
    <w:p>
      <w:pPr>
        <w:spacing w:after="0" w:line="9" w:lineRule="exact"/>
        <w:rPr>
          <w:sz w:val="24"/>
          <w:szCs w:val="24"/>
          <w:color w:val="auto"/>
        </w:rPr>
      </w:pPr>
    </w:p>
    <w:p>
      <w:pPr>
        <w:jc w:val="center"/>
        <w:ind w:right="-324"/>
        <w:spacing w:after="0"/>
        <w:rPr>
          <w:sz w:val="20"/>
          <w:szCs w:val="20"/>
          <w:color w:val="auto"/>
        </w:rPr>
      </w:pPr>
      <w:r>
        <w:rPr>
          <w:rFonts w:ascii="Times New Roman" w:cs="Times New Roman" w:eastAsia="Times New Roman" w:hAnsi="Times New Roman"/>
          <w:sz w:val="18"/>
          <w:szCs w:val="18"/>
          <w:b w:val="1"/>
          <w:bCs w:val="1"/>
          <w:color w:val="auto"/>
        </w:rPr>
        <w:t>MILWAUKEE WI 53202-0571</w:t>
      </w:r>
    </w:p>
    <w:p>
      <w:pPr>
        <w:sectPr>
          <w:pgSz w:w="11900" w:h="16838" w:orient="portrait"/>
          <w:cols w:equalWidth="0" w:num="1">
            <w:col w:w="11045"/>
          </w:cols>
          <w:pgMar w:left="275" w:top="727" w:right="5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i w:val="1"/>
          <w:iCs w:val="1"/>
          <w:color w:val="auto"/>
        </w:rPr>
        <w:t>Brady Matched 401(k) Plan</w:t>
      </w:r>
    </w:p>
    <w:p>
      <w:pPr>
        <w:spacing w:after="0" w:line="9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Financial Statements as of and for the Years Ended December 31, 2014 and 2013, Supplemental Schedule as of December 31, 2014, and Report of Independent Registered Public Accounting Firm</w:t>
      </w:r>
    </w:p>
    <w:p>
      <w:pPr>
        <w:sectPr>
          <w:pgSz w:w="11900" w:h="16838" w:orient="portrait"/>
          <w:cols w:equalWidth="0" w:num="1">
            <w:col w:w="10580"/>
          </w:cols>
          <w:pgMar w:left="240" w:top="576" w:right="1079" w:bottom="1440" w:gutter="0" w:footer="0" w:header="0"/>
        </w:sectPr>
      </w:pPr>
    </w:p>
    <w:bookmarkStart w:id="2" w:name="page3"/>
    <w:bookmarkEnd w:id="2"/>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BRADY MATCHED 401(k) PLAN</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60" w:type="dxa"/>
            <w:vAlign w:val="bottom"/>
          </w:tcPr>
          <w:p>
            <w:pPr>
              <w:spacing w:after="0"/>
              <w:rPr>
                <w:sz w:val="16"/>
                <w:szCs w:val="16"/>
                <w:color w:val="auto"/>
              </w:rPr>
            </w:pPr>
          </w:p>
        </w:tc>
        <w:tc>
          <w:tcPr>
            <w:tcW w:w="298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55"/>
        </w:trPr>
        <w:tc>
          <w:tcPr>
            <w:tcW w:w="8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tc>
        <w:tc>
          <w:tcPr>
            <w:tcW w:w="2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81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98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tc>
        <w:tc>
          <w:tcPr>
            <w:tcW w:w="2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16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Statements of Changes in Net Assets Available for Benefits</w:t>
            </w:r>
          </w:p>
        </w:tc>
        <w:tc>
          <w:tcPr>
            <w:tcW w:w="2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81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50"/>
        </w:trPr>
        <w:tc>
          <w:tcPr>
            <w:tcW w:w="81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2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81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SCHEDULE</w:t>
            </w:r>
          </w:p>
        </w:tc>
        <w:tc>
          <w:tcPr>
            <w:tcW w:w="2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Schedule H, Line 4i - Schedule of Assets (Held at End of Year)</w:t>
            </w:r>
          </w:p>
        </w:tc>
        <w:tc>
          <w:tcPr>
            <w:tcW w:w="2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816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97"/>
        </w:trPr>
        <w:tc>
          <w:tcPr>
            <w:tcW w:w="8160" w:type="dxa"/>
            <w:vAlign w:val="bottom"/>
            <w:shd w:val="clear" w:color="auto" w:fill="CCEEFF"/>
          </w:tcPr>
          <w:p>
            <w:pPr>
              <w:spacing w:after="0"/>
              <w:rPr>
                <w:sz w:val="24"/>
                <w:szCs w:val="24"/>
                <w:color w:val="auto"/>
              </w:rPr>
            </w:pPr>
          </w:p>
        </w:tc>
        <w:tc>
          <w:tcPr>
            <w:tcW w:w="2980" w:type="dxa"/>
            <w:vAlign w:val="bottom"/>
            <w:shd w:val="clear" w:color="auto" w:fill="CCEEFF"/>
          </w:tcPr>
          <w:p>
            <w:pPr>
              <w:spacing w:after="0"/>
              <w:rPr>
                <w:sz w:val="24"/>
                <w:szCs w:val="24"/>
                <w:color w:val="auto"/>
              </w:rPr>
            </w:pPr>
          </w:p>
        </w:tc>
      </w:tr>
    </w:tbl>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Exhibit 23.1 - Consent of CliftonLarsonAllenLLP</w:t>
      </w:r>
    </w:p>
    <w:p>
      <w:pPr>
        <w:sectPr>
          <w:pgSz w:w="11900" w:h="16838" w:orient="portrait"/>
          <w:cols w:equalWidth="0" w:num="1">
            <w:col w:w="11140"/>
          </w:cols>
          <w:pgMar w:left="240" w:top="576" w:right="519" w:bottom="1440" w:gutter="0" w:footer="0" w:header="0"/>
        </w:sectPr>
      </w:pP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NOTE: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All other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2">
            <w:col w:w="560" w:space="600"/>
            <w:col w:w="9980"/>
          </w:cols>
          <w:pgMar w:left="240" w:top="576" w:right="519" w:bottom="1440" w:gutter="0" w:footer="0" w:header="0"/>
          <w:type w:val="continuous"/>
        </w:sectPr>
      </w:pPr>
    </w:p>
    <w:bookmarkStart w:id="3" w:name="page4"/>
    <w:bookmarkEnd w:id="3"/>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Retirement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Brady Matched 401(k)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Brady Matched 401(k) Plan (the Plan) as of December 31, 2014 and 2013, and the related statements of changes in net assets available for benefits for the years ended December 31, 2014 and 2013. These financial statements are the responsibility of the Plan's management. Our responsibility is to express an opinion on these financial statements based on our audits.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net assets available for benefits of Brady Matched 401(k) Plan as of December 31, 2014 and 2013, and the changes in net assets available for benefits for the years ended December 31, 2014 and 2013 in conformity with accounting principles generally accepted in the United States of America.</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supplemental schedule of assets (held at end of year) (supplemental information)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CliftonLarsonAllen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25, 2015</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440" w:right="239" w:bottom="1440" w:gutter="0" w:footer="0" w:header="0"/>
        </w:sectPr>
      </w:pPr>
    </w:p>
    <w:bookmarkStart w:id="4" w:name="page5"/>
    <w:bookmarkEnd w:id="4"/>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BRADY MATCHED 401(k) PLAN</w:t>
      </w:r>
    </w:p>
    <w:p>
      <w:pPr>
        <w:spacing w:after="0" w:line="31"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9"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December 31, 2014 and 2013</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67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Investments - at fair value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211,368,752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205,592,320</w:t>
            </w:r>
          </w:p>
        </w:tc>
      </w:tr>
      <w:tr>
        <w:trPr>
          <w:trHeight w:val="27"/>
        </w:trPr>
        <w:tc>
          <w:tcPr>
            <w:tcW w:w="6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39,247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88,135</w:t>
            </w:r>
          </w:p>
        </w:tc>
      </w:tr>
      <w:tr>
        <w:trPr>
          <w:trHeight w:val="223"/>
        </w:trPr>
        <w:tc>
          <w:tcPr>
            <w:tcW w:w="6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Receivables</w:t>
            </w:r>
          </w:p>
        </w:tc>
        <w:tc>
          <w:tcPr>
            <w:tcW w:w="4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r>
      <w:tr>
        <w:trPr>
          <w:trHeight w:val="41"/>
        </w:trPr>
        <w:tc>
          <w:tcPr>
            <w:tcW w:w="6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67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Company contributions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1,104,631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966,747</w:t>
            </w:r>
          </w:p>
        </w:tc>
      </w:tr>
      <w:tr>
        <w:trPr>
          <w:trHeight w:val="243"/>
        </w:trPr>
        <w:tc>
          <w:tcPr>
            <w:tcW w:w="6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2,740,778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2,847,069</w:t>
            </w:r>
          </w:p>
        </w:tc>
      </w:tr>
      <w:tr>
        <w:trPr>
          <w:trHeight w:val="27"/>
        </w:trPr>
        <w:tc>
          <w:tcPr>
            <w:tcW w:w="67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678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Total receivables</w:t>
            </w: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3,845,409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3,813,816</w:t>
            </w:r>
          </w:p>
        </w:tc>
      </w:tr>
      <w:tr>
        <w:trPr>
          <w:trHeight w:val="237"/>
        </w:trPr>
        <w:tc>
          <w:tcPr>
            <w:tcW w:w="67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215,253,408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209,494,271</w:t>
            </w:r>
          </w:p>
        </w:tc>
      </w:tr>
      <w:tr>
        <w:trPr>
          <w:trHeight w:val="27"/>
        </w:trPr>
        <w:tc>
          <w:tcPr>
            <w:tcW w:w="6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LIABILITIES — </w:t>
            </w:r>
            <w:r>
              <w:rPr>
                <w:rFonts w:ascii="Times New Roman" w:cs="Times New Roman" w:eastAsia="Times New Roman" w:hAnsi="Times New Roman"/>
                <w:sz w:val="18"/>
                <w:szCs w:val="18"/>
                <w:color w:val="auto"/>
              </w:rPr>
              <w:t>excess contributions payable</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ASSETS AVAILABLE FOR BENEFITS AT FAIR VALUE</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215,252,711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209,494,271</w:t>
            </w:r>
          </w:p>
        </w:tc>
      </w:tr>
      <w:tr>
        <w:trPr>
          <w:trHeight w:val="27"/>
        </w:trPr>
        <w:tc>
          <w:tcPr>
            <w:tcW w:w="6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5"/>
        </w:trPr>
        <w:tc>
          <w:tcPr>
            <w:tcW w:w="6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from fair value to contract value for fully benefit-responsive investment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61"/>
        </w:trPr>
        <w:tc>
          <w:tcPr>
            <w:tcW w:w="6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contracts</w:t>
            </w: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(259,033)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(337,947)</w:t>
            </w:r>
          </w:p>
        </w:tc>
      </w:tr>
      <w:tr>
        <w:trPr>
          <w:trHeight w:val="237"/>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214,993,678</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209,156,324</w:t>
            </w:r>
          </w:p>
        </w:tc>
      </w:tr>
      <w:tr>
        <w:trPr>
          <w:trHeight w:val="27"/>
        </w:trPr>
        <w:tc>
          <w:tcPr>
            <w:tcW w:w="67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6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460"/>
          </w:cols>
          <w:pgMar w:left="240" w:top="576" w:right="1199" w:bottom="1440" w:gutter="0" w:footer="0" w:header="0"/>
        </w:sectPr>
      </w:pPr>
    </w:p>
    <w:bookmarkStart w:id="5" w:name="page6"/>
    <w:bookmarkEnd w:id="5"/>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BRADY MATCHED 401(k) PLAN</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STATEMENTS OF CHANGES IN NET ASSETS AVAILABLE FOR BENEFITS</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Years Ended December 31, 2014 and 2013</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ADDITIONS TO NET ASSETS ATTRIBUTED TO</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Contributions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Participant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8,615,402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7,614,502</w:t>
            </w:r>
          </w:p>
        </w:tc>
      </w:tr>
      <w:tr>
        <w:trPr>
          <w:trHeight w:val="243"/>
        </w:trPr>
        <w:tc>
          <w:tcPr>
            <w:tcW w:w="7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Company</w:t>
            </w:r>
          </w:p>
        </w:tc>
        <w:tc>
          <w:tcPr>
            <w:tcW w:w="4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4,236,689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3,550,157</w:t>
            </w: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Rollover</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996,542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666,937</w:t>
            </w:r>
          </w:p>
        </w:tc>
      </w:tr>
      <w:tr>
        <w:trPr>
          <w:trHeight w:val="237"/>
        </w:trPr>
        <w:tc>
          <w:tcPr>
            <w:tcW w:w="73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Total contributions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13,848,633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11,831,596</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Investment income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4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789,331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26,891,762</w:t>
            </w: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Interest and dividends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9,309,534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7,275,396</w:t>
            </w:r>
          </w:p>
        </w:tc>
      </w:tr>
      <w:tr>
        <w:trPr>
          <w:trHeight w:val="243"/>
        </w:trPr>
        <w:tc>
          <w:tcPr>
            <w:tcW w:w="7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income</w:t>
            </w:r>
          </w:p>
        </w:tc>
        <w:tc>
          <w:tcPr>
            <w:tcW w:w="4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8,622</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736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Net investment income</w:t>
            </w: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10,098,865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34,175,780</w:t>
            </w:r>
          </w:p>
        </w:tc>
      </w:tr>
      <w:tr>
        <w:trPr>
          <w:trHeight w:val="237"/>
        </w:trPr>
        <w:tc>
          <w:tcPr>
            <w:tcW w:w="7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 from notes receivable from participants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90,881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102,545</w:t>
            </w: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Total additions</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24,038,379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46,109,921</w:t>
            </w:r>
          </w:p>
        </w:tc>
      </w:tr>
      <w:tr>
        <w:trPr>
          <w:trHeight w:val="223"/>
        </w:trPr>
        <w:tc>
          <w:tcPr>
            <w:tcW w:w="7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DEDUCTIONS FROM NET ASSETS ATTRIBUTED TO</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41"/>
        </w:trPr>
        <w:tc>
          <w:tcPr>
            <w:tcW w:w="7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7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17,778,931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17,720,407</w:t>
            </w:r>
          </w:p>
        </w:tc>
      </w:tr>
      <w:tr>
        <w:trPr>
          <w:trHeight w:val="243"/>
        </w:trPr>
        <w:tc>
          <w:tcPr>
            <w:tcW w:w="7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Administrative expenses</w:t>
            </w:r>
          </w:p>
        </w:tc>
        <w:tc>
          <w:tcPr>
            <w:tcW w:w="4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422,094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384,516</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736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Total deductions</w:t>
            </w: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18,201,025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18,104,923</w:t>
            </w:r>
          </w:p>
        </w:tc>
      </w:tr>
      <w:tr>
        <w:trPr>
          <w:trHeight w:val="237"/>
        </w:trPr>
        <w:tc>
          <w:tcPr>
            <w:tcW w:w="7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INCREASE</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5,837,354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28,004,998</w:t>
            </w: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ASSETS AVAILABLE FOR BENEFITS, BEGINNING OF YEAR</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209,156,324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181,151,326</w:t>
            </w:r>
          </w:p>
        </w:tc>
      </w:tr>
      <w:tr>
        <w:trPr>
          <w:trHeight w:val="237"/>
        </w:trPr>
        <w:tc>
          <w:tcPr>
            <w:tcW w:w="7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ASSETS AVAILABLE FOR BENEFITS, END OF YEAR</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214,993,678</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209,156,324</w:t>
            </w:r>
          </w:p>
        </w:tc>
      </w:tr>
      <w:tr>
        <w:trPr>
          <w:trHeight w:val="27"/>
        </w:trPr>
        <w:tc>
          <w:tcPr>
            <w:tcW w:w="73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6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240" w:top="576" w:right="67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BRADY MATCHED 401(k) PLAN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2014 AND 2013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1—DESCRIPTION OF THE PLAN</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Brady Matched 401(k) Plan (the Plan) is provided for general information purposes only. Participants should refer to the Plan document for more complete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Plan is a defined contribution plan, which provides retirement benefits to substantially all full-time employees of Brady Corporation (the Company). The Plan does not provide benefits for employees covered by a collective bargaining agreement, leased employees, non-resident aliens, co-op students, on-call employees or interns. An employee may become a participant in the Plan on the employee’s initial date of employment. The Plan is subject to the provisions of the Employee Retirement Income Security Act of 1974 (ERISA).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Contributions</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Each year, participants may contribute up to 50% of their annual base compensation subject to the Internal Revenue Code (IRC) limitations. These voluntary contributions can be withdrawn in whole or part in the event of qualifying emergencies (as defined by the Plan), subject to certain restrictions. The Company is required to contribute a 100% matching contribution of the first 3% and 50% of the next 2% that a participant contributes, subject to compensation limits of $260,000 for calendar year 2014, adjusted for inflation. Participants self-direct all participant and Company contributions. The Plan offers a Roth 401(k) option where contributions are made on an after-tax basis. Upon distribution, Roth contributions are tax-free.</w:t>
      </w:r>
    </w:p>
    <w:p>
      <w:pPr>
        <w:spacing w:after="0" w:line="4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Effective September 1, 2014, Brady began allowing the conversion of existing 401(k) retirement plan assets to Roth 401(k) accounts. There were no participants in calendar year 2014 who elected to convert their 401(k). Previously, conversions could be done only by participants who were also eligible to take a distribution from the plan, which in most cases were done by those age 59 1/2 or older.</w:t>
      </w:r>
    </w:p>
    <w:p>
      <w:pPr>
        <w:spacing w:after="0" w:line="4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Brady acquired Precision Dynamics Corporation in December 2012. The decision was made that the Precision Dynamics Cash Option 401(k) Plan would not be merged into the Plan. The Precision Dynamics Cash Option 401(k) Plan was frozen in 2013 and these employees became eligible, via Board Resolution, to participate in the Plan effective January 1, 2014. Brady has received approval from the IRS to terminate the Precision Dynamics Cash Option 401(k) Plan and participant accounts will roll into the Plan prior to December 31, 2015.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 Accounts</w:t>
      </w:r>
    </w:p>
    <w:p>
      <w:pPr>
        <w:spacing w:after="0" w:line="9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Individual accounts are maintained for each Plan participant. Each participant’s account is credited with the participant’s contribution, the Company’s matching contribution (net of participant forfeitures) and Plan earnings, and charged with withdrawals and an allocation of Plan losses and administrative expenses as defined by the Plan. The benefit to which a participant is entitled is the benefit that can be provided from the participant’s vested account.</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any newly eligible participant, the Plan will automatically withhold 3% of the employee’s eligible compensation, on a pre-tax basis, unless a waiver form to opt-out of the plan is completed by the employee within ninety days of their hire date. The withheld funds will be deposited into an account under the employee’s name in the Plan. Effective January 1, 2014, the Plan automatically withheld 5% of the employee's eligible compensation into the Roth 401(k) option in absence of a designation by the participant.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Investments</w:t>
      </w:r>
    </w:p>
    <w:p>
      <w:pPr>
        <w:spacing w:after="0" w:line="9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Investment options include various mutual funds, a common collective trust fund, two money market funds, and Brady Corporation Class A Non-Voting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76" w:right="239" w:bottom="1440" w:gutter="0" w:footer="0" w:header="0"/>
        </w:sectPr>
      </w:pPr>
    </w:p>
    <w:bookmarkStart w:id="7" w:name="page8"/>
    <w:bookmarkEnd w:id="7"/>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BRADY MATCHED 401(k) PLAN</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2014 AND 2013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1—DESCRIPTION OF THE PLAN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Vesting</w:t>
      </w:r>
    </w:p>
    <w:p>
      <w:pPr>
        <w:spacing w:after="0" w:line="7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Plan provides for full vesting of participants’ contributions from the date they are made. Company contributions will become vested after a two-year period of continuous service. The participants’ share of the Company contribution becomes fully vested, in any event, upon normal retirement at age 65, termination due to permanent or total disability or death, or a plan termination.</w:t>
      </w:r>
    </w:p>
    <w:p>
      <w:pPr>
        <w:spacing w:after="0" w:line="12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Participants may withdraw their vested interests upon retirement, approved hardship withdrawal, death, disability, or other termination of employment. Withdrawals are made at the participant’s option in the form of a lump sum, installments, or in-kind in shares of Brady Corporation Class A Non-Voting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Payment of Benefits</w:t>
      </w:r>
    </w:p>
    <w:p>
      <w:pPr>
        <w:spacing w:after="0" w:line="9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On termination of service due to death, disability, or retirement, a participant may elect to receive either a lump-sum amount equal to the value of the participant’s vested interest in his or her account, or installments over a specified period. For termination of service for other reasons, a participant may receive the value of the vested interest in his or her account as a lump-sum distribution.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Forfeited Accounts</w:t>
      </w:r>
    </w:p>
    <w:p>
      <w:pPr>
        <w:spacing w:after="0" w:line="9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At December 31, 2014 and 2013, forfeited non-vested accounts totaled $131,503 and $42,896, respectively. These amounts were used to reduce Company contribution receivables as of December 31, 2014 and 2013.</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Notes Receivable from Participants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Participants may borrow up to 50% of their vested account balance. Individual loan amounts must be at least $1,000; however, aggregate loan amounts may not exceed $50,000. The interest rate for the loans is the prime rate. Loan terms may range from one to five years, or longer if for the purchase of a primary residence. The loans are secured by the balance in the participant’s account. As of December 31, 2014, the interest rates on outstanding loans range from 3.25% to 9.00%.</w:t>
      </w:r>
    </w:p>
    <w:p>
      <w:pPr>
        <w:spacing w:after="0" w:line="2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240" w:top="576" w:right="41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BRADY MATCHED 401(k) PLAN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2014 AND 2013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Basis of Accounting</w:t>
      </w:r>
    </w:p>
    <w:p>
      <w:pPr>
        <w:spacing w:after="0" w:line="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under the accrual basis in accordance with accounting principles generally accepted in the United States of America.</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Investment contracts held by a defined-contribution plan are required to be reported at fair value. However, contract value is the relevant measurement attribute for that portion of the net assets available for benefits of a defined contribution plan attributable to fully benefit-responsive investment contracts because contract value is the amount participants would receive if they were to initiate permitted transactions under the terms of the Plan. The Statements of Net Assets Available for Benefits present the fair value of the investment contract as well as the adjustment of the fully benefit-responsive investment contract from fair value to contract value. The Statements of Changes in Net Assets Available for Benefits are prepared on a contract value basis.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Plan management to make estimates and assumptions that affect the reported amounts of net assets available for benefits and changes therein. Actual results could differ from those estimates.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and Uncertainties</w:t>
      </w:r>
    </w:p>
    <w:p>
      <w:pPr>
        <w:spacing w:after="0" w:line="9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Plan utilizes various investment instruments, including various mutual funds, a common collective trust fund, two money market funds, and common stock. Investment securities, in general, are exposed to various risks, such as interest rate, credit, and overall market volatility. Due to the level of risk associated with certain investment securities, it is reasonably possible that changes in the values of investment securities will occur in the near term and that such changes could materially affect the amounts reported in the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Investment Valuation and Income Recognition</w:t>
      </w:r>
    </w:p>
    <w:p>
      <w:pPr>
        <w:spacing w:after="0" w:line="9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Investments are reported at fair value. Fair value is the price that would be received to sell an asset or paid to transfer a liability in an orderly transaction between market participants at the measurement date. See Note 4 for discussion of fair value measurements.</w:t>
      </w:r>
    </w:p>
    <w:p>
      <w:pPr>
        <w:spacing w:after="0" w:line="10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Purchases and sales of securities are recorded on a trade-date basis. Interest income is recorded on the accrual basis. Dividends are recorded on the ex-dividend date. Net appreciation (depreciation) includes the Plan’s gains and losses on investments bought and sold as well as held during the year.</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Management fees and operating expenses charged to the Plan for investments in the mutual funds are deducted from income earned on a daily basis and are not separately reflected. Consequently, management fees and operating expenses are reflected as a reduction of investment return for such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Administrative Expenses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expenses are paid by the Plan. This includes administrative, investment management, audit, legal and other miscellaneous fees of the Plan.</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Payment of Benefits</w:t>
      </w:r>
    </w:p>
    <w:p>
      <w:pPr>
        <w:spacing w:after="0" w:line="9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Benefit payments to participants are recorded upon distribution. There was $113,144 and $465,625 allocated to accounts of persons who have elected to withdraw from the Plan, but had not yet been paid as of December 31, 2014 and 2013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76" w:right="239" w:bottom="1440" w:gutter="0" w:footer="0" w:header="0"/>
        </w:sectPr>
      </w:pPr>
    </w:p>
    <w:bookmarkStart w:id="9" w:name="page10"/>
    <w:bookmarkEnd w:id="9"/>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BRADY MATCHED 401(k) PLAN</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2014 AND 2013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2—SUMMARY OF SIGNIFICANT ACCOUNTING POLICIES </w:t>
      </w:r>
      <w:r>
        <w:rPr>
          <w:rFonts w:ascii="Times New Roman" w:cs="Times New Roman" w:eastAsia="Times New Roman" w:hAnsi="Times New Roman"/>
          <w:sz w:val="18"/>
          <w:szCs w:val="18"/>
          <w:color w:val="auto"/>
        </w:rPr>
        <w:t>(continued)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 Receivable from Participants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Notes receivable from participants are measured at their unpaid principal balance plus any accrued but unpaid interest. Related fees are recorded as administrative expenses and expensed as incurred. Delinquent participant loans are reclassified as distributions based upon the terms of the Plan document.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Excess Contributions Payable</w:t>
      </w:r>
    </w:p>
    <w:p>
      <w:pPr>
        <w:spacing w:after="0" w:line="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Plan is required to return contributions received during the Plan year in excess of the IRC limits to the contributing participants. There were excess contributions of $697 and $0 for the years ended December 31, 2014 and 2013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80"/>
          </w:cols>
          <w:pgMar w:left="240" w:top="576" w:right="4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BRADY MATCHED 401(k)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2014 AND 2013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3—INVESTMENTS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individual investments held which exceeded 5% of the net assets available for benefits at December 31, 2014 and 2013, was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340" w:type="dxa"/>
            <w:vAlign w:val="bottom"/>
          </w:tcPr>
          <w:p>
            <w:pPr>
              <w:spacing w:after="0"/>
              <w:rPr>
                <w:sz w:val="20"/>
                <w:szCs w:val="20"/>
                <w:color w:val="auto"/>
              </w:rPr>
            </w:pPr>
          </w:p>
        </w:tc>
      </w:tr>
      <w:tr>
        <w:trPr>
          <w:trHeight w:val="27"/>
        </w:trPr>
        <w:tc>
          <w:tcPr>
            <w:tcW w:w="686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Growth Fund of America</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33,888,805</w:t>
            </w: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33,120,473</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Vanguard Institutional Index Fund</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21,445,069</w:t>
            </w: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18,458,360</w:t>
            </w:r>
          </w:p>
        </w:tc>
        <w:tc>
          <w:tcPr>
            <w:tcW w:w="340" w:type="dxa"/>
            <w:vAlign w:val="bottom"/>
          </w:tcPr>
          <w:p>
            <w:pPr>
              <w:spacing w:after="0"/>
              <w:rPr>
                <w:sz w:val="21"/>
                <w:szCs w:val="21"/>
                <w:color w:val="auto"/>
              </w:rPr>
            </w:pPr>
          </w:p>
        </w:tc>
      </w:tr>
      <w:tr>
        <w:trPr>
          <w:trHeight w:val="27"/>
        </w:trPr>
        <w:tc>
          <w:tcPr>
            <w:tcW w:w="68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PNC Stable Value Fund*</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16,770,183</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18,359,999</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 Rowe Price Retirement 2030</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15,511,670</w:t>
            </w: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14,771,809</w:t>
            </w:r>
          </w:p>
        </w:tc>
        <w:tc>
          <w:tcPr>
            <w:tcW w:w="340" w:type="dxa"/>
            <w:vAlign w:val="bottom"/>
          </w:tcPr>
          <w:p>
            <w:pPr>
              <w:spacing w:after="0"/>
              <w:rPr>
                <w:sz w:val="21"/>
                <w:szCs w:val="21"/>
                <w:color w:val="auto"/>
              </w:rPr>
            </w:pPr>
          </w:p>
        </w:tc>
      </w:tr>
      <w:tr>
        <w:trPr>
          <w:trHeight w:val="27"/>
        </w:trPr>
        <w:tc>
          <w:tcPr>
            <w:tcW w:w="68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Vanguard Total Bond Market Index Fund</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13,970,948</w:t>
            </w:r>
          </w:p>
        </w:tc>
        <w:tc>
          <w:tcPr>
            <w:tcW w:w="5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13,296,904</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LSV Value Equity Fund</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13,855,402</w:t>
            </w: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13,552,577</w:t>
            </w:r>
          </w:p>
        </w:tc>
        <w:tc>
          <w:tcPr>
            <w:tcW w:w="340" w:type="dxa"/>
            <w:vAlign w:val="bottom"/>
          </w:tcPr>
          <w:p>
            <w:pPr>
              <w:spacing w:after="0"/>
              <w:rPr>
                <w:sz w:val="21"/>
                <w:szCs w:val="21"/>
                <w:color w:val="auto"/>
              </w:rPr>
            </w:pPr>
          </w:p>
        </w:tc>
      </w:tr>
      <w:tr>
        <w:trPr>
          <w:trHeight w:val="27"/>
        </w:trPr>
        <w:tc>
          <w:tcPr>
            <w:tcW w:w="68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Fidelity Diversified International Fund</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13,124,999</w:t>
            </w:r>
          </w:p>
        </w:tc>
        <w:tc>
          <w:tcPr>
            <w:tcW w:w="5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14,222,407</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 Rowe Price Retirement 2040</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12,886,540</w:t>
            </w: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11,503,022</w:t>
            </w:r>
          </w:p>
        </w:tc>
        <w:tc>
          <w:tcPr>
            <w:tcW w:w="340" w:type="dxa"/>
            <w:vAlign w:val="bottom"/>
          </w:tcPr>
          <w:p>
            <w:pPr>
              <w:spacing w:after="0"/>
              <w:rPr>
                <w:sz w:val="21"/>
                <w:szCs w:val="21"/>
                <w:color w:val="auto"/>
              </w:rPr>
            </w:pPr>
          </w:p>
        </w:tc>
      </w:tr>
      <w:tr>
        <w:trPr>
          <w:trHeight w:val="27"/>
        </w:trPr>
        <w:tc>
          <w:tcPr>
            <w:tcW w:w="68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 Rowe Price Retirement 2020</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12,113,290</w:t>
            </w:r>
          </w:p>
        </w:tc>
        <w:tc>
          <w:tcPr>
            <w:tcW w:w="5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10,593,456</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Vanguard Prime Money Market Fund</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10,474,200</w:t>
            </w:r>
          </w:p>
        </w:tc>
        <w:tc>
          <w:tcPr>
            <w:tcW w:w="340" w:type="dxa"/>
            <w:vAlign w:val="bottom"/>
          </w:tcPr>
          <w:p>
            <w:pPr>
              <w:spacing w:after="0"/>
              <w:rPr>
                <w:sz w:val="21"/>
                <w:szCs w:val="21"/>
                <w:color w:val="auto"/>
              </w:rPr>
            </w:pPr>
          </w:p>
        </w:tc>
      </w:tr>
      <w:tr>
        <w:trPr>
          <w:trHeight w:val="405"/>
        </w:trPr>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Party-in-interest in the Plan.</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71" w:lineRule="exact"/>
        <w:rPr>
          <w:sz w:val="20"/>
          <w:szCs w:val="20"/>
          <w:color w:val="auto"/>
        </w:rPr>
      </w:pPr>
    </w:p>
    <w:p>
      <w:pPr>
        <w:ind w:left="660" w:hanging="625"/>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represents contract value which differs from fair value as noted in the supplemental schedule.</w:t>
      </w:r>
    </w:p>
    <w:p>
      <w:pPr>
        <w:spacing w:after="0" w:line="198" w:lineRule="exact"/>
        <w:rPr>
          <w:rFonts w:ascii="Times New Roman" w:cs="Times New Roman" w:eastAsia="Times New Roman" w:hAnsi="Times New Roman"/>
          <w:sz w:val="18"/>
          <w:szCs w:val="18"/>
          <w:color w:val="auto"/>
        </w:rPr>
      </w:pPr>
    </w:p>
    <w:p>
      <w:pPr>
        <w:ind w:left="580" w:hanging="545"/>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5% of the Plan's net assets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2014 and 2013, the Plan’s investments (including gains and losses on investments bought and sold, as well as held during the year) appreciated (depreciated) in value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funds</w:t>
            </w:r>
          </w:p>
        </w:tc>
        <w:tc>
          <w:tcPr>
            <w:tcW w:w="35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1,062,363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27,171,058</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3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42,336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42,771</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Brady Corporation common stock</w:t>
            </w:r>
          </w:p>
        </w:tc>
        <w:tc>
          <w:tcPr>
            <w:tcW w:w="3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(315,368)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(322,067)</w:t>
            </w:r>
          </w:p>
        </w:tc>
        <w:tc>
          <w:tcPr>
            <w:tcW w:w="0" w:type="dxa"/>
            <w:vAlign w:val="bottom"/>
          </w:tcPr>
          <w:p>
            <w:pPr>
              <w:spacing w:after="0"/>
              <w:rPr>
                <w:sz w:val="1"/>
                <w:szCs w:val="1"/>
                <w:color w:val="auto"/>
              </w:rPr>
            </w:pPr>
          </w:p>
        </w:tc>
      </w:tr>
      <w:tr>
        <w:trPr>
          <w:trHeight w:val="237"/>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appreciation in fair value of investments</w:t>
            </w:r>
          </w:p>
        </w:tc>
        <w:tc>
          <w:tcPr>
            <w:tcW w:w="3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789,331</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26,891,762</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100" w:type="dxa"/>
            <w:vAlign w:val="bottom"/>
            <w:vMerge w:val="restart"/>
          </w:tcPr>
          <w:p>
            <w:pPr>
              <w:jc w:val="right"/>
              <w:ind w:right="1810"/>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100" w:type="dxa"/>
            <w:vAlign w:val="bottom"/>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56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BRADY MATCHED 401(k)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2014 AND 2013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4—FAIR VALUE MEASUREMENT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of America (GAAP) establishes a hierarchal disclosure framework which prioritizes and ranks the level of observable inputs used in measuring fair value.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GAAP defines fair value as the price that would be received upon the sale of an asset or paid to transfer a liability in an orderly transaction between market participants at the measurement date (exit price). The Plan primarily applies the market approach for recurring fair value measurements and attempts to utilize the best available information. Accordingly, the Plan also utilizes valuation techniques that maximize the use of observable inputs and minimize the use of unobservable inputs. The Plan is able to classify fair value balances based on the observability of those inputs. The hierarchy gives the highest priority to unadjusted quoted prices in active markets for identical assets or liabilities (Level 1) and the lowest priority to unobservable inputs (Level 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Plan's assets measured at fair market value are classified in one of the following categories:</w:t>
      </w:r>
    </w:p>
    <w:p>
      <w:pPr>
        <w:spacing w:after="0" w:line="225" w:lineRule="exact"/>
        <w:rPr>
          <w:sz w:val="20"/>
          <w:szCs w:val="20"/>
          <w:color w:val="auto"/>
        </w:rPr>
      </w:pPr>
    </w:p>
    <w:p>
      <w:pPr>
        <w:ind w:left="1540" w:hanging="904"/>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Level 1 -</w:t>
        <w:tab/>
        <w:t>Inputs to the valuation methodology are unadjusted quoted prices for identical assets or liabilities in active markets that the Plan has the ability to access.</w:t>
      </w:r>
    </w:p>
    <w:p>
      <w:pPr>
        <w:spacing w:after="0" w:line="162" w:lineRule="exact"/>
        <w:rPr>
          <w:sz w:val="20"/>
          <w:szCs w:val="20"/>
          <w:color w:val="auto"/>
        </w:rPr>
      </w:pPr>
    </w:p>
    <w:p>
      <w:pPr>
        <w:ind w:left="620"/>
        <w:spacing w:after="0"/>
        <w:tabs>
          <w:tab w:leader="none" w:pos="1520" w:val="left"/>
        </w:tabs>
        <w:rPr>
          <w:sz w:val="20"/>
          <w:szCs w:val="20"/>
          <w:color w:val="auto"/>
        </w:rPr>
      </w:pPr>
      <w:r>
        <w:rPr>
          <w:rFonts w:ascii="Times New Roman" w:cs="Times New Roman" w:eastAsia="Times New Roman" w:hAnsi="Times New Roman"/>
          <w:sz w:val="18"/>
          <w:szCs w:val="18"/>
          <w:color w:val="auto"/>
        </w:rPr>
        <w:t>Level 2 -</w:t>
      </w:r>
      <w:r>
        <w:rPr>
          <w:sz w:val="20"/>
          <w:szCs w:val="20"/>
          <w:color w:val="auto"/>
        </w:rPr>
        <w:tab/>
      </w:r>
      <w:r>
        <w:rPr>
          <w:rFonts w:ascii="Times New Roman" w:cs="Times New Roman" w:eastAsia="Times New Roman" w:hAnsi="Times New Roman"/>
          <w:sz w:val="17"/>
          <w:szCs w:val="17"/>
          <w:color w:val="auto"/>
        </w:rPr>
        <w:t>Inputs to the valuation methodology include:</w:t>
      </w:r>
    </w:p>
    <w:p>
      <w:pPr>
        <w:spacing w:after="0" w:line="36" w:lineRule="exact"/>
        <w:rPr>
          <w:sz w:val="20"/>
          <w:szCs w:val="20"/>
          <w:color w:val="auto"/>
        </w:rPr>
      </w:pPr>
    </w:p>
    <w:p>
      <w:pPr>
        <w:ind w:left="2020" w:hanging="229"/>
        <w:spacing w:after="0"/>
        <w:tabs>
          <w:tab w:leader="none" w:pos="2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49" w:lineRule="exact"/>
        <w:rPr>
          <w:rFonts w:ascii="Times New Roman" w:cs="Times New Roman" w:eastAsia="Times New Roman" w:hAnsi="Times New Roman"/>
          <w:sz w:val="18"/>
          <w:szCs w:val="18"/>
          <w:color w:val="auto"/>
        </w:rPr>
      </w:pPr>
    </w:p>
    <w:p>
      <w:pPr>
        <w:ind w:left="2000" w:hanging="223"/>
        <w:spacing w:after="0"/>
        <w:tabs>
          <w:tab w:leader="none" w:pos="2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inactive markets;</w:t>
      </w:r>
    </w:p>
    <w:p>
      <w:pPr>
        <w:spacing w:after="0" w:line="49" w:lineRule="exact"/>
        <w:rPr>
          <w:rFonts w:ascii="Times New Roman" w:cs="Times New Roman" w:eastAsia="Times New Roman" w:hAnsi="Times New Roman"/>
          <w:sz w:val="18"/>
          <w:szCs w:val="18"/>
          <w:color w:val="auto"/>
        </w:rPr>
      </w:pPr>
    </w:p>
    <w:p>
      <w:pPr>
        <w:ind w:left="2020" w:hanging="229"/>
        <w:spacing w:after="0"/>
        <w:tabs>
          <w:tab w:leader="none" w:pos="2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the asset or liability;</w:t>
      </w:r>
    </w:p>
    <w:p>
      <w:pPr>
        <w:spacing w:after="0" w:line="49" w:lineRule="exact"/>
        <w:rPr>
          <w:rFonts w:ascii="Times New Roman" w:cs="Times New Roman" w:eastAsia="Times New Roman" w:hAnsi="Times New Roman"/>
          <w:sz w:val="18"/>
          <w:szCs w:val="18"/>
          <w:color w:val="auto"/>
        </w:rPr>
      </w:pPr>
    </w:p>
    <w:p>
      <w:pPr>
        <w:ind w:left="2020" w:hanging="229"/>
        <w:spacing w:after="0"/>
        <w:tabs>
          <w:tab w:leader="none" w:pos="2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means.</w:t>
      </w:r>
    </w:p>
    <w:p>
      <w:pPr>
        <w:spacing w:after="0" w:line="27" w:lineRule="exact"/>
        <w:rPr>
          <w:sz w:val="20"/>
          <w:szCs w:val="20"/>
          <w:color w:val="auto"/>
        </w:rPr>
      </w:pPr>
    </w:p>
    <w:p>
      <w:pPr>
        <w:ind w:left="1540" w:firstLine="648"/>
        <w:spacing w:after="0" w:line="276" w:lineRule="auto"/>
        <w:rPr>
          <w:sz w:val="20"/>
          <w:szCs w:val="20"/>
          <w:color w:val="auto"/>
        </w:rPr>
      </w:pPr>
      <w:r>
        <w:rPr>
          <w:rFonts w:ascii="Times New Roman" w:cs="Times New Roman" w:eastAsia="Times New Roman" w:hAnsi="Times New Roman"/>
          <w:sz w:val="18"/>
          <w:szCs w:val="18"/>
          <w:color w:val="auto"/>
        </w:rPr>
        <w:t>If the asset or liability has a specified (contractual) term, the Level 2 input must be observable for substantially the full term of the asset or liability.</w:t>
      </w:r>
    </w:p>
    <w:p>
      <w:pPr>
        <w:spacing w:after="0" w:line="167" w:lineRule="exact"/>
        <w:rPr>
          <w:sz w:val="20"/>
          <w:szCs w:val="20"/>
          <w:color w:val="auto"/>
        </w:rPr>
      </w:pPr>
    </w:p>
    <w:p>
      <w:pPr>
        <w:ind w:left="620"/>
        <w:spacing w:after="0"/>
        <w:tabs>
          <w:tab w:leader="none" w:pos="1520" w:val="left"/>
        </w:tabs>
        <w:rPr>
          <w:sz w:val="20"/>
          <w:szCs w:val="20"/>
          <w:color w:val="auto"/>
        </w:rPr>
      </w:pPr>
      <w:r>
        <w:rPr>
          <w:rFonts w:ascii="Times New Roman" w:cs="Times New Roman" w:eastAsia="Times New Roman" w:hAnsi="Times New Roman"/>
          <w:sz w:val="18"/>
          <w:szCs w:val="18"/>
          <w:color w:val="auto"/>
        </w:rPr>
        <w:t>Level 3 -</w:t>
        <w:tab/>
        <w:t>Inputs to the valuation methodology are unobservable and significant to the fair value measurement.</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asset or liability's fair value measurement level within the fair value hierarchy is based on the lowest level of any inputs that is significant to the fair value measurement. Valuation techniques used need to maximize the use of observable inputs and minimize the use of unobservable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76" w:right="2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BRADY MATCHED 401(k) PLAN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2014 AND 2013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4—FAIR VALUE MEASUREMENT </w:t>
      </w:r>
      <w:r>
        <w:rPr>
          <w:rFonts w:ascii="Times New Roman" w:cs="Times New Roman" w:eastAsia="Times New Roman" w:hAnsi="Times New Roman"/>
          <w:sz w:val="18"/>
          <w:szCs w:val="18"/>
          <w:color w:val="auto"/>
        </w:rPr>
        <w:t>(continued)</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valuation methodologies used for assets measured at fair value. There have been no changes in the methodologies used at December 31, 2014 and 2013.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Brady common stock is valued at the closing price reported on the active market on which the individual securities are traded.</w:t>
      </w:r>
    </w:p>
    <w:p>
      <w:pPr>
        <w:spacing w:after="0" w:line="17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Shares of mutual funds are valued at the daily closing price as reported by the fund. Mutual funds held by the Plan are open-end mutual funds that are registered with the Securities and Exchange Commission. These funds are required to publish their daily net asset value (NAV) and to transact at that price. The mutual funds held by the Plan are deemed to be actively traded.</w:t>
      </w:r>
    </w:p>
    <w:p>
      <w:pPr>
        <w:spacing w:after="0" w:line="12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common collective trust fund is valued at the net asset value of the fund based on the fair value of the underlying investments and then adjusted by the issuer to contract value. The objectives of the common collective trust fund are to maximize current income, while maintaining principal and to provide for withdrawals for certain participant-initiated transactions under a plan without penalty or adjustments. The collective trust fund does not have a finite life, unfunded commitments relating to these types of investments, or significant restrictions on redemptions.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money market funds are valued at a stable $1.00 net asset value which approximates fair value.</w:t>
      </w:r>
    </w:p>
    <w:p>
      <w:pPr>
        <w:spacing w:after="0" w:line="17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methods described above may produce a fair value calculation that may not be indicative of net realizable value or reflective of future fair values. Furthermore, while Plan management believes its valuation methods are appropriate and consistent with other market participants, the use of different methodologies or assumptions to determine the fair value of certain financial instruments could result in different fair value measurement at the reporting date.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Plan’s assets at fair value as of December 31, 2014.</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2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4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Growth funds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43,689,242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43,689,242</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Balanced fund</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21,445,069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21,445,069</w:t>
            </w:r>
          </w:p>
        </w:tc>
      </w:tr>
      <w:tr>
        <w:trPr>
          <w:trHeight w:val="243"/>
        </w:trPr>
        <w:tc>
          <w:tcPr>
            <w:tcW w:w="4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Value funds</w:t>
            </w:r>
          </w:p>
        </w:tc>
        <w:tc>
          <w:tcPr>
            <w:tcW w:w="3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23,032,126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23,032,126</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International funds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22,058,424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22,058,424</w:t>
            </w:r>
          </w:p>
        </w:tc>
      </w:tr>
      <w:tr>
        <w:trPr>
          <w:trHeight w:val="243"/>
        </w:trPr>
        <w:tc>
          <w:tcPr>
            <w:tcW w:w="4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Target date funds</w:t>
            </w:r>
          </w:p>
        </w:tc>
        <w:tc>
          <w:tcPr>
            <w:tcW w:w="3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51,734,901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51,734,901</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Bond funds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15,725,157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15,725,157</w:t>
            </w:r>
          </w:p>
        </w:tc>
      </w:tr>
      <w:tr>
        <w:trPr>
          <w:trHeight w:val="243"/>
        </w:trPr>
        <w:tc>
          <w:tcPr>
            <w:tcW w:w="4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fund</w:t>
            </w:r>
          </w:p>
        </w:tc>
        <w:tc>
          <w:tcPr>
            <w:tcW w:w="3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3,032,247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3,032,247</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9,814,609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9,814,609</w:t>
            </w:r>
          </w:p>
        </w:tc>
      </w:tr>
      <w:tr>
        <w:trPr>
          <w:trHeight w:val="243"/>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Brady common stock</w:t>
            </w:r>
          </w:p>
        </w:tc>
        <w:tc>
          <w:tcPr>
            <w:tcW w:w="3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3,807,761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3,807,761</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17,029,216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17,029,216</w:t>
            </w:r>
          </w:p>
        </w:tc>
      </w:tr>
      <w:tr>
        <w:trPr>
          <w:trHeight w:val="237"/>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184,524,927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26,843,825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211,368,752</w:t>
            </w:r>
          </w:p>
        </w:tc>
      </w:tr>
      <w:tr>
        <w:trPr>
          <w:trHeight w:val="27"/>
        </w:trPr>
        <w:tc>
          <w:tcPr>
            <w:tcW w:w="4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792" w:right="239" w:bottom="1440" w:gutter="0" w:footer="0" w:header="0"/>
          <w:type w:val="continuous"/>
        </w:sectPr>
      </w:pPr>
    </w:p>
    <w:bookmarkStart w:id="13" w:name="page14"/>
    <w:bookmarkEnd w:id="13"/>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BRADY MATCHED 401(k) PLAN</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2014 AND 2013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4—FAIR VALUE MEASUREMENT </w:t>
      </w:r>
      <w:r>
        <w:rPr>
          <w:rFonts w:ascii="Times New Roman" w:cs="Times New Roman" w:eastAsia="Times New Roman" w:hAnsi="Times New Roman"/>
          <w:sz w:val="18"/>
          <w:szCs w:val="18"/>
          <w:color w:val="auto"/>
        </w:rPr>
        <w:t>(continued)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Plan’s assets at fair value as of December 31, 2013.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24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4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Growth funds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43,221,011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43,221,011</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Balanced funds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18,458,360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18,458,360</w:t>
            </w:r>
          </w:p>
        </w:tc>
      </w:tr>
      <w:tr>
        <w:trPr>
          <w:trHeight w:val="243"/>
        </w:trPr>
        <w:tc>
          <w:tcPr>
            <w:tcW w:w="4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Value funds</w:t>
            </w:r>
          </w:p>
        </w:tc>
        <w:tc>
          <w:tcPr>
            <w:tcW w:w="3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23,377,116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23,377,116</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International funds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23,851,015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23,851,015</w:t>
            </w:r>
          </w:p>
        </w:tc>
      </w:tr>
      <w:tr>
        <w:trPr>
          <w:trHeight w:val="243"/>
        </w:trPr>
        <w:tc>
          <w:tcPr>
            <w:tcW w:w="4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Target date funds</w:t>
            </w:r>
          </w:p>
        </w:tc>
        <w:tc>
          <w:tcPr>
            <w:tcW w:w="3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45,486,497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45,486,497</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Bond funds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14,860,395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14,860,395</w:t>
            </w:r>
          </w:p>
        </w:tc>
      </w:tr>
      <w:tr>
        <w:trPr>
          <w:trHeight w:val="243"/>
        </w:trPr>
        <w:tc>
          <w:tcPr>
            <w:tcW w:w="4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funds</w:t>
            </w:r>
          </w:p>
        </w:tc>
        <w:tc>
          <w:tcPr>
            <w:tcW w:w="3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3,883,585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3,883,585</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10,476,223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10,476,223</w:t>
            </w:r>
          </w:p>
        </w:tc>
      </w:tr>
      <w:tr>
        <w:trPr>
          <w:trHeight w:val="243"/>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Brady common stock</w:t>
            </w:r>
          </w:p>
        </w:tc>
        <w:tc>
          <w:tcPr>
            <w:tcW w:w="3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3,280,172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3,280,172</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18,697,946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18,697,946</w:t>
            </w:r>
          </w:p>
        </w:tc>
      </w:tr>
      <w:tr>
        <w:trPr>
          <w:trHeight w:val="237"/>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176,418,151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29,174,169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205,592,320</w:t>
            </w:r>
          </w:p>
        </w:tc>
      </w:tr>
      <w:tr>
        <w:trPr>
          <w:trHeight w:val="27"/>
        </w:trPr>
        <w:tc>
          <w:tcPr>
            <w:tcW w:w="4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4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60"/>
          </w:cols>
          <w:pgMar w:left="240" w:top="792" w:right="39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BRADY MATCHED 401(k) PLAN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2014 AND 2013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5—PLAN TERMINATION</w:t>
      </w:r>
    </w:p>
    <w:p>
      <w:pPr>
        <w:spacing w:after="0" w:line="9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Although it has not expressed any intention to do so, the Company has the right under the Plan provisions to discontinue its contributions at any time and to terminate the Plan subject to the provisions set forth in ERISA. In the event that the Plan is terminated, participants would become fully vested in unvested Company matching contributions in their accounts. Distribution of such account balances shall be made by the Trustee to the participants within a reasonable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6—FEDERAL INCOME TAX STATUS</w:t>
      </w:r>
    </w:p>
    <w:p>
      <w:pPr>
        <w:spacing w:after="0" w:line="9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Plan uses a prototype plan document sponsored by PNC Bank (PNC or the Trustee). PNC received an opinion letter from the Internal Revenue Service (IRS), dated March 31, 2008, which states that the prototype document satisfies the applicable provisions of the IRC. The Plan itself has not received a determination letter from the IRS. However, the Plan’s management believes that the Plan is currently designed and being operated in compliance with the applicable requirements of the IRC. Therefore, no provision for income tax has been included in the Plan’s financial statements.</w:t>
      </w:r>
    </w:p>
    <w:p>
      <w:pPr>
        <w:spacing w:after="0" w:line="4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of America require plan management to evaluate tax positions taken by the plan and recognize a tax liability if the organization has taken an uncertain position that more likely than not would not be sustained upon examination by the IRS. The Plan is subject to routine audits by taxing jurisdictions; however, there are currently no audits for any tax periods in progress. The Plan administrator believes it is no longer subject to income tax examinations for years prior to 2011.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7—EXEMPT PARTY-IN-INTEREST TRANSACTIONS</w:t>
      </w:r>
    </w:p>
    <w:p>
      <w:pPr>
        <w:spacing w:after="0" w:line="9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Plan invests in Company common stock. In addition, certain plan investments represent a common collective trust fund managed by the Trustee. These transactions are considered party-in-interest transactions. These transactions are not, however, considered prohibited transactions under ERISA regulations. Fees paid by the Plan for investment management services were included as a reduction of the return earned on each fund.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2014 and 2013, the Plan held 139,274 and 106,051 shares, respectively, of common stock of Brady Corporation, with a cost basis of</w:t>
      </w:r>
    </w:p>
    <w:p>
      <w:pPr>
        <w:spacing w:after="0" w:line="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$3,534,008 and $2,729,161, respectively. During the years ended December 31, 2014 and 2013, the Plan recorded dividend income from the common stock of Brady Corporation of $96,852 and $88,464, respectively.</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76" w:right="239" w:bottom="1440" w:gutter="0" w:footer="0" w:header="0"/>
        </w:sectPr>
      </w:pPr>
    </w:p>
    <w:bookmarkStart w:id="15" w:name="page16"/>
    <w:bookmarkEnd w:id="1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BRADY MATCHED 401(k) PLAN</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2014 AND 2013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8—RECONCILIATION TO FORM 5500</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assets available for benefits in the accompanying financial statements are reported at contract value; however, they are recorded at fair value in the Plan’s Form 5500.</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net assets available for benefits per the financial statements to the Plan’s Form 5500 as of December 31:</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assets available for benefits per financial statements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214,993,678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209,156,324</w:t>
            </w:r>
          </w:p>
        </w:tc>
      </w:tr>
      <w:tr>
        <w:trPr>
          <w:trHeight w:val="243"/>
        </w:trPr>
        <w:tc>
          <w:tcPr>
            <w:tcW w:w="7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 from contract value to fair value for fully benefit-responsive investment contracts</w:t>
            </w:r>
          </w:p>
        </w:tc>
        <w:tc>
          <w:tcPr>
            <w:tcW w:w="4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259,033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337,947</w:t>
            </w: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Benefits payable</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(113,144)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Amounts reported per Form 5500</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215,139,567</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209,494,271</w:t>
            </w:r>
          </w:p>
        </w:tc>
      </w:tr>
      <w:tr>
        <w:trPr>
          <w:trHeight w:val="27"/>
        </w:trPr>
        <w:tc>
          <w:tcPr>
            <w:tcW w:w="73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increase in net assets available for benefits per the financial statements to the Form 5500 for the year ended December 31:</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net assets available for benefits per financial statements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5,837,354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28,004,998</w:t>
            </w:r>
          </w:p>
        </w:tc>
      </w:tr>
      <w:tr>
        <w:trPr>
          <w:trHeight w:val="225"/>
        </w:trPr>
        <w:tc>
          <w:tcPr>
            <w:tcW w:w="7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 from contract value to fair value for fully benefit-responsive investment contract at end</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4"/>
        </w:trPr>
        <w:tc>
          <w:tcPr>
            <w:tcW w:w="7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year</w:t>
            </w:r>
          </w:p>
        </w:tc>
        <w:tc>
          <w:tcPr>
            <w:tcW w:w="42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259,033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337,947</w:t>
            </w: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5"/>
        </w:trPr>
        <w:tc>
          <w:tcPr>
            <w:tcW w:w="7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 from contract value to fair value for fully benefit-responsive investment contract at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41"/>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of year</w:t>
            </w: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(337,947)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(685,203)</w:t>
            </w:r>
          </w:p>
        </w:tc>
      </w:tr>
      <w:tr>
        <w:trPr>
          <w:trHeight w:val="243"/>
        </w:trPr>
        <w:tc>
          <w:tcPr>
            <w:tcW w:w="7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Benefits payable</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(113,144)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Amounts reported per Form 5500</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5,645,296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27,657,742</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9—SUBSEQUENT EVENTS</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Management evaluated subsequent events through June 25, 2015, the date the financial statements were issued. Events or transactions occurring after December 31, 2014, but prior to June 25, 2015 that provide additional evidence about conditions that existed at December 31, 2014 have been recognized in the financial statements for the year ended December 31, 2014. Events or transactions that provided evidence about conditions that did not exist at December 31, 2014 but arose before the financial statements were issued, have not been recognized in the financial statements for the year ended December 31, 2014.</w:t>
      </w:r>
    </w:p>
    <w:p>
      <w:pPr>
        <w:spacing w:after="0" w:line="1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This information is an integral part of the accompanying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60"/>
          </w:cols>
          <w:pgMar w:left="240" w:top="576" w:right="299"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SUPPLEMENTAL SCHEDULE</w:t>
      </w:r>
    </w:p>
    <w:p>
      <w:pPr>
        <w:sectPr>
          <w:pgSz w:w="11900" w:h="16838" w:orient="portrait"/>
          <w:cols w:equalWidth="0" w:num="1">
            <w:col w:w="9019"/>
          </w:cols>
          <w:pgMar w:left="1440" w:top="1440" w:right="1440" w:bottom="1440" w:gutter="0" w:footer="0" w:header="0"/>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019"/>
          </w:cols>
          <w:pgMar w:left="1440" w:top="1440" w:right="1440"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BRADY MATCHED 401(k)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H, LINE 4i—SCHEDULE OF ASSETS (HELD AT END OF YEAR)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2014</w:t>
      </w: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EIN #: 39-0178960</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Plan #: 003</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Identity of Issuer, Lessor, or Similar Party</w:t>
            </w:r>
          </w:p>
        </w:tc>
        <w:tc>
          <w:tcPr>
            <w:tcW w:w="1900" w:type="dxa"/>
            <w:vAlign w:val="bottom"/>
            <w:gridSpan w:val="3"/>
            <w:vMerge w:val="restart"/>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0" w:type="dxa"/>
            <w:vAlign w:val="bottom"/>
          </w:tcPr>
          <w:p>
            <w:pPr>
              <w:spacing w:after="0"/>
              <w:rPr>
                <w:sz w:val="1"/>
                <w:szCs w:val="1"/>
                <w:color w:val="auto"/>
              </w:rPr>
            </w:pPr>
          </w:p>
        </w:tc>
      </w:tr>
      <w:tr>
        <w:trPr>
          <w:trHeight w:val="160"/>
        </w:trPr>
        <w:tc>
          <w:tcPr>
            <w:tcW w:w="6880" w:type="dxa"/>
            <w:vAlign w:val="bottom"/>
            <w:gridSpan w:val="3"/>
            <w:vMerge w:val="continue"/>
          </w:tcPr>
          <w:p>
            <w:pPr>
              <w:spacing w:after="0"/>
              <w:rPr>
                <w:sz w:val="13"/>
                <w:szCs w:val="13"/>
                <w:color w:val="auto"/>
              </w:rPr>
            </w:pPr>
          </w:p>
        </w:tc>
        <w:tc>
          <w:tcPr>
            <w:tcW w:w="1900" w:type="dxa"/>
            <w:vAlign w:val="bottom"/>
            <w:gridSpan w:val="3"/>
            <w:vMerge w:val="continue"/>
          </w:tcPr>
          <w:p>
            <w:pPr>
              <w:spacing w:after="0"/>
              <w:rPr>
                <w:sz w:val="13"/>
                <w:szCs w:val="13"/>
                <w:color w:val="auto"/>
              </w:rPr>
            </w:pPr>
          </w:p>
        </w:tc>
        <w:tc>
          <w:tcPr>
            <w:tcW w:w="1200" w:type="dxa"/>
            <w:vAlign w:val="bottom"/>
          </w:tcPr>
          <w:p>
            <w:pPr>
              <w:jc w:val="right"/>
              <w:ind w:right="491"/>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580" w:type="dxa"/>
            <w:vAlign w:val="bottom"/>
            <w:tcBorders>
              <w:top w:val="single" w:sz="8" w:color="auto"/>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8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MUTUAL FUNDS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Growth Fund of America</w:t>
            </w:r>
          </w:p>
        </w:tc>
        <w:tc>
          <w:tcPr>
            <w:tcW w:w="1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33,888,805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Fidelity Diversified International Fund</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13,124,999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American Century Small Cap Value</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9,176,724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LSV Value Equity Fund</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13,855,402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 Rowe Price Retirement 2010</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6,028,707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 Rowe Price Retirement 2020</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12,113,290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 Rowe Price Retirement 2030</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15,511,670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 Rowe Price Retirement 2040</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12,886,540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 Rowe Price Retirement 2050</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4,716,947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 Rowe Price Retirement Balanced Fund</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477,747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Oppenheimer Developing Markets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8,193,561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Wasatch Frontier Emerging Small Countries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739,864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Voya Smallcap Opportunities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9,800,437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PIMCO CommoditiesPLUS Strategy Fund</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3,032,247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Vanguard Institutional Index Fund</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21,445,069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Vanguard Total Bond Market Index Fund</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13,970,948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MFS Emerging Markets Debt</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1,754,209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580" w:type="dxa"/>
            <w:vAlign w:val="bottom"/>
            <w:tcBorders>
              <w:bottom w:val="single" w:sz="8" w:color="CCEEFF"/>
            </w:tcBorders>
            <w:shd w:val="clear" w:color="auto" w:fill="CCEEFF"/>
          </w:tcPr>
          <w:p>
            <w:pPr>
              <w:spacing w:after="0"/>
              <w:rPr>
                <w:sz w:val="23"/>
                <w:szCs w:val="23"/>
                <w:color w:val="auto"/>
              </w:rPr>
            </w:pPr>
          </w:p>
        </w:tc>
        <w:tc>
          <w:tcPr>
            <w:tcW w:w="4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180,717,166</w:t>
            </w:r>
          </w:p>
        </w:tc>
        <w:tc>
          <w:tcPr>
            <w:tcW w:w="0" w:type="dxa"/>
            <w:vAlign w:val="bottom"/>
          </w:tcPr>
          <w:p>
            <w:pPr>
              <w:spacing w:after="0"/>
              <w:rPr>
                <w:sz w:val="1"/>
                <w:szCs w:val="1"/>
                <w:color w:val="auto"/>
              </w:rPr>
            </w:pPr>
          </w:p>
        </w:tc>
      </w:tr>
      <w:tr>
        <w:trPr>
          <w:trHeight w:val="493"/>
        </w:trPr>
        <w:tc>
          <w:tcPr>
            <w:tcW w:w="68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COMMON COLLECTIVE TRUST FUND</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PNC Stable Value Fund*</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17,029,216</w:t>
            </w:r>
          </w:p>
        </w:tc>
        <w:tc>
          <w:tcPr>
            <w:tcW w:w="0" w:type="dxa"/>
            <w:vAlign w:val="bottom"/>
          </w:tcPr>
          <w:p>
            <w:pPr>
              <w:spacing w:after="0"/>
              <w:rPr>
                <w:sz w:val="1"/>
                <w:szCs w:val="1"/>
                <w:color w:val="auto"/>
              </w:rPr>
            </w:pPr>
          </w:p>
        </w:tc>
      </w:tr>
      <w:tr>
        <w:trPr>
          <w:trHeight w:val="513"/>
        </w:trPr>
        <w:tc>
          <w:tcPr>
            <w:tcW w:w="68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MONEY MARKET FUNDS</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Vanguard Prime Money Market Fund</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9,814,458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Brady Stock Liquidity Fund*</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580" w:type="dxa"/>
            <w:vAlign w:val="bottom"/>
            <w:tcBorders>
              <w:bottom w:val="single" w:sz="8" w:color="CCEEFF"/>
            </w:tcBorders>
            <w:shd w:val="clear" w:color="auto" w:fill="CCEEFF"/>
          </w:tcPr>
          <w:p>
            <w:pPr>
              <w:spacing w:after="0"/>
              <w:rPr>
                <w:sz w:val="23"/>
                <w:szCs w:val="23"/>
                <w:color w:val="auto"/>
              </w:rPr>
            </w:pPr>
          </w:p>
        </w:tc>
        <w:tc>
          <w:tcPr>
            <w:tcW w:w="4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9,814,609</w:t>
            </w:r>
          </w:p>
        </w:tc>
        <w:tc>
          <w:tcPr>
            <w:tcW w:w="0" w:type="dxa"/>
            <w:vAlign w:val="bottom"/>
          </w:tcPr>
          <w:p>
            <w:pPr>
              <w:spacing w:after="0"/>
              <w:rPr>
                <w:sz w:val="1"/>
                <w:szCs w:val="1"/>
                <w:color w:val="auto"/>
              </w:rPr>
            </w:pPr>
          </w:p>
        </w:tc>
      </w:tr>
      <w:tr>
        <w:trPr>
          <w:trHeight w:val="493"/>
        </w:trPr>
        <w:tc>
          <w:tcPr>
            <w:tcW w:w="68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8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Brady Corporation Class A Non-voting*</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3,807,761</w:t>
            </w:r>
          </w:p>
        </w:tc>
        <w:tc>
          <w:tcPr>
            <w:tcW w:w="0" w:type="dxa"/>
            <w:vAlign w:val="bottom"/>
          </w:tcPr>
          <w:p>
            <w:pPr>
              <w:spacing w:after="0"/>
              <w:rPr>
                <w:sz w:val="1"/>
                <w:szCs w:val="1"/>
                <w:color w:val="auto"/>
              </w:rPr>
            </w:pPr>
          </w:p>
        </w:tc>
      </w:tr>
      <w:tr>
        <w:trPr>
          <w:trHeight w:val="471"/>
        </w:trPr>
        <w:tc>
          <w:tcPr>
            <w:tcW w:w="68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NOTES RECEIVABLE from PARTICIPANTS, at various interest rates and due</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8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through September 23, 2044*</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2,740,778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8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 (HELD AT END OF YEAR)</w:t>
            </w:r>
          </w:p>
        </w:tc>
        <w:tc>
          <w:tcPr>
            <w:tcW w:w="19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214,109,530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700" w:hanging="665"/>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Party-in-interest in the Plan.</w:t>
      </w:r>
    </w:p>
    <w:p>
      <w:pPr>
        <w:spacing w:after="0" w:line="63" w:lineRule="exact"/>
        <w:rPr>
          <w:sz w:val="20"/>
          <w:szCs w:val="20"/>
          <w:color w:val="auto"/>
        </w:rPr>
      </w:pPr>
    </w:p>
    <w:p>
      <w:pPr>
        <w:ind w:left="700" w:hanging="665"/>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are participant directed and as such cost information is not required.</w:t>
      </w:r>
    </w:p>
    <w:p>
      <w:pPr>
        <w:sectPr>
          <w:pgSz w:w="11900" w:h="16838" w:orient="portrait"/>
          <w:cols w:equalWidth="0" w:num="1">
            <w:col w:w="11420"/>
          </w:cols>
          <w:pgMar w:left="240" w:top="576" w:right="239" w:bottom="6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76" w:right="239" w:bottom="603" w:gutter="0" w:footer="0" w:header="0"/>
          <w:type w:val="continuous"/>
        </w:sectPr>
      </w:pPr>
    </w:p>
    <w:bookmarkStart w:id="18" w:name="page19"/>
    <w:bookmarkEnd w:id="18"/>
    <w:p>
      <w:pPr>
        <w:jc w:val="center"/>
        <w:ind w:right="-419"/>
        <w:spacing w:after="0"/>
        <w:rPr>
          <w:sz w:val="20"/>
          <w:szCs w:val="20"/>
          <w:color w:val="auto"/>
        </w:rPr>
      </w:pPr>
      <w:r>
        <w:rPr>
          <w:rFonts w:ascii="Times New Roman" w:cs="Times New Roman" w:eastAsia="Times New Roman" w:hAnsi="Times New Roman"/>
          <w:sz w:val="18"/>
          <w:szCs w:val="18"/>
          <w:color w:val="auto"/>
        </w:rPr>
        <w:t>SIGNATURES</w:t>
      </w:r>
    </w:p>
    <w:p>
      <w:pPr>
        <w:spacing w:after="0" w:line="169" w:lineRule="exact"/>
        <w:rPr>
          <w:sz w:val="20"/>
          <w:szCs w:val="20"/>
          <w:color w:val="auto"/>
        </w:rPr>
      </w:pPr>
    </w:p>
    <w:p>
      <w:pPr>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The Plan. </w:t>
      </w:r>
      <w:r>
        <w:rPr>
          <w:rFonts w:ascii="Times New Roman" w:cs="Times New Roman" w:eastAsia="Times New Roman" w:hAnsi="Times New Roman"/>
          <w:sz w:val="18"/>
          <w:szCs w:val="18"/>
          <w:color w:val="auto"/>
        </w:rPr>
        <w:t>Pursuant to the requirements of the Securities Exchange Act of 1934, the trustees (or other persons who administer the employee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have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BRADY MATCHED 401(k) PLAN</w:t>
      </w:r>
    </w:p>
    <w:p>
      <w:pPr>
        <w:spacing w:after="0" w:line="387" w:lineRule="exact"/>
        <w:rPr>
          <w:sz w:val="20"/>
          <w:szCs w:val="20"/>
          <w:color w:val="auto"/>
        </w:rPr>
      </w:pPr>
    </w:p>
    <w:p>
      <w:pPr>
        <w:ind w:left="40"/>
        <w:spacing w:after="0"/>
        <w:tabs>
          <w:tab w:leader="none" w:pos="7320" w:val="left"/>
        </w:tabs>
        <w:rPr>
          <w:sz w:val="20"/>
          <w:szCs w:val="20"/>
          <w:color w:val="auto"/>
        </w:rPr>
      </w:pPr>
      <w:r>
        <w:rPr>
          <w:rFonts w:ascii="Times New Roman" w:cs="Times New Roman" w:eastAsia="Times New Roman" w:hAnsi="Times New Roman"/>
          <w:sz w:val="18"/>
          <w:szCs w:val="18"/>
          <w:color w:val="auto"/>
        </w:rPr>
        <w:t>Date: June 25, 2015</w:t>
      </w:r>
      <w:r>
        <w:rPr>
          <w:sz w:val="20"/>
          <w:szCs w:val="20"/>
          <w:color w:val="auto"/>
        </w:rPr>
        <w:tab/>
      </w:r>
      <w:r>
        <w:rPr>
          <w:rFonts w:ascii="Times New Roman" w:cs="Times New Roman" w:eastAsia="Times New Roman" w:hAnsi="Times New Roman"/>
          <w:sz w:val="18"/>
          <w:szCs w:val="18"/>
          <w:color w:val="auto"/>
        </w:rPr>
        <w:t>/s/ WENDY SALMON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34290</wp:posOffset>
            </wp:positionV>
            <wp:extent cx="27444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Wendy Salmon</w:t>
      </w:r>
    </w:p>
    <w:p>
      <w:pPr>
        <w:spacing w:after="0" w:line="6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Plan Administrative Committee Member</w:t>
      </w:r>
    </w:p>
    <w:p>
      <w:pPr>
        <w:sectPr>
          <w:pgSz w:w="11900" w:h="16838" w:orient="portrait"/>
          <w:cols w:equalWidth="0" w:num="1">
            <w:col w:w="11000"/>
          </w:cols>
          <w:pgMar w:left="240" w:top="580" w:right="65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333-44505 on Form S-8 of our report dated June 25, 2015 appearing in this Annual Report on Form 11-K of Brady Matched 401(k) Plan for the year ended December 31, 2014.</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CliftonLarsonAllen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25, 2015</w:t>
      </w:r>
    </w:p>
    <w:sectPr>
      <w:pgSz w:w="11900" w:h="16838" w:orient="portrait"/>
      <w:cols w:equalWidth="0" w:num="1">
        <w:col w:w="11420"/>
      </w:cols>
      <w:pgMar w:left="240" w:top="6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upperLetter"/>
      <w:start w:val="1"/>
    </w:lvl>
  </w:abstractNum>
  <w:abstractNum w:abstractNumId="3">
    <w:nsid w:val="2EB141F2"/>
    <w:multiLevelType w:val="hybridMultilevel"/>
    <w:lvl w:ilvl="0">
      <w:lvlJc w:val="left"/>
      <w:lvlText w:val="%1."/>
      <w:numFmt w:val="upperLetter"/>
      <w:start w:val="2"/>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lvl w:ilvl="1">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2019-12-05T22:04:20Z</dcterms:created>
  <dcterms:modified xsi:type="dcterms:W3CDTF">2019-12-05T22:04:20Z</dcterms:modified>
</cp:coreProperties>
</file>