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184" w:lineRule="auto"/>
        <w:tabs>
          <w:tab w:leader="none" w:pos="7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25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Emerging growth company</w:t>
      </w:r>
    </w:p>
    <w:p>
      <w:pPr>
        <w:spacing w:after="0" w:line="150"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2" w:lineRule="exact"/>
        <w:rPr>
          <w:sz w:val="24"/>
          <w:szCs w:val="24"/>
          <w:color w:val="auto"/>
        </w:rPr>
      </w:pPr>
    </w:p>
    <w:p>
      <w:pPr>
        <w:ind w:left="4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5"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5" w:lineRule="exact"/>
        <w:rPr>
          <w:sz w:val="24"/>
          <w:szCs w:val="24"/>
          <w:color w:val="auto"/>
        </w:rPr>
      </w:pPr>
    </w:p>
    <w:p>
      <w:pPr>
        <w:sectPr>
          <w:pgSz w:w="11900" w:h="16838" w:orient="portrait"/>
          <w:cols w:equalWidth="0" w:num="2">
            <w:col w:w="9880" w:space="400"/>
            <w:col w:w="1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As of February 18, 2019, there were 49,125,192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9240" w:type="dxa"/>
            <w:vAlign w:val="bottom"/>
            <w:gridSpan w:val="14"/>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6480" w:type="dxa"/>
            <w:vAlign w:val="bottom"/>
            <w:gridSpan w:val="13"/>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340" w:type="dxa"/>
            <w:vAlign w:val="bottom"/>
            <w:gridSpan w:val="3"/>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31, 2019</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181,427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161,981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161,282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15,559</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471,339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99,378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97,945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419,815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39,652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42,588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18,312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17,662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1,056,931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60,504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66,538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44,567</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163,688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190,927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Long-term obligations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51,610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52,618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61,274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279,959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304,819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120" w:type="dxa"/>
            <w:vAlign w:val="bottom"/>
            <w:gridSpan w:val="2"/>
          </w:tcPr>
          <w:p>
            <w:pPr>
              <w:ind w:left="380"/>
              <w:spacing w:after="0"/>
              <w:rPr>
                <w:sz w:val="20"/>
                <w:szCs w:val="20"/>
                <w:color w:val="auto"/>
              </w:rPr>
            </w:pPr>
            <w:r>
              <w:rPr>
                <w:rFonts w:ascii="Arial" w:cs="Arial" w:eastAsia="Arial" w:hAnsi="Arial"/>
                <w:sz w:val="16"/>
                <w:szCs w:val="16"/>
                <w:color w:val="auto"/>
                <w:w w:val="94"/>
              </w:rPr>
              <w:t>Class A nonvoting common stock—Issued 51,261,487 shares, and outstanding 49,101,192 and 48,393,617 shares,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328,978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325,631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553,454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Treasury stock—2,160,295 and 2,867,870 shares, respectively, of Class A nonvoting common stock, at cost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(71,120)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803,381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752,112</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1,056,931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5"/>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282,426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575,622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577,931</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142,616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144,088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289,273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288,174</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286,349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289,757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21,834</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92,706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97,582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187,297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197,716</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108,896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219,550</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36,030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34,796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76,652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70,207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Earnings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36,690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76,583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69,787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39,678</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29,227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59,864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30,109</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0.58</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0.56</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52,532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51,698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52,366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51,569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52,551</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30,109</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9,284</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(loss) recognized in other comprehensive income (loss)</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8"/>
              </w:rPr>
              <w:t>Reclassification adjustment for (gains) losses included in net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gain recognized in other comprehensive income (loss)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tax</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9,250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tax benefit (expense) related to items of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16,973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9,592</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39,701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earnings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59,864</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30,109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11,909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12,840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5,897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26,028</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2,562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(10,945)</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(3,153)</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(12,695)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(1,471)</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42,460</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(8,469)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(9,198)</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(21,373)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17,317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9,948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17,439</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(57,314)</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(2,342)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(10,051)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(53,642)</w:t>
            </w:r>
          </w:p>
        </w:tc>
      </w:tr>
      <w:tr>
        <w:trPr>
          <w:trHeight w:val="55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1,763</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20,782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(18,617)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181,427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133,944</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8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202,209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115,327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2019 and July 31, 2018, its results of operations and comprehensive income for the three and six months ended January 31, 2019 and 2018, and cash flows for the six months ended January 31, 2019 and 2018. The condensed consolidated balance sheet as of July 31, 2018,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This new guidance will require a modified retrospective adoption approach to existing hedging relationships as of the adoption date. The Company is currently evaluating the impact of this update on its consolidated financial statements and disclosures.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 future impairment of goodwill.</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2016, the FASB issued ASU 2016-02, "Leases," which replaces the current lease accounting standards. The update requires, among other items, lessees to recognize the assets and liabilities that arise from most leases on the balance sheet. This guidance is effective for annual periods beginning after December 15, 2018, and interim periods within those annual periods. The ASU allows for either a full retrospective or a modified retrospective approach and early adoption is permitted. The Company expects the new lease standard to increase its total assets and liabilities; however, it is evaluating the magnitude of the impact on its consolidated financial statements. The Company has formed a team to implement the new lease standard, implemented a third-party software program to track and store its leases, has accumulated data pertaining to its global lease obligations, and is currently evaluating the impact of this update on its consolidated financial statements and disclosures.</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May 2014, the FASB issued ASU 2014-09, "Revenue from Contracts with Customers" ("Topic 606"), which eliminates the transaction and industry-specific revenue recognition guidance and replaced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 The Company adopted ASU 2014-09 (and related updates) effective August 1, 2018 using the modified retrospective method to apply this guidance to all contracts at the date of initial application. Results for reporting periods beginning after August 1, 2018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presented under Topic 606, while comparative prior period amounts have not been restated and continue to be presented under accounting standards in effect in those periods.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applying Topic 606 were not material to the Company's consolidated financial condition, results of operations, cash flows, business processes, controls, or systems. Upon adoption, the Company recorded a cumulative adjustment to the opening balance of retained earnings as of August 1, 2018, which resulted in a decrease to retained earnings of $2,137, net of tax. The adjustment was primarily due to a change in timing of when revenue and the related costs for certain extended service-type warranties are recognized, as required per Topic 606.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C "Revenue Recognition" for additional information and required disclosures under the new standard.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C — Revenue Recognition</w:t>
      </w:r>
    </w:p>
    <w:p>
      <w:pPr>
        <w:spacing w:after="0" w:line="3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Company’s revenues are primarily from the sale of identification solutions and workplace safety products that are shipped and billed to customers. All revenue is from contracts with customers and is included in "Net sales" on the condensed consolidated statements of earnings. The Company considers the purchase orders, which in some cases are governed by master sales or distributor agreements, to be its contracts with customers. For each contract, the Company considers the commitment to transfer products, each of which is distinct, to be its identified performance obligations.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Timing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the Company's revenue is earned and recognized at a point in time through ship-and-bill performance obligations, when control of the product is transferred to the customer, which typically occurs upon shipment or delivery to the customer, depending on freight terms. To determine when control has transferred, the Company considers if there is a present right to payment; and if legal title, physical possession, and the significant risks and rewards of ownership of the asset has transferred to the customer. Once a product has shipped or has been delivered, the customer is able to direct the use of, and obtain substantially all of the remaining benefits from, the asset.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Measurement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Revenue is measured as the amount of consideration the Company expects to be entitled to in exchange for the transfer of product, which is generally the price stated in the contract specific for each item sold, adjusted for the value of expected returns, discounts, rebates, or other allowances offered to the Company's customers as a reduction of the transaction price. Certain discounts and price assurances are fixed and known at the time of sale. Expected returns and other allowances are variable and are estimated using the expected value method based upon historical experience. Rebates offered to customers are retrospective and typically defined in the master sales or distributor agreements, and therefore are recorded using the most likely amount method based on the terms of the contract. Estimated amounts are included in the transaction price to the extent it is probable that a significant reversal of cumulative revenue recognized will not occur when the uncertainty associated with the variable consideration is resolved.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Payment Terms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While the Company’s standard payment terms are net 30 days, the specific payment terms and conditions in its customer contracts vary. In some cases, customers pay for their goods at time of shipment or upon delivery; in other cases, after appropriate credit evaluation, an open credit line is granted and payment is due in arrears. Contracts with payment in arrears are recognized in the condensed consolidated balance sheet as accounts receivable.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Warranties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w:t>
      </w:r>
    </w:p>
    <w:p>
      <w:pPr>
        <w:spacing w:after="0" w:line="10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also sells extended warranty coverage for certain products, which it accounts for as service warranties. In most cases, the extended service warranty is included with the purchase of the product. In applying Topic 606, the Company considers the extended service warranty to be a separate performance obligation in the contract and allocates a portion of the transaction price to the service warranty based on the estimated stand-alone selling price. Under Topic 606, the extended warranty transaction price is initially recorded as deferred revenue on the consolidated balance sheet and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 The balance of contract liabilities as of January 31, 2019, was $2,758. This also represents the amount of unsatisfied performance obligations related to contracts that extend beyond one year. Of this amount, the Company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expects to recognize 22% as revenue by the end of fiscal 2019, an additional 34% by the end of fiscal 2020, and the balance thereafter. Upon adoption of Topic 606, at the beginning of fiscal 2019, the contract liability balance was $2,796. The current portion of contract liabilities and the non-current portion are included in “Other current liabilities” and “Other liabilities," respectively, on the consolidated balance sheet. During the three and six months ended January 31, 2019, the Company recognized revenue of $314 and $622, respectively, that was included in the contract liability balance at the beginning of the period, which was from the amortization of extended service warranties.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With the exception of the performance obligations related to the extended service warranties, the Company's contracts have an original expected duration of one year or less. As a result, the Company has elected to use the practical expedient to not disclose its remaining performance obligations for contracts that have an original expected length of one year or less.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applied the portfolio approach to its ship-and-bill contracts that have similar characteristics as it reasonably expects that the effects on the financial statements of applying this guidance to the portfolio of contracts would not differ materially from applying this guidance to the individual contracts within the portfolio.</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the Company’s product sale contracts and standard payment terms have a duration of less than one year, it uses the practical expedient applicable to such contracts and does not consider the time value of money.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use, value-add and other similar taxes assessed by governmental authorities and collected concurrent with revenue-producing activities are excluded from revenue.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shipping and handling activities that occur after control of the related products transfers to the customer as fulfillment activities and are therefore recognized as revenue at time of shipping.</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expenses incremental direct costs of obtaining a contract (e.g., sales commissions) when incurred because the amortization period is generally twelve months or less. Contract costs are expensed in "Selling, general, and administrative expenses" on the condensed consolidated statements of earnings.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H, "Segment Information," for the Company's disaggregated revenue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D — Additional Balance Sheet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as of January 31, 2019, and July 31, 2018,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January 31, 2019</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July 31, 2018</w:t>
            </w:r>
          </w:p>
        </w:tc>
      </w:tr>
      <w:tr>
        <w:trPr>
          <w:trHeight w:val="33"/>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products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73,133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19,903</w:t>
            </w: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Raw materials and supplies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20,035</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Total inventories</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118,519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113,071</w:t>
            </w:r>
          </w:p>
        </w:tc>
      </w:tr>
      <w:tr>
        <w:trPr>
          <w:trHeight w:val="33"/>
        </w:trPr>
        <w:tc>
          <w:tcPr>
            <w:tcW w:w="8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$276,000 and $280,778 as of January 31, 2019, and July 31,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E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six months ended January 31,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IDS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WPS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July 31, 2018</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385,524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419,815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6"/>
                <w:szCs w:val="16"/>
                <w:color w:val="auto"/>
              </w:rPr>
              <w:t>Translation adjustments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Balance as of January 31, 2019</w:t>
            </w:r>
          </w:p>
        </w:tc>
        <w:tc>
          <w:tcPr>
            <w:tcW w:w="3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383,346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33,894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417,240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Goodwill is presented net of accumulated impairment losses, with the most recent impairment charge being incurred in fiscal 2015.</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and customer relationships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January 31, 2019</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253</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48,465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(28,607)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19,858</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55,999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22,464</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tcPr>
          <w:p>
            <w:pPr>
              <w:ind w:left="8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19,472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19,472</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19,516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19,516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71,852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(32,200)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39,652</w:t>
            </w: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(38,872)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42,588</w:t>
            </w:r>
          </w:p>
        </w:tc>
        <w:tc>
          <w:tcPr>
            <w:tcW w:w="0" w:type="dxa"/>
            <w:vAlign w:val="bottom"/>
          </w:tcPr>
          <w:p>
            <w:pPr>
              <w:spacing w:after="0"/>
              <w:rPr>
                <w:sz w:val="1"/>
                <w:szCs w:val="1"/>
                <w:color w:val="auto"/>
              </w:rPr>
            </w:pPr>
          </w:p>
        </w:tc>
      </w:tr>
      <w:tr>
        <w:trPr>
          <w:trHeight w:val="60"/>
        </w:trPr>
        <w:tc>
          <w:tcPr>
            <w:tcW w:w="2180" w:type="dxa"/>
            <w:vAlign w:val="bottom"/>
            <w:tcBorders>
              <w:bottom w:val="single" w:sz="8" w:color="CCEEFF"/>
            </w:tcBorders>
            <w:shd w:val="clear" w:color="auto" w:fill="CCEEFF"/>
          </w:tcPr>
          <w:p>
            <w:pPr>
              <w:spacing w:after="0"/>
              <w:rPr>
                <w:sz w:val="5"/>
                <w:szCs w:val="5"/>
                <w:color w:val="auto"/>
              </w:rPr>
            </w:pPr>
          </w:p>
        </w:tc>
        <w:tc>
          <w:tcPr>
            <w:tcW w:w="1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of intangible assets was $1,434 and $1,617 for the three months ended January 31, 2019 and 2018, respectively, and $2,870 and $3,310 for the six months ended January 31, 2019 and 2018, respectively. The amortization over each of the next five fiscal years is projected to be $5,717, $5,191, $5,151, $5,006 and $2,025 for the fiscal years ending July 31, 2019, 2020, 2021, 2022 and 2023,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F — Other Comprehensive Loss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cash flow 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(3,650)</w:t>
            </w: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(64,094)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(60,565)</w:t>
            </w: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January 31, 2019, compared to July 31, 2018, was primarily due to the appreciation of the U.S. dollar against certain other currencies during the six-month period. The foreign currency translation adjustments column in the table above includes the impact of foreign currency translation, including foreign currency translation on long-term intercompany notes and net investment hedges, net of tax. Of the total $514 in amounts reclassified from accumulated other comprehensive loss, the $215 gain on cash flow hedges was reclassified into cost of products sold, and the $299 gain on post-retirement plans was reclassified into investment and other income on the condensed consolidated statement of earnings for the six months ended January 31, 2019.</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January 31, 2018,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Unrealized (loss)</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gain on cash flow</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translation</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5"/>
              </w:rPr>
              <w:t>Accumulated other</w:t>
            </w:r>
          </w:p>
        </w:tc>
      </w:tr>
      <w:tr>
        <w:trPr>
          <w:trHeight w:val="206"/>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hedges</w:t>
            </w: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6"/>
                <w:szCs w:val="16"/>
                <w:color w:val="auto"/>
                <w:w w:val="88"/>
              </w:rPr>
              <w:t>plans</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adjustments</w:t>
            </w:r>
          </w:p>
        </w:tc>
        <w:tc>
          <w:tcPr>
            <w:tcW w:w="1360" w:type="dxa"/>
            <w:vAlign w:val="bottom"/>
            <w:gridSpan w:val="2"/>
          </w:tcPr>
          <w:p>
            <w:pPr>
              <w:ind w:left="40"/>
              <w:spacing w:after="0"/>
              <w:rPr>
                <w:sz w:val="20"/>
                <w:szCs w:val="20"/>
                <w:color w:val="auto"/>
              </w:rPr>
            </w:pPr>
            <w:r>
              <w:rPr>
                <w:rFonts w:ascii="Arial" w:cs="Arial" w:eastAsia="Arial" w:hAnsi="Arial"/>
                <w:sz w:val="16"/>
                <w:szCs w:val="16"/>
                <w:color w:val="auto"/>
                <w:w w:val="91"/>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9,737</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Ending balance, January 31,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(37,458)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(35,090)</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decrease in accumulated other comprehensive loss as of January 31, 2018, compared to July 31, 2017, was primarily due to the appreciation of certain other currencies against the U.S. dollar during the six-month period. The foreign currency translation adjustments column in the table above includes the impact of foreign currency translation, including foreign currency translation on long-term intercompany notes and net investment hedges, net of tax. Of the total $145 in amounts reclassified from accumulated other comprehensive loss, the $126 loss on cash flow hedges was reclassified into cost of products sold, and the $271 gain on post-retirement plans was reclassified into selling, general and administrative expenses on the condensed consolidated statement of earnings for the six months ended January 31, 2018.</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income tax benefit (expense) on the components of other comprehensive (loss) income for the three and six months ended January 31,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0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10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Income tax benefit (expense) related to items of other comprehensive income</w:t>
            </w:r>
          </w:p>
        </w:tc>
        <w:tc>
          <w:tcPr>
            <w:tcW w:w="1020" w:type="dxa"/>
            <w:vAlign w:val="bottom"/>
            <w:vMerge w:val="restart"/>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1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20" w:type="dxa"/>
            <w:vAlign w:val="bottom"/>
          </w:tcPr>
          <w:p>
            <w:pPr>
              <w:ind w:left="380"/>
              <w:spacing w:after="0"/>
              <w:rPr>
                <w:sz w:val="20"/>
                <w:szCs w:val="20"/>
                <w:color w:val="auto"/>
              </w:rPr>
            </w:pPr>
            <w:r>
              <w:rPr>
                <w:rFonts w:ascii="Arial" w:cs="Arial" w:eastAsia="Arial" w:hAnsi="Arial"/>
                <w:sz w:val="16"/>
                <w:szCs w:val="16"/>
                <w:color w:val="auto"/>
                <w:w w:val="94"/>
              </w:rPr>
              <w:t>Earnings (Numerator for basic and diluted Class A Nonvoting Common</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29,227</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59,864</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30,109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5"/>
              </w:rPr>
              <w:t>Numerator for basic and diluted earnings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29,227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59,036</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29,294</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w w:val="93"/>
              </w:rPr>
              <w:t>Denominator for basic earnings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52,532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51,698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52,366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51,569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0"/>
        </w:trPr>
        <w:tc>
          <w:tcPr>
            <w:tcW w:w="5120" w:type="dxa"/>
            <w:vAlign w:val="bottom"/>
          </w:tcPr>
          <w:p>
            <w:pPr>
              <w:ind w:left="380"/>
              <w:spacing w:after="0"/>
              <w:rPr>
                <w:sz w:val="20"/>
                <w:szCs w:val="20"/>
                <w:color w:val="auto"/>
              </w:rPr>
            </w:pPr>
            <w:r>
              <w:rPr>
                <w:rFonts w:ascii="Arial" w:cs="Arial" w:eastAsia="Arial" w:hAnsi="Arial"/>
                <w:sz w:val="16"/>
                <w:szCs w:val="16"/>
                <w:color w:val="auto"/>
                <w:w w:val="94"/>
              </w:rPr>
              <w:t>Denominator for diluted earnings per share for both Class A and Class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53,206</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52,719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53,082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52,551</w:t>
            </w:r>
          </w:p>
        </w:tc>
        <w:tc>
          <w:tcPr>
            <w:tcW w:w="0" w:type="dxa"/>
            <w:vAlign w:val="bottom"/>
          </w:tcPr>
          <w:p>
            <w:pPr>
              <w:spacing w:after="0"/>
              <w:rPr>
                <w:sz w:val="1"/>
                <w:szCs w:val="1"/>
                <w:color w:val="auto"/>
              </w:rPr>
            </w:pPr>
          </w:p>
        </w:tc>
      </w:tr>
      <w:tr>
        <w:trPr>
          <w:trHeight w:val="259"/>
        </w:trPr>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Options to purchase 272,922 and 705,069 shares of Class A Nonvoting Common Stock for the three months ended January 31, 2019 and 2018, respectively, and 476,412 and 721,100 shares for the six months ended January 31, 2019 and 2018, respectively, were not included in the computation of diluted net earnings per share because the option exercise price was greater than the average market price of the common shares and, therefore, the effect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H — Segment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taxes, and certain corporate administrative expenses are excluded when evaluating segment performance.</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segment and geographic region for the three and six months ended January 31,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40"/>
              <w:spacing w:after="0"/>
              <w:rPr>
                <w:sz w:val="20"/>
                <w:szCs w:val="20"/>
                <w:color w:val="auto"/>
              </w:rPr>
            </w:pPr>
            <w:r>
              <w:rPr>
                <w:rFonts w:ascii="Arial" w:cs="Arial" w:eastAsia="Arial" w:hAnsi="Arial"/>
                <w:sz w:val="16"/>
                <w:szCs w:val="16"/>
                <w:color w:val="auto"/>
              </w:rPr>
              <w:t>ID Solutions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273,209</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47,282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96,110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96,376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46,552</w:t>
            </w:r>
          </w:p>
        </w:tc>
        <w:tc>
          <w:tcPr>
            <w:tcW w:w="0" w:type="dxa"/>
            <w:vAlign w:val="bottom"/>
          </w:tcPr>
          <w:p>
            <w:pPr>
              <w:spacing w:after="0"/>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209,205</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206,432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427,304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416,137</w:t>
            </w:r>
          </w:p>
        </w:tc>
        <w:tc>
          <w:tcPr>
            <w:tcW w:w="0" w:type="dxa"/>
            <w:vAlign w:val="bottom"/>
          </w:tcPr>
          <w:p>
            <w:pPr>
              <w:spacing w:after="0"/>
              <w:rPr>
                <w:sz w:val="1"/>
                <w:szCs w:val="1"/>
                <w:color w:val="auto"/>
              </w:rPr>
            </w:pPr>
          </w:p>
        </w:tc>
      </w:tr>
      <w:tr>
        <w:trPr>
          <w:trHeight w:val="73"/>
        </w:trPr>
        <w:tc>
          <w:tcPr>
            <w:tcW w:w="5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Workplace Safety</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Americas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24,332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26,470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49,083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52,957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85,041</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Australia</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23,791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23,796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161,794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Total Company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326,166</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85,070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92,902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171,554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181,417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Asia-Pacific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70,348</w:t>
            </w:r>
          </w:p>
        </w:tc>
        <w:tc>
          <w:tcPr>
            <w:tcW w:w="0" w:type="dxa"/>
            <w:vAlign w:val="bottom"/>
          </w:tcPr>
          <w:p>
            <w:pPr>
              <w:spacing w:after="0"/>
              <w:rPr>
                <w:sz w:val="1"/>
                <w:szCs w:val="1"/>
                <w:color w:val="auto"/>
              </w:rPr>
            </w:pP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282,426</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287,780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575,622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577,931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profit for the three and six months ended January 31,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22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37,857</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79,419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69,925</w:t>
            </w: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13,500</w:t>
            </w:r>
          </w:p>
        </w:tc>
      </w:tr>
      <w:tr>
        <w:trPr>
          <w:trHeight w:val="217"/>
        </w:trPr>
        <w:tc>
          <w:tcPr>
            <w:tcW w:w="512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92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42,518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41,143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89,621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83,425</w:t>
            </w: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is a reconciliation of segment profit to earnings before income taxes for the three and six months ended January 31, 2019 and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42,518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83,425</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(13,218)</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1,272</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Earnings before income taxes</w:t>
            </w:r>
          </w:p>
        </w:tc>
        <w:tc>
          <w:tcPr>
            <w:tcW w:w="920" w:type="dxa"/>
            <w:vAlign w:val="bottom"/>
            <w:tcBorders>
              <w:top w:val="single" w:sz="8" w:color="auto"/>
            </w:tcBorders>
          </w:tcPr>
          <w:p>
            <w:pPr>
              <w:jc w:val="right"/>
              <w:ind w:right="737"/>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36,690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35,023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76,583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69,787</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I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Restricted and unrestricted shares and RSUs issued under the plan have a grant date fair value equal to the average of the high and low trading price of the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generally vest at the end of a three-year service period provided specified financial performance metrics are met.</w:t>
      </w:r>
    </w:p>
    <w:p>
      <w:pPr>
        <w:spacing w:after="0" w:line="1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January 31, 2019, the Company has reserved 2,392,904 shares of Class A Nonvoting Common Stock for outstanding stock options, RSUs, and restricted shares and 3,679,698 shares of Class A Nonvoting Common Stock remain for future issuance of stock options, RSUs, and restricted and unrestricted shares under the plan. The Company uses treasury stock or will issue new Class A Nonvoting Common Stock to deliver shares under the plan.</w:t>
      </w:r>
    </w:p>
    <w:p>
      <w:pPr>
        <w:spacing w:after="0" w:line="9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January 31, 2019 and 2018, was $3,603 ($3,150 net of taxes) and $2,153 ($1,614 net of taxes), respectively. Expense recognized during the six months ended January 31, 2019 and 2018, was $7,805 ($6,896 net of taxes) and $5,897 ($4,423 net of taxes), respectively.</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January 31, 2019, total unrecognized compensation cost related to stock-based compensation awards was $13,910 pre-tax, net of estimated forfeitures, which the Company expects to recognize over a weighted-average period of 1.9 years.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estimated the grant date fair value of its service-based stock option awards granted during the six months ended January 31, 2019 and 2018, using the Black-Scholes option valuation model. The weighted-average assumptions used in the Black-Scholes valuation model are reflected in the following table: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2018</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26.52%</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36.85</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36.85</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7.96</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2019,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2,504,633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276,238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43.96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(799,529)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(24,809)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1,956,533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26,750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January 31, 2019</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1,378,591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26.87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24,141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were 1,378,591 and 1,962,475 options exercisable with a weighted average exercise price of $26.87 and $26.61 at January 31, 2019 and 2018, respectively. The total intrinsic value of options exercised during the six months ended January 31, 2019 and 2018, based upon the average market price at the time of exercise during the period, was $13,394 and $2,935, respectively. The total fair value of stock options vested during the six months ended January 31, 2019 and 2018, was $2,849 and $3,004,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cash received from the exercise of options during the three months ended January 31, 2019 and 2018, was $5,179 and $6,699, respectively. The cash received from the exercise of options during the six months ended January 31, 2019, and 2018 was $17,317 and $9,948, respectively. The tax benefit on options exercised during the three months ended January 31, 2019 and 2018, was $993 and $512, respectively. The tax benefit on options exercised during the six months ended January 31, 2019 and 2018, was $3,349 and $895, respectively.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RSU activity under the Company's share-based compensation plans for the six months ended January 31, 2019:</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Grant Date Fair</w:t>
            </w:r>
          </w:p>
        </w:tc>
      </w:tr>
      <w:tr>
        <w:trPr>
          <w:trHeight w:val="210"/>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342,856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78,254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44.00</w:t>
            </w: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(24,228)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30.53</w:t>
            </w: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277,961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service-based RSUs granted during the six months ended January 31, 2018, had a weighted-average grant date fair value of $36.68 per share. The total fair value of service-based RSUs vested during the six months ended January 31, 2019 and 2018, was $5,125 and $5,002,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8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8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83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w:t>
            </w: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8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2018</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108,097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32.57</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50.70</w:t>
            </w:r>
          </w:p>
        </w:tc>
      </w:tr>
      <w:tr>
        <w:trPr>
          <w:trHeight w:val="33"/>
        </w:trPr>
        <w:tc>
          <w:tcPr>
            <w:tcW w:w="8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January 31, 2019</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158,410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38.33</w:t>
            </w: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performance-based RSUs granted during the six months ended January 31, 2018, had a weighted-average grant date fair value of $33.12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unvested service-based and performance-based RSUs outstanding at January 31, 2019, and expected to vest was $19,510.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J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January 31, 2019 and July 31, 2018,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January 31, 2019</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14,882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14,882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15,631</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2018</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15,460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K,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six months ended January 31, 2019. In addition, the Company had no significant measurements of assets or liabilities at fair value on a nonrecurring basis subsequent to their initial recognition during the six months ended January 31, 2019.</w:t>
      </w:r>
    </w:p>
    <w:p>
      <w:pPr>
        <w:spacing w:after="0" w:line="12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accounts payable, and other liabilities. The fair values of these financial instruments approximated carrying values because of their short-term nature.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estimated fair value of the Company’s short-term and long-term debt obligations based on the quoted market prices for similar issues and on the current rates offered for debt of similar maturities was $53,847 and $55,707 at January 31, 2019 and July 31, 2018, respectively, as compared to the carrying value of $51,610 and $52,618 at January 31, 2019 and July 31, 2018,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K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2019 and July 31, 2018, the notional amount of outstanding forward exchange contracts was $17,010 and $32,667, respectively.</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Euro, Canadian dollar, and Mexican peso. Generally, these risk management transactions will involve the use of foreign currency derivatives to minimize the impact of currency movements on non-functional currency transactions.</w:t>
      </w:r>
    </w:p>
    <w:p>
      <w:pPr>
        <w:spacing w:after="0" w:line="1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As of January 31, 2019 and 2018, unrealized gains of $887 and losses of $856 have been included in OCI, respectively. Balances are reclassified from OCI to earnings when the hedged transactions impact earnings. For the three months ended January 31, 2019 and 2018, the Company reclassified gains of $240 and losses of$158 from OCI into earnings, respectively. For the six months ended January 31, 2019 and 2018, the Company reclassified gains of $287 and losses of $182 from OCI into earnings, respectively. At January 31, 2019, the U.S. dollar equivalent of these outstanding forward foreign exchange contracts totaled $13,623, including contracts to sell Euros and Canadian dollars, and contracts to buy Mexican pesos.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April 30, 2017, €45 million of Euro-denominated senior unsecured notes were designated as net investment hedges to hedge portions of the Company's net investment in European operations. The Company’s foreign denominated debt obligations are valued under a market approach using publicized spot prices.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losses of $10 and $43 for the three and six months ended January 31, 2019, respectively, and losses of $2 and gains of $20 for the three and six months ended January 31, 2018, respectively, in “Investment and other income” on the condensed consolidated statements of earnings related to non-designated hedges.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23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January 31, 2019</w:t>
            </w: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7"/>
              </w:rPr>
              <w:t>July 31, 2018</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January 31, 2019</w:t>
            </w: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July 31, 2018</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currency</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Long term</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51,647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743</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51,647</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960" w:type="dxa"/>
            <w:vAlign w:val="bottom"/>
            <w:shd w:val="clear" w:color="auto" w:fill="CCEEFF"/>
          </w:tcPr>
          <w:p>
            <w:pPr>
              <w:ind w:left="40"/>
              <w:spacing w:after="0" w:line="106" w:lineRule="exact"/>
              <w:rPr>
                <w:sz w:val="20"/>
                <w:szCs w:val="20"/>
                <w:color w:val="auto"/>
              </w:rPr>
            </w:pPr>
            <w:r>
              <w:rPr>
                <w:rFonts w:ascii="Arial" w:cs="Arial" w:eastAsia="Arial" w:hAnsi="Arial"/>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L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January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October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772,943</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29,227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5,073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2,840</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7"/>
        </w:trPr>
        <w:tc>
          <w:tcPr>
            <w:tcW w:w="3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B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803,381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six months ended January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752,112</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59,864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59,864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19,804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15,137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 (Note I)</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7,805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7,805</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Cumulative adjustment for ASU 2014-09, net of</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tax (Note B)</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$0.43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(20,818)</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$0.41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January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328,978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803,381</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January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October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712,671</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16,972</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6,594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2,153</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$0.21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(10,004)</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$0.21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January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325,733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515,872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731,973</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six months ended January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Additional</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r>
      <w:tr>
        <w:trPr>
          <w:trHeight w:val="210"/>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322,608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700,140</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30,109</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gain,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9,592</w:t>
            </w: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 plan</w:t>
            </w:r>
          </w:p>
        </w:tc>
        <w:tc>
          <w:tcPr>
            <w:tcW w:w="1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7,817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Stock-based compensation expense (Note I)</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5,897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6"/>
                <w:szCs w:val="16"/>
                <w:color w:val="auto"/>
              </w:rPr>
              <w:t>Class A — $0.42 per share</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(19,967)</w:t>
            </w:r>
          </w:p>
        </w:tc>
      </w:tr>
      <w:tr>
        <w:trPr>
          <w:trHeight w:val="33"/>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$0.40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Balances at January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325,733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515,872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731,973</w:t>
            </w:r>
          </w:p>
        </w:tc>
      </w:tr>
      <w:tr>
        <w:trPr>
          <w:trHeight w:val="33"/>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income tax rates for the three and six months ended January 31, 2019, were 20.3% and 21.8%, respectively. The Company expects its ongoing annual effective income tax rate to be in the mid-20 percent range based on its current global business mix. The effective income tax rates for the three and six months ended January 31, 2019, were lower than the expected income tax rate due to the favorable settlement of a foreign income tax matter, partially offset by an increase in the valuation allowance against foreign tax credit carryforwards.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 income tax rates for the three and six months ended January 31, 2018, were 87.8% and 56.9%, respectively. The income tax rates were significantly impacted by the recognition of additional tax expense of $21,060 primarily due to the enactment of the Tax Cuts and Jobs Act (the "Tax Reform Act") passed in December 2017.</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Securities and Exchange Commission has issued rules that allowed for a measurement period of up to one year after the enactment date of the Tax Reform Act to finalize the recording of the related tax impacts. Provisional adjustments were recorded in the Company’s consolidated financial statements for the year ended July 31, 2018. No significant adjustments to the provisional amounts recorded during the year ended July 31, 2018, have been recognized for the six months ended January 31, 2019. For</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discussion on the impact of the Tax Reform Act, refer to Note 5 “Income Taxes” in the Company's Annual Report on Form 10-K for the year ended July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19, 2019, the Board of Directors declared a quarterly cash dividend to shareholders of the Company’s Class A and Class B Common Stock of $0.2125 per share payable on April 30, 2019, to shareholders of record at the close of business on April 9,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of which are externally sourced.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increasing investment in research and development ("R&amp;D") to develop new products. In our Workplace Safety ("WPS") business, our strategy for growth includes a focus on workplace safety critical industries, innovative new product offerings, compliance expertise, and improving our digital capabilities.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the strategy in fiscal 2019:</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Enhancing our innovation development process and the speed to deliver high-value, innovative products in alignment with our target markets.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Executing sustainable efficiency gains within our selling, general, and administrative structures as well as throughout our global operations by making investments in equipment and machinery to drive automation.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and enhancing our digital presence.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sales and marketing actions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global employee development process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2019 and 2018,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8"/>
          </w:tcPr>
          <w:p>
            <w:pPr>
              <w:ind w:left="580"/>
              <w:spacing w:after="0"/>
              <w:rPr>
                <w:sz w:val="20"/>
                <w:szCs w:val="20"/>
                <w:color w:val="auto"/>
              </w:rPr>
            </w:pPr>
            <w:r>
              <w:rPr>
                <w:rFonts w:ascii="Arial" w:cs="Arial" w:eastAsia="Arial" w:hAnsi="Arial"/>
                <w:sz w:val="16"/>
                <w:szCs w:val="16"/>
                <w:b w:val="1"/>
                <w:bCs w:val="1"/>
                <w:color w:val="auto"/>
                <w:w w:val="91"/>
              </w:rPr>
              <w:t>Three months ended January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gridSpan w:val="8"/>
          </w:tcPr>
          <w:p>
            <w:pPr>
              <w:ind w:left="40"/>
              <w:spacing w:after="0"/>
              <w:rPr>
                <w:sz w:val="20"/>
                <w:szCs w:val="20"/>
                <w:color w:val="auto"/>
              </w:rPr>
            </w:pPr>
            <w:r>
              <w:rPr>
                <w:rFonts w:ascii="Arial" w:cs="Arial" w:eastAsia="Arial" w:hAnsi="Arial"/>
                <w:sz w:val="16"/>
                <w:szCs w:val="16"/>
                <w:b w:val="1"/>
                <w:bCs w:val="1"/>
                <w:color w:val="auto"/>
                <w:w w:val="92"/>
              </w:rPr>
              <w:t>Six months ended January 31,</w:t>
            </w:r>
          </w:p>
        </w:tc>
        <w:tc>
          <w:tcPr>
            <w:tcW w:w="76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 Sales</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282,426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575,622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577,931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139,810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143,692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286,349</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289,757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11,074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22,400</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21,834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92,706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187,297</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197,716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7"/>
        </w:trPr>
        <w:tc>
          <w:tcPr>
            <w:tcW w:w="3740" w:type="dxa"/>
            <w:vAlign w:val="bottom"/>
          </w:tcPr>
          <w:p>
            <w:pPr>
              <w:ind w:left="11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103,780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209,697</w:t>
            </w:r>
          </w:p>
        </w:tc>
        <w:tc>
          <w:tcPr>
            <w:tcW w:w="60" w:type="dxa"/>
            <w:vAlign w:val="bottom"/>
            <w:tcBorders>
              <w:top w:val="single" w:sz="8" w:color="auto"/>
            </w:tcBorders>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219,550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76,652</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70,207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References in this Form 10-Q to “organic sales” refer to sales calculated in accordance with U.S. GAAP, excluding the impact of foreign currency translation and divestitures.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the Company's businesses and facilitating comparisons of sales performance with prior periods. All analytical commentary regarding the change in sales when compared to prior periods within the forthcoming sections are in reference to organic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for the three months ended January 31, 2019, decreased 1.9% to $282.4 million, compared to $287.8 million in the same period of the prior year. The decrease in sales consisted of organic sales growth of 2.3%, more than offset by a negative currency impact of 2.6% and divestiture impact of 1.6%. Organic sales grew 3.6% in the IDS segment and declined 0.9% in the WPS segment during the three months ended January 31, 2019, compared to the same period in the prior year. The IDS segment realized sales growth in the Product ID, Safety and Facility ID, and Wire ID product lines, partially offset by a decline in the Healthcare ID product line compared to the prior year. The WPS segment realized growth in digital channel sales offset by a decline in traditional catalog channel sales when compared to the same period in the prior year.</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Sales for the six months ended January 31, 2019, decreased 0.4% to $575.6 million, compared to $577.9 million in the same period of the prior year, which consisted of organic sales growth of 3.5%, more than offset by a negative currency impact of 2.2% and divestiture impact of 1.7%. Organic sales grew 4.6% in the IDS segment and 0.6% in the WPS segment during the six months ended January 31, 2019, compared to the same period in the prior year. The IDS segment realized sales growth in the Product ID, Safety and Facility ID, and Wire ID product lines, partially offset by a decline in the Healthcare ID product line compared to the prior year. The WPS segment realized growth in digital channel sales and remained essentially flat in traditional catalog channel sales when compared to the same period in the prior year.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margin decreased 2.7% to $139.8 million for the three months ended January 31, 2019, and 1.2% to $286.3 million for the six months ended January 31, 2019, compared to $143.7 million and $289.8 million in the same periods of the prior year, respectively. As a percentage of net sales, gross margin decreased to 49.5% for the three months ended January 31, 2019, and 49.7% for the six months ended January 31, 2019, from 49.9% and 50.1% in the same periods of the prior year, respectively. The decreases in gross margin as a percentage of net sales were primarily due to increased input costs such as freight and personnel costs which were partially mitigated by our on-going efforts to streamline manufacturing processes and drive operational efficiencies, including increased automation in our manufacturing facilities.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R&amp;D expenses for the three months ended January 31, 2019, decreased 2.1% to $11.1 million, compared to $11.3 million in the same period of the prior year, and increased 2.6% to $22.4 million for the six months ended January 31, 2019, compared to $21.8 million in the same period of the prior year. The decrease in the three-month period was due to the timing of expenditures on ongoing projects. The increase in the six-month period was due to a planned increase in investments in the development of new products, including increased investments in new software and printer updates within the IDS segment.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Selling, general and administrative expenses ("SG&amp;A") include selling and administrative costs directly attributed to the IDS and WPS segments, as well as certain other corporate administrative expenses including finance, information technology, human resources, and other administrative expenses. SG&amp;A decreased 5.0% to $92.7 million for the three months ended January 31, 2019, and 5.3% to $187.3 million for the six months ended January 31, 2019, compared to $97.6 million and $197.7 million in the same periods of the prior year, respectively. As a percentage of net sales, SG&amp;A decreased to 32.8% for the three months ended January 31, 2019, and 32.5% for the six months ended January 31, 2019, from 33.9% and 34.2% in the same periods of the prior year, respectively. Slightly less than half of the decreases in both the three and six-month periods were due to a favorable impact of foreign currency translation, and the remainder of the decreases were due to the impact of the sale of a business in the prior year and ongoing efficiency activities throughout our SG&amp;A functions.</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increased 3.5% to $36.0 million for the three months ended January 31, 2019, and 9.2% to $76.7 million for the six months ended January 31, 2019, compared to $34.8 million and $70.2 million in the same periods of the prior year, respectively. The increases in both the three and six-month periods were primarily due to increased organic sales and segment profit within our IDS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60" w:type="dxa"/>
            <w:vAlign w:val="bottom"/>
            <w:gridSpan w:val="7"/>
          </w:tcPr>
          <w:p>
            <w:pPr>
              <w:ind w:left="20"/>
              <w:spacing w:after="0"/>
              <w:rPr>
                <w:sz w:val="20"/>
                <w:szCs w:val="20"/>
                <w:color w:val="auto"/>
              </w:rPr>
            </w:pPr>
            <w:r>
              <w:rPr>
                <w:rFonts w:ascii="Arial" w:cs="Arial" w:eastAsia="Arial" w:hAnsi="Arial"/>
                <w:sz w:val="16"/>
                <w:szCs w:val="16"/>
                <w:b w:val="1"/>
                <w:bCs w:val="1"/>
                <w:color w:val="auto"/>
                <w:w w:val="92"/>
              </w:rPr>
              <w:t>Three months ended January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b w:val="1"/>
                <w:bCs w:val="1"/>
                <w:color w:val="auto"/>
                <w:w w:val="93"/>
              </w:rPr>
              <w:t>Six months ended January 31,</w:t>
            </w:r>
          </w:p>
        </w:tc>
        <w:tc>
          <w:tcPr>
            <w:tcW w:w="88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 Sales</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76,652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31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76,583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7,463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16,719</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39,678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59,864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Investment and other income was $1.4 million for both the three and six months ended January 31, 2019, compared to investment and other income of $1.1 million and $1.3 million in the same periods of the prior year, respectively. The increases in both the three and six-month periods were primarily due to an increase in investment income partially offset by a reduction in the market value of securities held in deferred compensation plans when compared to the same periods in the prior year.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$0.7 million from $0.8 million for the three months ended January 31, 2019, and decreased to $1.4 million from $1.7 million for the six months ended January 31, 2019, compared to the same periods in the prior year. For both the three and six-month periods, the decreases in interest expense were due to the Company's declining principal balances under its outstanding debt agreements.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income tax rate was 20.3% for the three months ended January 31, 2019, compared to 87.8% for the same period in the prior year. The income tax rate was 21.8% for the six months ended January 31, 2019, compared to 56.9% for the same period of the prior year. The decreases in the income tax rates were primarily due to the enactment of the Tax Reform Act during the prior period which resulted in $21.1 million of additional tax expense in the three and six-month periods ended January 31, 2018. Refer to Note M - Income Taxes for additional details regarding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30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January 31,</w:t>
            </w:r>
          </w:p>
        </w:tc>
        <w:tc>
          <w:tcPr>
            <w:tcW w:w="31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Six months ended January 31,</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00" w:type="dxa"/>
            <w:vAlign w:val="bottom"/>
            <w:gridSpan w:val="2"/>
          </w:tcPr>
          <w:p>
            <w:pPr>
              <w:ind w:left="5540"/>
              <w:spacing w:after="0"/>
              <w:rPr>
                <w:sz w:val="20"/>
                <w:szCs w:val="20"/>
                <w:color w:val="auto"/>
              </w:rPr>
            </w:pPr>
            <w:r>
              <w:rPr>
                <w:rFonts w:ascii="Arial" w:cs="Arial" w:eastAsia="Arial" w:hAnsi="Arial"/>
                <w:sz w:val="16"/>
                <w:szCs w:val="16"/>
                <w:b w:val="1"/>
                <w:bCs w:val="1"/>
                <w:color w:val="auto"/>
                <w:w w:val="95"/>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GROWTH INFORMATION</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9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37"/>
        </w:trPr>
        <w:tc>
          <w:tcPr>
            <w:tcW w:w="590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90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5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Divestitures</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4940" w:type="dxa"/>
            <w:vAlign w:val="bottom"/>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(10.0)%</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73"/>
        </w:trPr>
        <w:tc>
          <w:tcPr>
            <w:tcW w:w="494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380"/>
              <w:spacing w:after="0"/>
              <w:rPr>
                <w:sz w:val="20"/>
                <w:szCs w:val="20"/>
                <w:color w:val="auto"/>
              </w:rPr>
            </w:pPr>
            <w:r>
              <w:rPr>
                <w:rFonts w:ascii="Arial" w:cs="Arial" w:eastAsia="Arial" w:hAnsi="Arial"/>
                <w:sz w:val="16"/>
                <w:szCs w:val="16"/>
                <w:color w:val="auto"/>
              </w:rPr>
              <w:t>Organic</w:t>
            </w:r>
          </w:p>
        </w:tc>
        <w:tc>
          <w:tcPr>
            <w:tcW w:w="58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37"/>
        </w:trPr>
        <w:tc>
          <w:tcPr>
            <w:tcW w:w="5900" w:type="dxa"/>
            <w:vAlign w:val="bottom"/>
            <w:gridSpan w:val="2"/>
          </w:tcPr>
          <w:p>
            <w:pPr>
              <w:ind w:left="380"/>
              <w:spacing w:after="0"/>
              <w:rPr>
                <w:sz w:val="20"/>
                <w:szCs w:val="20"/>
                <w:color w:val="auto"/>
              </w:rPr>
            </w:pPr>
            <w:r>
              <w:rPr>
                <w:rFonts w:ascii="Arial" w:cs="Arial" w:eastAsia="Arial" w:hAnsi="Arial"/>
                <w:sz w:val="16"/>
                <w:szCs w:val="16"/>
                <w:color w:val="auto"/>
              </w:rPr>
              <w:t>Divestitures</w:t>
            </w: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NET SALES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16.8 %</w:t>
            </w:r>
          </w:p>
        </w:tc>
        <w:tc>
          <w:tcPr>
            <w:tcW w:w="0" w:type="dxa"/>
            <w:vAlign w:val="bottom"/>
          </w:tcPr>
          <w:p>
            <w:pPr>
              <w:spacing w:after="0"/>
              <w:rPr>
                <w:sz w:val="1"/>
                <w:szCs w:val="1"/>
                <w:color w:val="auto"/>
              </w:rPr>
            </w:pPr>
          </w:p>
        </w:tc>
      </w:tr>
      <w:tr>
        <w:trPr>
          <w:trHeight w:val="237"/>
        </w:trPr>
        <w:tc>
          <w:tcPr>
            <w:tcW w:w="5900" w:type="dxa"/>
            <w:vAlign w:val="bottom"/>
            <w:gridSpan w:val="2"/>
          </w:tcPr>
          <w:p>
            <w:pPr>
              <w:ind w:left="380"/>
              <w:spacing w:after="0"/>
              <w:rPr>
                <w:sz w:val="20"/>
                <w:szCs w:val="20"/>
                <w:color w:val="auto"/>
              </w:rPr>
            </w:pPr>
            <w:r>
              <w:rPr>
                <w:rFonts w:ascii="Arial" w:cs="Arial" w:eastAsia="Arial" w:hAnsi="Arial"/>
                <w:sz w:val="16"/>
                <w:szCs w:val="16"/>
                <w:color w:val="auto"/>
              </w:rPr>
              <w:t>Workplace Safety</w:t>
            </w:r>
          </w:p>
        </w:tc>
        <w:tc>
          <w:tcPr>
            <w:tcW w:w="58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IDS sales increased 1.3% and 2.7% for the three and six months ended January 31, 2019, respectively, compared to the same periods in the prior year. Organic sales increased 3.6% and 4.6% for the three and six months ended January 31, 2019, respectively, compared to the same periods in the prior year. Foreign currency translation decreased sales by 2.3% and 1.9% for the three and six months ended January 31, 2019, compared to the same periods in the prior year.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grew in the mid-single digits for both the three and six months ended January 31, 2019, compared to the same periods in the prior year. Organic sales growth in the IDS Americas region for the three and six-month periods was driven by the Safety and Facility ID, Wire ID, and Product ID product lines, partially offset by a decline in the Healthcare ID product line. Organic sales grew in the mid-single digits in both the United States and the rest of the Americas for the three and six-month periods; in particular, increased printer and consumables sales throughout the region was a primary driver of the organic sales growth.</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grew in the low-single and mid-single digits for the three and six months ended January 31, 2019, respectively, compared to the same periods in the prior year. The IDS Europe region realized organic sales growth in the Safety and Facility ID, Wire ID, and Product ID product lines for both the three and six months ended January 31, 2019, compared to the same periods in the prior year. Organic sales growth was led by businesses based in emerging geographies for both the three and six months ended January 31, 2019, and supplemented by businesses based in Western Europe for the six-month period.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Asia grew in the mid-single digits for both the three and six months ended January 31, 2019, compared to the same periods in the prior year. The IDS Asia region realized organic sales growth in the Product ID, Wire ID, and Safety and Facility ID product lines for both the three and six months ended January 31, 2019, compared to the same periods in the prior year. Organic sales in both the three and six-month periods were led by our businesses outside of China. Within China, organic sales grew in the low-single digits for both the three and six-month periods.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Segment profit increased to $37.9 million and $79.4 million for the three and six months ended January 31, 2019, respectively, compared to $34.1 million and $69.9 million in the same periods in the prior year. As a percentage of net sales, segment profit increased to 18.1% and 18.6% for the three and six months ended January 31, 2019, respectively, from 16.5% and 16.8% in the same periods of the prior year. The increases in segment profit for both the three and six-month periods were driven by increased organic sales and efficiency gains throughout SG&amp;A.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WPS sales decreased 10.0% and 8.3% for the three and six months ended January 31, 2019, respectively, compared to the same periods in the prior year. Organic sales declined 0.9% and increased 0.6% in the three and six months ended January 31, 2019, respectively, compared to the same periods in the prior year. Foreign currency translation decreased sales by 3.3% and 2.9% for the three and six months ended January 31, 2019, respectively, compared to the same periods in the prior year. The divestiture of a business resulted in decreased sales of 5.8% and 6.0% for the three and six months ended January 31, 2019, respectively, compared to the same periods in the prior year. Digital channel sales realized low-single digit growth for both the three and six months ended January 31, 2019, when compared to the same periods in the prior year. Traditional catalog channel sales declined in the low-single digits and remained essentially flat for the three and six months ended January 31, 2019, respectively, when compared to the same periods in the prior year.</w:t>
      </w:r>
    </w:p>
    <w:p>
      <w:pPr>
        <w:spacing w:after="0" w:line="11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WPS business in Europe realized low-single digit organic sales growth for the three and six months ended January 31, 2019, compared to the same periods in the prior year. The organic sales growth in the six-month period was driven primarily by businesses in France, the U.K., and Germany due to improvements in website functionality, growth in new customers, and key account management. Businesses in France primarily drove the growth in the three-month period. WPS Europe experienced nearly 12% growth in digital channel sales and traditional catalog sales remained essentially flat during the three and six months ended January 31, 2019, compared to the same periods in the prior year.</w:t>
      </w:r>
    </w:p>
    <w:p>
      <w:pPr>
        <w:spacing w:after="0" w:line="2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Organic sales in the Americas decreased in the high-single digits for the three and six months ended January 31, 2019, compared to the same periods in the prior year. Traditional catalog channel sales declined in the mid-single digits for both the three and six months ended January 31, 2019, compared to the same periods in the prior year. These declines were primarily in the U.S. due to lower response rates to catalog promotions. WPS Americas continued to experience the negative impact of the digital platform implemented in the prior year. As a result of this decrease in digital sales for both the three and six months ended January 31, 2019, compared to the same periods in the prior year, the Company transitioned to a new digital platform toward the end of the three months ended January 31,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Organic sales in Australia grew in the mid-single and high-single digits in both the digital and traditional catalog channel for the three and six months ended January 31, 2019, respectively, compared to the same periods in the prior year. The Australian business is growing its customer base, and its diversified product offering continues to expand into additional target markets such as commercial and industrial construction.</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Segment profit decreased to $4.7 million from $7.1 million for the three months ended January 31, 2019, and to $10.2 million from $13.5 million for the six months ended January 31, 2019, compared to the same periods in the prior year. As a percentage of sales, segment profit decreased to 6.4% from 8.7% for the three months ended January 31, 2019, and to 6.9% from 8.3% for the six months ended January 31, 2019, compared to the same periods in the prior year. The decreases in segment profit were due to increased costs incurred to transition to a new digital platform during the current three-month period, as well as the divestiture of a business in the prior period, foreign currency translation, and the decrease in sales volumes in the North American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$20.8 million and decreased $18.6 million during the six months ended January 31, 2019 and 2018,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44,188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42,460</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(53,642)</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1,763</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20,782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(18,617)</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was $44.2 million for the six months ended January 31, 2019, compared to $42.5 million in the same period of the prior year. The change was driven by an increase in net earnings adjusted for non-cash items, which was partially offset by an increase in cash used by working capital in support of growth when compared to the same period in the prior year.</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was $12.6 million for the six months ended January 31, 2019, compared to $9.2 million in the same period of the prior year. The increase in cash used in investing activities was driven by an increase in capital expenditures for the purchase of manufacturing equipment and facility upgrades primarily in the U.S.-based businesses.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$10.1 million during the six months ended January 31, 2019, compared to $53.6 million in the same period of the prior year. The change was primarily due to a decrease of $39.9 million in net credit facility repayments and an increase of $7.4 million in proceeds from stock option exercises when compared to the same period in the prior year.</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September 25, 2015, the Company and certain of its subsidiaries entered into an unsecured $300 million multi-currency revolving loan agreement with a group of six banks. At the Company's option, and subject to certain conditions, the available amount under the revolving loan agreement may be increased from $300 million to $450 million. As of January 31, 2019, there were no borrowings outstanding on the credit facility, and the maximum outstanding balance during the six months ended January 31, 2019, was $5.7 million. The Company also had letters of credit outstanding under the loan agreement of $3.0 million as of January 31, 2019, and there was $297.0 million available for future borrowing, which can be increased to $447.0 million at the Company's option, subject to certain conditions. The revolving loan agreement has a final maturity date of September 25, 2020. As such, the borrowing is included in "Long-term obligations" on the condensed consolidated balance sheets.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debt agreements require it to maintain certain financial covenants, including a ratio of debt to the trailing 12 months EBITDA, as defined in the debt agreements, of not more than a 3.25 to 1.0 ratio (leverage ratio) and the trailing 12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EBITDA to interest expense of not less than a 3.0 to 1.0 ratio (interest expense coverage). As of January 31, 2019, the Company was in compliance with these financial covenants, with the leverage ratio, as defined by the agreements, equal to 0.3 to 1.0 and the interest expense coverage ratio equal to 66.6 to 1.0.</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2019, approximately 62%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our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our 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retain large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 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execute facility consolidations and maintain acceptable operational service metrics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U.S. Tax Reform Act and any other 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meet certain financial covenants required by our debt agreements</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2018. There has been no material change in this information since July 31,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The Company repurchased 32,771 shares at an average price of $40.24 per share during the three months ended January 31, 2019. As of January 31, 2019, there were 1,879,218 shares authorized to purchase in connection with this share repurchase program.</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 of Class A Nonvoting Common Stock during the three months ended January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of Shares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Purchased As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Shares That</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Part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Publicly</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of Shares</w:t>
            </w:r>
          </w:p>
        </w:tc>
        <w:tc>
          <w:tcPr>
            <w:tcW w:w="122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Announced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w:t>
            </w:r>
          </w:p>
        </w:tc>
      </w:tr>
      <w:tr>
        <w:trPr>
          <w:trHeight w:val="210"/>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Purchased</w:t>
            </w: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Plans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1, 2018 - November 30, 2018</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1,911,989</w:t>
            </w:r>
          </w:p>
        </w:tc>
      </w:tr>
      <w:tr>
        <w:trPr>
          <w:trHeight w:val="23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December 1, 2018 - December 31, 2018</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32,771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32,771</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1,879,218</w:t>
            </w:r>
          </w:p>
        </w:tc>
      </w:tr>
      <w:tr>
        <w:trPr>
          <w:trHeight w:val="33"/>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2019 - January 31, 2019</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1,879,218</w:t>
            </w:r>
          </w:p>
        </w:tc>
      </w:tr>
      <w:tr>
        <w:trPr>
          <w:trHeight w:val="244"/>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32,771</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32,771</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1,879,218</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31">
        <w:r>
          <w:rPr>
            <w:rFonts w:ascii="Arial" w:cs="Arial" w:eastAsia="Arial" w:hAnsi="Arial"/>
            <w:sz w:val="16"/>
            <w:szCs w:val="16"/>
            <w:u w:val="single" w:color="auto"/>
            <w:color w:val="0000FF"/>
          </w:rPr>
          <w:t>Rule 13a-14(a)/15d-14(a)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32">
        <w:r>
          <w:rPr>
            <w:rFonts w:ascii="Arial" w:cs="Arial" w:eastAsia="Arial" w:hAnsi="Arial"/>
            <w:sz w:val="16"/>
            <w:szCs w:val="16"/>
            <w:u w:val="single" w:color="auto"/>
            <w:color w:val="0000FF"/>
          </w:rPr>
          <w:t>Rule 13a-14(a)/15d-14(a) Certification of Aaron J. Pearce</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33">
        <w:r>
          <w:rPr>
            <w:rFonts w:ascii="Arial" w:cs="Arial" w:eastAsia="Arial" w:hAnsi="Arial"/>
            <w:sz w:val="16"/>
            <w:szCs w:val="16"/>
            <w:u w:val="single" w:color="auto"/>
            <w:color w:val="0000FF"/>
          </w:rPr>
          <w:t>Section 1350 Certification of J. Michael Nauman</w:t>
        </w:r>
      </w:hyperlink>
    </w:p>
    <w:p>
      <w:pPr>
        <w:spacing w:after="0" w:line="387" w:lineRule="exact"/>
        <w:rPr>
          <w:sz w:val="20"/>
          <w:szCs w:val="20"/>
          <w:color w:val="auto"/>
        </w:rPr>
      </w:pPr>
    </w:p>
    <w:p>
      <w:pPr>
        <w:ind w:left="40"/>
        <w:spacing w:after="0"/>
        <w:tabs>
          <w:tab w:leader="none" w:pos="58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4">
        <w:r>
          <w:rPr>
            <w:rFonts w:ascii="Arial" w:cs="Arial" w:eastAsia="Arial" w:hAnsi="Arial"/>
            <w:sz w:val="16"/>
            <w:szCs w:val="16"/>
            <w:u w:val="single" w:color="auto"/>
            <w:color w:val="0000FF"/>
          </w:rPr>
          <w:t>Section 1350 Certification of Aaron J. Pearce</w:t>
        </w:r>
      </w:hyperlink>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jc w:val="center"/>
              <w:ind w:right="3390"/>
              <w:spacing w:after="0"/>
              <w:rPr>
                <w:sz w:val="20"/>
                <w:szCs w:val="20"/>
                <w:color w:val="auto"/>
              </w:rPr>
            </w:pPr>
            <w:r>
              <w:rPr>
                <w:rFonts w:ascii="Arial" w:cs="Arial" w:eastAsia="Arial" w:hAnsi="Arial"/>
                <w:sz w:val="18"/>
                <w:szCs w:val="18"/>
                <w:color w:val="auto"/>
                <w:w w:val="93"/>
              </w:rPr>
              <w:t>SIGNATURES</w:t>
            </w:r>
          </w:p>
        </w:tc>
      </w:tr>
      <w:tr>
        <w:trPr>
          <w:trHeight w:val="378"/>
        </w:trPr>
        <w:tc>
          <w:tcPr>
            <w:tcW w:w="3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440" w:type="dxa"/>
            <w:vAlign w:val="bottom"/>
          </w:tcPr>
          <w:p>
            <w:pPr>
              <w:spacing w:after="0"/>
              <w:rPr>
                <w:sz w:val="20"/>
                <w:szCs w:val="20"/>
                <w:color w:val="auto"/>
              </w:rPr>
            </w:pPr>
            <w:r>
              <w:rPr>
                <w:rFonts w:ascii="Arial" w:cs="Arial" w:eastAsia="Arial" w:hAnsi="Arial"/>
                <w:sz w:val="18"/>
                <w:szCs w:val="18"/>
                <w:color w:val="auto"/>
              </w:rPr>
              <w:t>Date: February 21, 2019</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February 21, 2019</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44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30</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2019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2019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2019-12-28T16:14:16Z</dcterms:created>
  <dcterms:modified xsi:type="dcterms:W3CDTF">2019-12-28T16:14:16Z</dcterms:modified>
</cp:coreProperties>
</file>