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6992620" cy="58464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846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Gorman Andrew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6555 W.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BRC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11/25/2025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3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General Counsel&amp;Corp Secretary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9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   WI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53223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7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11/25/2025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6,469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49.79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20,622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11/25/2025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6,469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7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3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80.01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14,153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11/25/2025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6,059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43.5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20,212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11/25/2025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6,059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7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3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80.01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14,153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1"/>
          </w:tcPr>
          <w:p>
            <w:pPr>
              <w:jc w:val="center"/>
              <w:ind w:lef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6,469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49.79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13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11/25/2025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6,469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09/16/2031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6,059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43.5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13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11/25/2025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6,059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09/19/2032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-2461260</wp:posOffset>
            </wp:positionV>
            <wp:extent cx="29210" cy="24663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466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sold in multiple transactions at $80.01.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options exercisable one third each year for the three years subsequent to the grant date.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Heidi Knueppel,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-1270</wp:posOffset>
            </wp:positionV>
            <wp:extent cx="12769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9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84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11/26/2025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-1270</wp:posOffset>
            </wp:positionV>
            <wp:extent cx="4845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20" w:space="18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08903" TargetMode="External"/><Relationship Id="rId14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2025-11-26T11:47:30Z</dcterms:created>
  <dcterms:modified xsi:type="dcterms:W3CDTF">2025-11-26T11:47:30Z</dcterms:modified>
</cp:coreProperties>
</file>