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64770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840" w:right="380" w:hanging="1184"/>
        <w:spacing w:after="0" w:line="256" w:lineRule="auto"/>
        <w:tabs>
          <w:tab w:leader="none" w:pos="18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89" w:lineRule="exact"/>
        <w:rPr>
          <w:rFonts w:ascii="MS PGothic" w:cs="MS PGothic" w:eastAsia="MS PGothic" w:hAnsi="MS PGothic"/>
          <w:sz w:val="22"/>
          <w:szCs w:val="22"/>
          <w:color w:val="auto"/>
        </w:rPr>
      </w:pPr>
    </w:p>
    <w:p>
      <w:pPr>
        <w:ind w:left="18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July 31, 2005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0"/>
          <w:szCs w:val="20"/>
          <w:color w:val="auto"/>
        </w:rPr>
      </w:pPr>
    </w:p>
    <w:p>
      <w:pPr>
        <w:ind w:left="1840" w:right="1240" w:hanging="1143"/>
        <w:spacing w:after="0" w:line="256" w:lineRule="auto"/>
        <w:tabs>
          <w:tab w:leader="none" w:pos="18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0"/>
          <w:szCs w:val="20"/>
          <w:color w:val="auto"/>
        </w:rPr>
      </w:pPr>
    </w:p>
    <w:p>
      <w:pPr>
        <w:ind w:left="1840"/>
        <w:spacing w:after="0"/>
        <w:tabs>
          <w:tab w:leader="none" w:pos="52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85725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charter)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6"/>
              </w:rPr>
              <w:t>Wisconsin</w:t>
            </w:r>
          </w:p>
        </w:tc>
        <w:tc>
          <w:tcPr>
            <w:tcW w:w="4840" w:type="dxa"/>
            <w:vAlign w:val="bottom"/>
          </w:tcPr>
          <w:p>
            <w:pPr>
              <w:jc w:val="right"/>
              <w:ind w:right="1994"/>
              <w:spacing w:after="0"/>
              <w:rPr>
                <w:sz w:val="20"/>
                <w:szCs w:val="20"/>
                <w:color w:val="auto"/>
              </w:rPr>
            </w:pPr>
            <w:r>
              <w:rPr>
                <w:rFonts w:ascii="Arial" w:cs="Arial" w:eastAsia="Arial" w:hAnsi="Arial"/>
                <w:sz w:val="18"/>
                <w:szCs w:val="18"/>
                <w:b w:val="1"/>
                <w:bCs w:val="1"/>
                <w:color w:val="auto"/>
              </w:rPr>
              <w:t>39-0178960</w:t>
            </w:r>
          </w:p>
        </w:tc>
      </w:tr>
      <w:tr>
        <w:trPr>
          <w:trHeight w:val="216"/>
        </w:trPr>
        <w:tc>
          <w:tcPr>
            <w:tcW w:w="658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3"/>
              </w:rPr>
              <w:t>(State or other jurisdiction of</w:t>
            </w:r>
          </w:p>
        </w:tc>
        <w:tc>
          <w:tcPr>
            <w:tcW w:w="4840" w:type="dxa"/>
            <w:vAlign w:val="bottom"/>
          </w:tcPr>
          <w:p>
            <w:pPr>
              <w:jc w:val="center"/>
              <w:ind w:right="74"/>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658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4"/>
              </w:rPr>
              <w:t>incorporation or organization)</w:t>
            </w:r>
          </w:p>
        </w:tc>
        <w:tc>
          <w:tcPr>
            <w:tcW w:w="4840" w:type="dxa"/>
            <w:vAlign w:val="bottom"/>
          </w:tcPr>
          <w:p>
            <w:pPr>
              <w:spacing w:after="0"/>
              <w:rPr>
                <w:sz w:val="20"/>
                <w:szCs w:val="20"/>
                <w:color w:val="auto"/>
              </w:rPr>
            </w:pPr>
          </w:p>
        </w:tc>
      </w:tr>
      <w:tr>
        <w:trPr>
          <w:trHeight w:val="29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6555 West Good Hope Road,</w:t>
            </w:r>
          </w:p>
        </w:tc>
      </w:tr>
      <w:tr>
        <w:trPr>
          <w:trHeight w:val="216"/>
        </w:trPr>
        <w:tc>
          <w:tcPr>
            <w:tcW w:w="6580" w:type="dxa"/>
            <w:vAlign w:val="bottom"/>
            <w:gridSpan w:val="3"/>
          </w:tcPr>
          <w:p>
            <w:pPr>
              <w:jc w:val="center"/>
              <w:ind w:left="4773"/>
              <w:spacing w:after="0"/>
              <w:rPr>
                <w:sz w:val="20"/>
                <w:szCs w:val="20"/>
                <w:color w:val="auto"/>
              </w:rPr>
            </w:pPr>
            <w:r>
              <w:rPr>
                <w:rFonts w:ascii="Arial" w:cs="Arial" w:eastAsia="Arial" w:hAnsi="Arial"/>
                <w:sz w:val="18"/>
                <w:szCs w:val="18"/>
                <w:b w:val="1"/>
                <w:bCs w:val="1"/>
                <w:color w:val="auto"/>
                <w:w w:val="94"/>
              </w:rPr>
              <w:t>Milwaukee, WI 53223</w:t>
            </w:r>
          </w:p>
        </w:tc>
        <w:tc>
          <w:tcPr>
            <w:tcW w:w="4840" w:type="dxa"/>
            <w:vAlign w:val="bottom"/>
          </w:tcPr>
          <w:p>
            <w:pPr>
              <w:spacing w:after="0"/>
              <w:rPr>
                <w:sz w:val="18"/>
                <w:szCs w:val="18"/>
                <w:color w:val="auto"/>
              </w:rPr>
            </w:pPr>
          </w:p>
        </w:tc>
      </w:tr>
      <w:tr>
        <w:trPr>
          <w:trHeight w:val="182"/>
        </w:trPr>
        <w:tc>
          <w:tcPr>
            <w:tcW w:w="6580" w:type="dxa"/>
            <w:vAlign w:val="bottom"/>
            <w:gridSpan w:val="3"/>
          </w:tcPr>
          <w:p>
            <w:pPr>
              <w:ind w:left="4200"/>
              <w:spacing w:after="0"/>
              <w:rPr>
                <w:sz w:val="20"/>
                <w:szCs w:val="20"/>
                <w:color w:val="auto"/>
              </w:rPr>
            </w:pPr>
            <w:r>
              <w:rPr>
                <w:rFonts w:ascii="Arial" w:cs="Arial" w:eastAsia="Arial" w:hAnsi="Arial"/>
                <w:sz w:val="14"/>
                <w:szCs w:val="14"/>
                <w:i w:val="1"/>
                <w:iCs w:val="1"/>
                <w:color w:val="auto"/>
                <w:w w:val="98"/>
              </w:rPr>
              <w:t>(Address of principal executive offices)</w:t>
            </w:r>
          </w:p>
        </w:tc>
        <w:tc>
          <w:tcPr>
            <w:tcW w:w="4840" w:type="dxa"/>
            <w:vAlign w:val="bottom"/>
          </w:tcPr>
          <w:p>
            <w:pPr>
              <w:ind w:left="20"/>
              <w:spacing w:after="0"/>
              <w:rPr>
                <w:sz w:val="20"/>
                <w:szCs w:val="20"/>
                <w:color w:val="auto"/>
              </w:rPr>
            </w:pPr>
            <w:r>
              <w:rPr>
                <w:rFonts w:ascii="Arial" w:cs="Arial" w:eastAsia="Arial" w:hAnsi="Arial"/>
                <w:sz w:val="14"/>
                <w:szCs w:val="14"/>
                <w:i w:val="1"/>
                <w:iCs w:val="1"/>
                <w:color w:val="auto"/>
              </w:rPr>
              <w:t>(Zip Code)</w:t>
            </w:r>
          </w:p>
        </w:tc>
      </w:tr>
      <w:tr>
        <w:trPr>
          <w:trHeight w:val="277"/>
        </w:trPr>
        <w:tc>
          <w:tcPr>
            <w:tcW w:w="6580" w:type="dxa"/>
            <w:vAlign w:val="bottom"/>
            <w:gridSpan w:val="3"/>
          </w:tcPr>
          <w:p>
            <w:pPr>
              <w:jc w:val="center"/>
              <w:ind w:left="4773"/>
              <w:spacing w:after="0"/>
              <w:rPr>
                <w:sz w:val="20"/>
                <w:szCs w:val="20"/>
                <w:color w:val="auto"/>
              </w:rPr>
            </w:pPr>
            <w:r>
              <w:rPr>
                <w:rFonts w:ascii="Arial" w:cs="Arial" w:eastAsia="Arial" w:hAnsi="Arial"/>
                <w:sz w:val="18"/>
                <w:szCs w:val="18"/>
                <w:b w:val="1"/>
                <w:bCs w:val="1"/>
                <w:color w:val="auto"/>
                <w:w w:val="90"/>
              </w:rPr>
              <w:t>(414) 358-6600</w:t>
            </w:r>
          </w:p>
        </w:tc>
        <w:tc>
          <w:tcPr>
            <w:tcW w:w="4840" w:type="dxa"/>
            <w:vAlign w:val="bottom"/>
          </w:tcPr>
          <w:p>
            <w:pPr>
              <w:spacing w:after="0"/>
              <w:rPr>
                <w:sz w:val="24"/>
                <w:szCs w:val="24"/>
                <w:color w:val="auto"/>
              </w:rPr>
            </w:pPr>
          </w:p>
        </w:tc>
      </w:tr>
      <w:tr>
        <w:trPr>
          <w:trHeight w:val="182"/>
        </w:trPr>
        <w:tc>
          <w:tcPr>
            <w:tcW w:w="11420" w:type="dxa"/>
            <w:vAlign w:val="bottom"/>
            <w:gridSpan w:val="4"/>
          </w:tcPr>
          <w:p>
            <w:pPr>
              <w:jc w:val="center"/>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282"/>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84"/>
        </w:trPr>
        <w:tc>
          <w:tcPr>
            <w:tcW w:w="65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7"/>
              </w:rPr>
              <w:t>Title of each class</w:t>
            </w:r>
          </w:p>
        </w:tc>
        <w:tc>
          <w:tcPr>
            <w:tcW w:w="4840" w:type="dxa"/>
            <w:vAlign w:val="bottom"/>
          </w:tcPr>
          <w:p>
            <w:pPr>
              <w:jc w:val="center"/>
              <w:ind w:right="434"/>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8"/>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Nonvoting Common Stock, Par Value $.01 per share</w:t>
            </w:r>
          </w:p>
        </w:tc>
        <w:tc>
          <w:tcPr>
            <w:tcW w:w="3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840" w:type="dxa"/>
            <w:vAlign w:val="bottom"/>
            <w:tcBorders>
              <w:top w:val="single" w:sz="8" w:color="auto"/>
            </w:tcBorders>
          </w:tcPr>
          <w:p>
            <w:pPr>
              <w:jc w:val="center"/>
              <w:ind w:right="434"/>
              <w:spacing w:after="0"/>
              <w:rPr>
                <w:sz w:val="20"/>
                <w:szCs w:val="20"/>
                <w:color w:val="auto"/>
              </w:rPr>
            </w:pPr>
            <w:r>
              <w:rPr>
                <w:rFonts w:ascii="Arial" w:cs="Arial" w:eastAsia="Arial" w:hAnsi="Arial"/>
                <w:sz w:val="18"/>
                <w:szCs w:val="18"/>
                <w:b w:val="1"/>
                <w:bCs w:val="1"/>
                <w:color w:val="auto"/>
                <w:w w:val="90"/>
              </w:rPr>
              <w:t>New York Stock Exchange</w:t>
            </w:r>
          </w:p>
        </w:tc>
      </w:tr>
      <w:tr>
        <w:trPr>
          <w:trHeight w:val="287"/>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12(g) of the Act:</w:t>
            </w:r>
          </w:p>
        </w:tc>
      </w:tr>
      <w:tr>
        <w:trPr>
          <w:trHeight w:val="234"/>
        </w:trPr>
        <w:tc>
          <w:tcPr>
            <w:tcW w:w="6580" w:type="dxa"/>
            <w:vAlign w:val="bottom"/>
            <w:gridSpan w:val="3"/>
          </w:tcPr>
          <w:p>
            <w:pPr>
              <w:jc w:val="center"/>
              <w:ind w:left="4773"/>
              <w:spacing w:after="0"/>
              <w:rPr>
                <w:sz w:val="20"/>
                <w:szCs w:val="20"/>
                <w:color w:val="auto"/>
              </w:rPr>
            </w:pPr>
            <w:r>
              <w:rPr>
                <w:rFonts w:ascii="Arial" w:cs="Arial" w:eastAsia="Arial" w:hAnsi="Arial"/>
                <w:sz w:val="18"/>
                <w:szCs w:val="18"/>
                <w:b w:val="1"/>
                <w:bCs w:val="1"/>
                <w:color w:val="auto"/>
                <w:w w:val="88"/>
              </w:rPr>
              <w:t>None</w:t>
            </w:r>
          </w:p>
        </w:tc>
        <w:tc>
          <w:tcPr>
            <w:tcW w:w="4840" w:type="dxa"/>
            <w:vAlign w:val="bottom"/>
          </w:tcPr>
          <w:p>
            <w:pPr>
              <w:spacing w:after="0"/>
              <w:rPr>
                <w:sz w:val="20"/>
                <w:szCs w:val="20"/>
                <w:color w:val="auto"/>
              </w:rPr>
            </w:pPr>
          </w:p>
        </w:tc>
      </w:tr>
    </w:tbl>
    <w:p>
      <w:pPr>
        <w:spacing w:after="0" w:line="40" w:lineRule="exact"/>
        <w:rPr>
          <w:sz w:val="20"/>
          <w:szCs w:val="20"/>
          <w:color w:val="auto"/>
        </w:rPr>
      </w:pPr>
    </w:p>
    <w:p>
      <w:pPr>
        <w:ind w:right="20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 w:lineRule="exact"/>
        <w:rPr>
          <w:sz w:val="20"/>
          <w:szCs w:val="20"/>
          <w:color w:val="auto"/>
        </w:rPr>
      </w:pPr>
    </w:p>
    <w:p>
      <w:pPr>
        <w:jc w:val="both"/>
        <w:ind w:right="100" w:firstLine="270"/>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ectPr>
          <w:pgSz w:w="11900" w:h="16838" w:orient="portrait"/>
          <w:cols w:equalWidth="0" w:num="1">
            <w:col w:w="11420"/>
          </w:cols>
          <w:pgMar w:left="240" w:top="122" w:right="239" w:bottom="1440" w:gutter="0" w:footer="0" w:header="0"/>
        </w:sectPr>
      </w:pPr>
    </w:p>
    <w:p>
      <w:pPr>
        <w:spacing w:after="0" w:line="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Act).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No o</w:t>
      </w:r>
    </w:p>
    <w:p>
      <w:pPr>
        <w:spacing w:after="0" w:line="55" w:lineRule="exact"/>
        <w:rPr>
          <w:sz w:val="20"/>
          <w:szCs w:val="20"/>
          <w:color w:val="auto"/>
        </w:rPr>
      </w:pPr>
    </w:p>
    <w:p>
      <w:pPr>
        <w:sectPr>
          <w:pgSz w:w="11900" w:h="16838" w:orient="portrait"/>
          <w:cols w:equalWidth="0" w:num="3">
            <w:col w:w="7880" w:space="220"/>
            <w:col w:w="480" w:space="440"/>
            <w:col w:w="2400"/>
          </w:cols>
          <w:pgMar w:left="240" w:top="122" w:right="239" w:bottom="1440" w:gutter="0" w:footer="0" w:header="0"/>
          <w:type w:val="continuous"/>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5" w:lineRule="exact"/>
        <w:rPr>
          <w:sz w:val="20"/>
          <w:szCs w:val="20"/>
          <w:color w:val="auto"/>
        </w:rPr>
      </w:pPr>
    </w:p>
    <w:p>
      <w:pPr>
        <w:sectPr>
          <w:pgSz w:w="11900" w:h="16838" w:orient="portrait"/>
          <w:cols w:equalWidth="0" w:num="3">
            <w:col w:w="7700" w:space="200"/>
            <w:col w:w="400" w:space="460"/>
            <w:col w:w="2660"/>
          </w:cols>
          <w:pgMar w:left="240" w:top="122"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The aggregate market value of the non-voting common stock held by non-affiliates of the registrant as of January 31, 2005 was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$1,233,686,627 (based on closing sale price of $28.39 per share on that date as reported for the New York Stock Exchange). As of September 27, 2005, there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outstanding 45,796,399 shares of Class A Nonvoting Common Stock (the “Class A Common Stock”), and 3,538,628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940" w:type="dxa"/>
            <w:vAlign w:val="bottom"/>
            <w:gridSpan w:val="16"/>
            <w:vMerge w:val="restart"/>
          </w:tcPr>
          <w:p>
            <w:pPr>
              <w:jc w:val="center"/>
              <w:ind w:right="436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4940" w:type="dxa"/>
            <w:vAlign w:val="bottom"/>
            <w:gridSpan w:val="16"/>
            <w:vMerge w:val="continue"/>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 w:type="dxa"/>
            <w:vAlign w:val="bottom"/>
          </w:tcPr>
          <w:p>
            <w:pPr>
              <w:spacing w:after="0"/>
              <w:rPr>
                <w:sz w:val="17"/>
                <w:szCs w:val="17"/>
                <w:color w:val="auto"/>
              </w:rPr>
            </w:pPr>
          </w:p>
        </w:tc>
        <w:tc>
          <w:tcPr>
            <w:tcW w:w="306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7"/>
          </w:tcPr>
          <w:p>
            <w:pPr>
              <w:spacing w:after="0"/>
              <w:rPr>
                <w:sz w:val="17"/>
                <w:szCs w:val="17"/>
                <w:color w:val="auto"/>
              </w:rPr>
            </w:pPr>
          </w:p>
        </w:tc>
        <w:tc>
          <w:tcPr>
            <w:tcW w:w="4360" w:type="dxa"/>
            <w:vAlign w:val="bottom"/>
            <w:gridSpan w:val="9"/>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General Development of Business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6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Financial Information About Industry Segments</w:t>
              </w:r>
            </w:hyperlink>
          </w:p>
        </w:tc>
        <w:tc>
          <w:tcPr>
            <w:tcW w:w="4540" w:type="dxa"/>
            <w:vAlign w:val="bottom"/>
            <w:gridSpan w:val="11"/>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Narrative Description of Business: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Overview</w:t>
              </w:r>
            </w:hyperlink>
          </w:p>
        </w:tc>
        <w:tc>
          <w:tcPr>
            <w:tcW w:w="5500" w:type="dxa"/>
            <w:vAlign w:val="bottom"/>
            <w:gridSpan w:val="21"/>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Business Strategy</w:t>
              </w:r>
            </w:hyperlink>
          </w:p>
        </w:tc>
        <w:tc>
          <w:tcPr>
            <w:tcW w:w="6380" w:type="dxa"/>
            <w:vAlign w:val="bottom"/>
            <w:gridSpan w:val="29"/>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Key Initiatives</w:t>
              </w:r>
            </w:hyperlink>
          </w:p>
        </w:tc>
        <w:tc>
          <w:tcPr>
            <w:tcW w:w="6600" w:type="dxa"/>
            <w:vAlign w:val="bottom"/>
            <w:gridSpan w:val="30"/>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Products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Marketing and Sales</w:t>
              </w:r>
            </w:hyperlink>
          </w:p>
        </w:tc>
        <w:tc>
          <w:tcPr>
            <w:tcW w:w="6180" w:type="dxa"/>
            <w:vAlign w:val="bottom"/>
            <w:gridSpan w:val="25"/>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Brands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Manufacturing Process and Raw Materials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tcBorders>
              <w:top w:val="single" w:sz="8" w:color="0000EE"/>
            </w:tcBorders>
            <w:gridSpan w:val="29"/>
          </w:tcPr>
          <w:p>
            <w:pPr>
              <w:spacing w:after="0" w:line="19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Technology and Product Development</w:t>
              </w:r>
            </w:hyperlink>
          </w:p>
        </w:tc>
        <w:tc>
          <w:tcPr>
            <w:tcW w:w="4600" w:type="dxa"/>
            <w:vAlign w:val="bottom"/>
            <w:gridSpan w:val="12"/>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International Operations</w:t>
              </w:r>
            </w:hyperlink>
          </w:p>
        </w:tc>
        <w:tc>
          <w:tcPr>
            <w:tcW w:w="4900" w:type="dxa"/>
            <w:vAlign w:val="bottom"/>
            <w:gridSpan w:val="15"/>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Competition</w:t>
              </w:r>
            </w:hyperlink>
          </w:p>
        </w:tc>
        <w:tc>
          <w:tcPr>
            <w:tcW w:w="840" w:type="dxa"/>
            <w:vAlign w:val="bottom"/>
            <w:tcBorders>
              <w:top w:val="single" w:sz="8" w:color="0000EE"/>
            </w:tcBorders>
            <w:gridSpan w:val="10"/>
          </w:tcPr>
          <w:p>
            <w:pPr>
              <w:spacing w:after="0"/>
              <w:rPr>
                <w:sz w:val="17"/>
                <w:szCs w:val="17"/>
                <w:color w:val="auto"/>
              </w:rPr>
            </w:pPr>
          </w:p>
        </w:tc>
        <w:tc>
          <w:tcPr>
            <w:tcW w:w="5920" w:type="dxa"/>
            <w:vAlign w:val="bottom"/>
            <w:gridSpan w:val="24"/>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Backlog</w:t>
              </w:r>
            </w:hyperlink>
          </w:p>
        </w:tc>
        <w:tc>
          <w:tcPr>
            <w:tcW w:w="7040" w:type="dxa"/>
            <w:vAlign w:val="bottom"/>
            <w:gridSpan w:val="37"/>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Environment</w:t>
              </w:r>
            </w:hyperlink>
          </w:p>
        </w:tc>
        <w:tc>
          <w:tcPr>
            <w:tcW w:w="6720" w:type="dxa"/>
            <w:vAlign w:val="bottom"/>
            <w:gridSpan w:val="33"/>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Employees</w:t>
              </w:r>
            </w:hyperlink>
          </w:p>
        </w:tc>
        <w:tc>
          <w:tcPr>
            <w:tcW w:w="6860" w:type="dxa"/>
            <w:vAlign w:val="bottom"/>
            <w:gridSpan w:val="35"/>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Acquisitions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Financial Information About Foreign and Domestic Operations and Export Sales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Available on the Internet</w:t>
              </w:r>
            </w:hyperlink>
          </w:p>
        </w:tc>
        <w:tc>
          <w:tcPr>
            <w:tcW w:w="2200" w:type="dxa"/>
            <w:vAlign w:val="bottom"/>
            <w:gridSpan w:val="4"/>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2.</w:t>
              </w:r>
            </w:hyperlink>
          </w:p>
        </w:tc>
        <w:tc>
          <w:tcPr>
            <w:tcW w:w="40" w:type="dxa"/>
            <w:vAlign w:val="bottom"/>
          </w:tcPr>
          <w:p>
            <w:pPr>
              <w:spacing w:after="0"/>
              <w:rPr>
                <w:sz w:val="17"/>
                <w:szCs w:val="17"/>
                <w:color w:val="auto"/>
              </w:rPr>
            </w:pPr>
          </w:p>
        </w:tc>
        <w:tc>
          <w:tcPr>
            <w:tcW w:w="2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5320" w:type="dxa"/>
            <w:vAlign w:val="bottom"/>
            <w:gridSpan w:val="19"/>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3.</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Proceedings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4.</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Submission of Matters to a Vote of Security Holders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gridSpan w:val="11"/>
          </w:tcPr>
          <w:p>
            <w:pPr>
              <w:jc w:val="center"/>
              <w:ind w:right="80"/>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w:t>
              </w:r>
            </w:hyperlink>
          </w:p>
        </w:tc>
        <w:tc>
          <w:tcPr>
            <w:tcW w:w="424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5.</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Market for the Registrant’s Common Equity, Related Stockholder Matters and Issuer Purchases of Equity</w:t>
              </w:r>
            </w:hyperlink>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4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Securities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6.</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7.</w:t>
              </w:r>
            </w:hyperlink>
          </w:p>
        </w:tc>
        <w:tc>
          <w:tcPr>
            <w:tcW w:w="17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7A.</w:t>
              </w:r>
            </w:hyperlink>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8.</w:t>
              </w:r>
            </w:hyperlink>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9.</w:t>
              </w:r>
            </w:hyperlink>
          </w:p>
        </w:tc>
        <w:tc>
          <w:tcPr>
            <w:tcW w:w="170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Item 9A.</w:t>
              </w:r>
            </w:hyperlink>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Item 9B.</w:t>
              </w:r>
            </w:hyperlink>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II-46</w:t>
            </w:r>
          </w:p>
        </w:tc>
        <w:tc>
          <w:tcPr>
            <w:tcW w:w="0" w:type="dxa"/>
            <w:vAlign w:val="bottom"/>
          </w:tcPr>
          <w:p>
            <w:pPr>
              <w:spacing w:after="0"/>
              <w:rPr>
                <w:sz w:val="1"/>
                <w:szCs w:val="1"/>
                <w:color w:val="auto"/>
              </w:rPr>
            </w:pPr>
          </w:p>
        </w:tc>
      </w:tr>
      <w:tr>
        <w:trPr>
          <w:trHeight w:val="628"/>
        </w:trPr>
        <w:tc>
          <w:tcPr>
            <w:tcW w:w="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bottom w:val="single" w:sz="8" w:color="0000EE"/>
            </w:tcBorders>
            <w:gridSpan w:val="11"/>
          </w:tcPr>
          <w:p>
            <w:pPr>
              <w:jc w:val="cente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428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10.</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Directors and Executive Officers of the Registrant</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280" w:type="dxa"/>
            <w:vAlign w:val="bottom"/>
            <w:gridSpan w:val="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Item 11.</w:t>
              </w:r>
            </w:hyperlink>
          </w:p>
        </w:tc>
        <w:tc>
          <w:tcPr>
            <w:tcW w:w="40" w:type="dxa"/>
            <w:vAlign w:val="bottom"/>
          </w:tcPr>
          <w:p>
            <w:pPr>
              <w:spacing w:after="0"/>
              <w:rPr>
                <w:sz w:val="17"/>
                <w:szCs w:val="17"/>
                <w:color w:val="auto"/>
              </w:rPr>
            </w:pPr>
          </w:p>
        </w:tc>
        <w:tc>
          <w:tcPr>
            <w:tcW w:w="8000" w:type="dxa"/>
            <w:vAlign w:val="bottom"/>
            <w:gridSpan w:val="4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gridSpan w:val="10"/>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4660" w:type="dxa"/>
            <w:vAlign w:val="bottom"/>
            <w:gridSpan w:val="1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Summary Compensation Table</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Stock Options</w:t>
              </w:r>
            </w:hyperlink>
          </w:p>
        </w:tc>
        <w:tc>
          <w:tcPr>
            <w:tcW w:w="1200" w:type="dxa"/>
            <w:vAlign w:val="bottom"/>
            <w:tcBorders>
              <w:top w:val="single" w:sz="8" w:color="0000EE"/>
            </w:tcBorders>
            <w:gridSpan w:val="11"/>
          </w:tcPr>
          <w:p>
            <w:pPr>
              <w:spacing w:after="0"/>
              <w:rPr>
                <w:sz w:val="17"/>
                <w:szCs w:val="17"/>
                <w:color w:val="auto"/>
              </w:rPr>
            </w:pPr>
          </w:p>
        </w:tc>
        <w:tc>
          <w:tcPr>
            <w:tcW w:w="5440" w:type="dxa"/>
            <w:vAlign w:val="bottom"/>
            <w:gridSpan w:val="20"/>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Common Stock Price Performance Graph</w:t>
              </w:r>
            </w:hyperlink>
          </w:p>
        </w:tc>
        <w:tc>
          <w:tcPr>
            <w:tcW w:w="4660" w:type="dxa"/>
            <w:vAlign w:val="bottom"/>
            <w:gridSpan w:val="13"/>
          </w:tcPr>
          <w:p>
            <w:pPr>
              <w:spacing w:after="0"/>
              <w:rPr>
                <w:sz w:val="17"/>
                <w:szCs w:val="17"/>
                <w:color w:val="auto"/>
              </w:rPr>
            </w:pPr>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III-9</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60" w:type="dxa"/>
            <w:vAlign w:val="bottom"/>
            <w:gridSpan w:val="4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Compensation of Directors</w:t>
              </w:r>
            </w:hyperlink>
          </w:p>
        </w:tc>
        <w:tc>
          <w:tcPr>
            <w:tcW w:w="10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III-9</w:t>
            </w:r>
          </w:p>
        </w:tc>
        <w:tc>
          <w:tcPr>
            <w:tcW w:w="0" w:type="dxa"/>
            <w:vAlign w:val="bottom"/>
          </w:tcPr>
          <w:p>
            <w:pPr>
              <w:spacing w:after="0"/>
              <w:rPr>
                <w:sz w:val="1"/>
                <w:szCs w:val="1"/>
                <w:color w:val="auto"/>
              </w:rPr>
            </w:pPr>
          </w:p>
        </w:tc>
      </w:tr>
      <w:tr>
        <w:trPr>
          <w:trHeight w:val="247"/>
        </w:trPr>
        <w:tc>
          <w:tcPr>
            <w:tcW w:w="6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3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8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6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0" w:type="dxa"/>
            <w:vAlign w:val="bottom"/>
            <w:gridSpan w:val="11"/>
            <w:vMerge w:val="restart"/>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Termination of Employment and Change in Control Arrangements</w:t>
              </w:r>
            </w:hyperlink>
          </w:p>
        </w:tc>
        <w:tc>
          <w:tcPr>
            <w:tcW w:w="2820" w:type="dxa"/>
            <w:vAlign w:val="bottom"/>
            <w:gridSpan w:val="2"/>
            <w:vMerge w:val="restart"/>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0" w:type="dxa"/>
            <w:vAlign w:val="bottom"/>
            <w:tcBorders>
              <w:bottom w:val="single" w:sz="8" w:color="0000EE"/>
            </w:tcBorders>
            <w:gridSpan w:val="11"/>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7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III-9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Restricted Stock</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Compensation Committee Interlocks and Insider Participation</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Funded Retirement and 401(k) Plans</w:t>
              </w:r>
            </w:hyperlink>
          </w:p>
        </w:tc>
        <w:tc>
          <w:tcPr>
            <w:tcW w:w="3160" w:type="dxa"/>
            <w:vAlign w:val="bottom"/>
            <w:gridSpan w:val="4"/>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20" w:type="dxa"/>
            <w:vAlign w:val="bottom"/>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Deferred Compensation Arrangements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Compensation Committee Report on Executive Compensation</w:t>
              </w:r>
            </w:hyperlink>
          </w:p>
        </w:tc>
        <w:tc>
          <w:tcPr>
            <w:tcW w:w="3120" w:type="dxa"/>
            <w:vAlign w:val="bottom"/>
            <w:gridSpan w:val="3"/>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12.</w:t>
              </w:r>
            </w:hyperlink>
          </w:p>
        </w:tc>
        <w:tc>
          <w:tcPr>
            <w:tcW w:w="1700" w:type="dxa"/>
            <w:vAlign w:val="bottom"/>
            <w:gridSpan w:val="3"/>
          </w:tcPr>
          <w:p>
            <w:pPr>
              <w:spacing w:after="0"/>
              <w:rPr>
                <w:sz w:val="17"/>
                <w:szCs w:val="17"/>
                <w:color w:val="auto"/>
              </w:rPr>
            </w:pPr>
          </w:p>
        </w:tc>
        <w:tc>
          <w:tcPr>
            <w:tcW w:w="7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Security Ownership of Certain Beneficial Owners and Management and Related Stockholder Matters</w:t>
              </w:r>
            </w:hyperlink>
          </w:p>
        </w:tc>
        <w:tc>
          <w:tcPr>
            <w:tcW w:w="66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Item 13.</w:t>
              </w:r>
            </w:hyperlink>
          </w:p>
        </w:tc>
        <w:tc>
          <w:tcPr>
            <w:tcW w:w="1700" w:type="dxa"/>
            <w:vAlign w:val="bottom"/>
            <w:gridSpan w:val="3"/>
          </w:tcPr>
          <w:p>
            <w:pPr>
              <w:spacing w:after="0"/>
              <w:rPr>
                <w:sz w:val="17"/>
                <w:szCs w:val="17"/>
                <w:color w:val="auto"/>
              </w:rPr>
            </w:pPr>
          </w:p>
        </w:tc>
        <w:tc>
          <w:tcPr>
            <w:tcW w:w="34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Certain Relationships and Related Transactions</w:t>
              </w:r>
            </w:hyperlink>
          </w:p>
        </w:tc>
        <w:tc>
          <w:tcPr>
            <w:tcW w:w="4540" w:type="dxa"/>
            <w:vAlign w:val="bottom"/>
            <w:gridSpan w:val="6"/>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III-15</w:t>
            </w:r>
          </w:p>
        </w:tc>
        <w:tc>
          <w:tcPr>
            <w:tcW w:w="0" w:type="dxa"/>
            <w:vAlign w:val="bottom"/>
          </w:tcPr>
          <w:p>
            <w:pPr>
              <w:spacing w:after="0"/>
              <w:rPr>
                <w:sz w:val="1"/>
                <w:szCs w:val="1"/>
                <w:color w:val="auto"/>
              </w:rPr>
            </w:pPr>
          </w:p>
        </w:tc>
      </w:tr>
      <w:tr>
        <w:trPr>
          <w:trHeight w:val="196"/>
        </w:trPr>
        <w:tc>
          <w:tcPr>
            <w:tcW w:w="2300" w:type="dxa"/>
            <w:vAlign w:val="bottom"/>
            <w:gridSpan w:val="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14.</w:t>
              </w:r>
            </w:hyperlink>
          </w:p>
        </w:tc>
        <w:tc>
          <w:tcPr>
            <w:tcW w:w="7960" w:type="dxa"/>
            <w:vAlign w:val="bottom"/>
            <w:gridSpan w:val="1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III-15</w:t>
            </w: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IV</w:t>
              </w:r>
            </w:hyperlink>
          </w:p>
        </w:tc>
        <w:tc>
          <w:tcPr>
            <w:tcW w:w="42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Item 15.</w:t>
              </w:r>
            </w:hyperlink>
          </w:p>
        </w:tc>
        <w:tc>
          <w:tcPr>
            <w:tcW w:w="1700" w:type="dxa"/>
            <w:vAlign w:val="bottom"/>
            <w:gridSpan w:val="3"/>
          </w:tcPr>
          <w:p>
            <w:pPr>
              <w:spacing w:after="0"/>
              <w:rPr>
                <w:sz w:val="17"/>
                <w:szCs w:val="17"/>
                <w:color w:val="auto"/>
              </w:rPr>
            </w:pPr>
          </w:p>
        </w:tc>
        <w:tc>
          <w:tcPr>
            <w:tcW w:w="7960" w:type="dxa"/>
            <w:vAlign w:val="bottom"/>
            <w:gridSpan w:val="1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 Financial Statement Schedules</w:t>
              </w:r>
            </w:hyperlink>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Signatures</w:t>
              </w:r>
            </w:hyperlink>
          </w:p>
        </w:tc>
        <w:tc>
          <w:tcPr>
            <w:tcW w:w="15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IV-5</w:t>
            </w:r>
          </w:p>
        </w:tc>
        <w:tc>
          <w:tcPr>
            <w:tcW w:w="0" w:type="dxa"/>
            <w:vAlign w:val="bottom"/>
          </w:tcPr>
          <w:p>
            <w:pPr>
              <w:spacing w:after="0"/>
              <w:rPr>
                <w:sz w:val="1"/>
                <w:szCs w:val="1"/>
                <w:color w:val="auto"/>
              </w:rPr>
            </w:pPr>
          </w:p>
        </w:tc>
      </w:tr>
      <w:tr>
        <w:trPr>
          <w:trHeight w:val="196"/>
        </w:trPr>
        <w:tc>
          <w:tcPr>
            <w:tcW w:w="10260" w:type="dxa"/>
            <w:vAlign w:val="bottom"/>
            <w:gridSpan w:val="19"/>
          </w:tcPr>
          <w:p>
            <w:pPr>
              <w:spacing w:after="0" w:line="196" w:lineRule="exact"/>
              <w:rPr>
                <w:sz w:val="20"/>
                <w:szCs w:val="20"/>
                <w:color w:val="auto"/>
              </w:rPr>
            </w:pPr>
            <w:r>
              <w:rPr>
                <w:rFonts w:ascii="Arial" w:cs="Arial" w:eastAsia="Arial" w:hAnsi="Arial"/>
                <w:sz w:val="18"/>
                <w:szCs w:val="18"/>
                <w:color w:val="0000EE"/>
              </w:rPr>
              <w:t>Non-Qualified Stock Option Agreement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Schedule of Subsidiaries</w:t>
            </w: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00" w:type="dxa"/>
            <w:vAlign w:val="bottom"/>
            <w:gridSpan w:val="1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60" w:type="dxa"/>
            <w:vAlign w:val="bottom"/>
            <w:gridSpan w:val="19"/>
          </w:tcPr>
          <w:p>
            <w:pPr>
              <w:spacing w:after="0" w:line="196" w:lineRule="exact"/>
              <w:rPr>
                <w:sz w:val="20"/>
                <w:szCs w:val="20"/>
                <w:color w:val="auto"/>
              </w:rPr>
            </w:pPr>
            <w:r>
              <w:rPr>
                <w:rFonts w:ascii="Arial" w:cs="Arial" w:eastAsia="Arial" w:hAnsi="Arial"/>
                <w:sz w:val="18"/>
                <w:szCs w:val="18"/>
                <w:color w:val="0000EE"/>
              </w:rPr>
              <w:t>Consent of Deloitte &amp; Touche LLP</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17" w:lineRule="exact"/>
        <w:rPr>
          <w:sz w:val="20"/>
          <w:szCs w:val="20"/>
          <w:color w:val="auto"/>
        </w:rPr>
      </w:pPr>
    </w:p>
    <w:p>
      <w:pPr>
        <w:ind w:right="20" w:firstLine="267"/>
        <w:spacing w:after="0" w:line="293" w:lineRule="auto"/>
        <w:rPr>
          <w:sz w:val="20"/>
          <w:szCs w:val="20"/>
          <w:color w:val="auto"/>
        </w:rPr>
      </w:pPr>
      <w:r>
        <w:rPr>
          <w:rFonts w:ascii="Arial" w:cs="Arial" w:eastAsia="Arial" w:hAnsi="Arial"/>
          <w:sz w:val="16"/>
          <w:szCs w:val="16"/>
          <w:color w:val="auto"/>
        </w:rPr>
        <w:t>The Company, a Wisconsin corporation founded in 1914, currently operates 35 manufacturing facilities worldwide. Eleven are located in the United States; three each in Brazil, China, Germany, and the United Kingdom; two in Australia and Singapore; and one each in Belgium, Canada, Denmark, France, Italy, Malaysia, Mexico, and Thailand. The Company also sells through subsidiaries or sales offices in these countries, with additional sales through a dedicated team of international sales representatives in Hungary, India, Japan, Korea, the Netherlands, Norway, the Philippines, Slovakia, Spain, Sweden, and Taiwan. The Company further markets its products to parts of the Middle East. The Company’s corporate headquarters are located at 6555 West Good Hope Road, Milwaukee, Wisconsin 53223, and the telephone number is (414) 358-6600. The Company’s Internet address is http://www.bradycorp.com.</w:t>
      </w:r>
    </w:p>
    <w:p>
      <w:pPr>
        <w:spacing w:after="0" w:line="16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17" w:lineRule="exact"/>
        <w:rPr>
          <w:sz w:val="20"/>
          <w:szCs w:val="20"/>
          <w:color w:val="auto"/>
        </w:rPr>
      </w:pPr>
    </w:p>
    <w:p>
      <w:pPr>
        <w:ind w:right="800" w:firstLine="267"/>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Brady is an international manufacturer and marketer of identification solutions and specialty materials which identify and protect premises, products and people. Founded in 1914, the Company serves customers in general manufacturing, maintenance and safety, process industries, construction, electrical, telecommunications, electronics, laboratory/healthcare, airline/transportation, security/brand education, governmental, public utility, and a variety of other industries. The Company believes that its reputation for innovation, commitment to quality and service, and dedicated employees have made it a world leader in its markets.</w:t>
      </w:r>
    </w:p>
    <w:p>
      <w:pPr>
        <w:spacing w:after="0" w:line="80" w:lineRule="exact"/>
        <w:rPr>
          <w:sz w:val="20"/>
          <w:szCs w:val="20"/>
          <w:color w:val="auto"/>
        </w:rPr>
      </w:pPr>
    </w:p>
    <w:p>
      <w:pPr>
        <w:ind w:right="40" w:firstLine="270"/>
        <w:spacing w:after="0" w:line="271" w:lineRule="auto"/>
        <w:rPr>
          <w:sz w:val="20"/>
          <w:szCs w:val="20"/>
          <w:color w:val="auto"/>
        </w:rPr>
      </w:pPr>
      <w:r>
        <w:rPr>
          <w:rFonts w:ascii="Arial" w:cs="Arial" w:eastAsia="Arial" w:hAnsi="Arial"/>
          <w:sz w:val="17"/>
          <w:szCs w:val="17"/>
          <w:color w:val="auto"/>
        </w:rPr>
        <w:t>Brady’s major product categories focus primarily on facility identification, safety and complimentary products for the Maintenance, Repair and Operations (“MRO”) market; wire identification for telecommunications and electrical industries; high-performance identification for electronics and industrial manufacturers; and precision die-cut products for use in hard-disk drives, cellular phones, pagers, automobiles and other personal communication products. The need for the Company’s products is driven by customer specifications, by regulatory compliance requirements imposed by agencies such as the Occupational Safety &amp; Health Administration (“OSHA”) and the Environmental Protection Agency (“EPA”), or by the need to identify and track assets or to direct, warn, inform, train and protect people. The Company manufactures and sells products domestically and internationally through multiple channels, including distributors, direct sales, mail-order catalogs, retail, and electronic access through the Internet. The Company has a broad customer base, with the largest customer representing less than 5% of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Brady’s vision is to be either first or second in terms of market share in every market we serve, enabled by world-class people, delivering differentiated solutions to loyal customers, in order to achieve sustainable top tier growth and profitability. To this end, the Company’s employees participate in an incentive plan that has components focused upon growth and profitability that serves to motivate employees, foster a team-oriented work environment and maximize the utilization of assets.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Key elements of the Company’s business strategy include:</w:t>
      </w:r>
    </w:p>
    <w:p>
      <w:pPr>
        <w:spacing w:after="0" w:line="117"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i w:val="1"/>
          <w:iCs w:val="1"/>
          <w:color w:val="auto"/>
        </w:rPr>
        <w:t xml:space="preserve">Focus on customers </w:t>
      </w:r>
      <w:r>
        <w:rPr>
          <w:rFonts w:ascii="Arial" w:cs="Arial" w:eastAsia="Arial" w:hAnsi="Arial"/>
          <w:sz w:val="18"/>
          <w:szCs w:val="18"/>
          <w:color w:val="auto"/>
        </w:rPr>
        <w:t>— The Company seeks to provide seamless customer service and to offer rapid response to customer orders and inquiries.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this goal, the Company has streamlined its manufacturing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processes to shorten lead-times and has increased investment in telecommunications and management information systems worldwide.</w:t>
      </w:r>
    </w:p>
    <w:p>
      <w:pPr>
        <w:spacing w:after="0" w:line="117"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i w:val="1"/>
          <w:iCs w:val="1"/>
          <w:color w:val="auto"/>
        </w:rPr>
        <w:t xml:space="preserve">World Class People </w:t>
      </w:r>
      <w:r>
        <w:rPr>
          <w:rFonts w:ascii="Arial" w:cs="Arial" w:eastAsia="Arial" w:hAnsi="Arial"/>
          <w:sz w:val="18"/>
          <w:szCs w:val="18"/>
          <w:color w:val="auto"/>
        </w:rPr>
        <w:t>— The Company strives to employ a world-class team of people throughout all of its global operations. It believes that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can differentiate itself through its people and it strives to hire the best team members with competitive wages and compensation. All of its employees are trained in its Code of Ethics Policy and are held to highest standards of honesty and integrity. Additionally, the Company highlights leadership as an integral component of its values and growth strategy. All employees are expected to embrace leadership principles which include customer focus, high-performance, boldness, decisiveness and accountability.</w:t>
      </w:r>
    </w:p>
    <w:p>
      <w:pPr>
        <w:spacing w:after="0" w:line="80"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i w:val="1"/>
          <w:iCs w:val="1"/>
          <w:color w:val="auto"/>
        </w:rPr>
        <w:t xml:space="preserve">Innovative Differentiated Solutions </w:t>
      </w:r>
      <w:r>
        <w:rPr>
          <w:rFonts w:ascii="Arial" w:cs="Arial" w:eastAsia="Arial" w:hAnsi="Arial"/>
          <w:sz w:val="18"/>
          <w:szCs w:val="18"/>
          <w:color w:val="auto"/>
        </w:rPr>
        <w:t>— The Company strives to provide innovative differentiated solutions in niche markets that allow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its capabilities in specialty labels, materials, die cutting, software development and printing systems. By focusing on specific markets and value-added product applications, the Company has established leading positions in the electrical, laboratory and safety markets with certain products such as wire markers, pipe markers, labels, safety signs and printing systems. It also is a leader in high performance work-in-process labels and precision die-cut materials for Original Equipment Manufacturers (“OEM’s”).</w:t>
      </w:r>
    </w:p>
    <w:p>
      <w:pPr>
        <w:spacing w:after="0" w:line="80"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Materials and Customer Application Expertise </w:t>
      </w:r>
      <w:r>
        <w:rPr>
          <w:rFonts w:ascii="Arial" w:cs="Arial" w:eastAsia="Arial" w:hAnsi="Arial"/>
          <w:sz w:val="18"/>
          <w:szCs w:val="18"/>
          <w:color w:val="auto"/>
        </w:rPr>
        <w:t>— The Company continually seeks to develop innovative pressure sensitive materials, printers,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differentiated products to satisfy customers’ requirements and expectations. Additionally, the Company strives to use its materials expertise to develop unique products to meet the demands of customers in new, faster growing markets adjacent to its traditional markets. Brady’s commitment to product innovation is reflected in its research and development efforts that include approximately 165 employees primarily dedicated to research and development activities in the United States, Belgium, Singapore and China.</w:t>
      </w:r>
    </w:p>
    <w:p>
      <w:pPr>
        <w:spacing w:after="0" w:line="80" w:lineRule="exact"/>
        <w:rPr>
          <w:sz w:val="20"/>
          <w:szCs w:val="20"/>
          <w:color w:val="auto"/>
        </w:rPr>
      </w:pPr>
    </w:p>
    <w:p>
      <w:pPr>
        <w:jc w:val="both"/>
        <w:ind w:right="100" w:firstLine="270"/>
        <w:spacing w:after="0" w:line="259"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 Productivity and operational excellence are two initiatives that the Company uses to increase the quality of its earnings each</w:t>
      </w:r>
      <w:r>
        <w:rPr>
          <w:rFonts w:ascii="Arial" w:cs="Arial" w:eastAsia="Arial" w:hAnsi="Arial"/>
          <w:sz w:val="18"/>
          <w:szCs w:val="18"/>
          <w:i w:val="1"/>
          <w:iCs w:val="1"/>
          <w:color w:val="auto"/>
        </w:rPr>
        <w:t xml:space="preserve"> </w:t>
      </w:r>
      <w:r>
        <w:rPr>
          <w:rFonts w:ascii="Arial" w:cs="Arial" w:eastAsia="Arial" w:hAnsi="Arial"/>
          <w:sz w:val="18"/>
          <w:szCs w:val="18"/>
          <w:color w:val="auto"/>
        </w:rPr>
        <w:t>year. Brady is committed to excellence within its operations and is utilizing six-sigma problem solving to improve operational performance. These activities are focused on working capital, yield, purchasing, customer service and margin improvements, and work to best utilize its selling, general and administrative expenses.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Global Presence </w:t>
      </w:r>
      <w:r>
        <w:rPr>
          <w:rFonts w:ascii="Arial" w:cs="Arial" w:eastAsia="Arial" w:hAnsi="Arial"/>
          <w:sz w:val="16"/>
          <w:szCs w:val="16"/>
          <w:color w:val="auto"/>
        </w:rPr>
        <w:t>— Sales from Brady’s international operations have increased from $50,707,000 or 26.5% of net sales in fiscal 1990 to $451,201,000 or</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55.3% of net sales in fiscal 2005. The Company’s global presence is a benefit to many of its customers who want to work with one supplier to meet their global supply needs.</w:t>
      </w:r>
    </w:p>
    <w:p>
      <w:pPr>
        <w:spacing w:after="0" w:line="76"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Premier Channels </w:t>
      </w:r>
      <w:r>
        <w:rPr>
          <w:rFonts w:ascii="Arial" w:cs="Arial" w:eastAsia="Arial" w:hAnsi="Arial"/>
          <w:sz w:val="18"/>
          <w:szCs w:val="18"/>
          <w:color w:val="auto"/>
        </w:rPr>
        <w:t>— Brady’s products are sold through several channels including selected premier distribution companies, direct sales, mail-order</w:t>
      </w:r>
      <w:r>
        <w:rPr>
          <w:rFonts w:ascii="Arial" w:cs="Arial" w:eastAsia="Arial" w:hAnsi="Arial"/>
          <w:sz w:val="18"/>
          <w:szCs w:val="18"/>
          <w:i w:val="1"/>
          <w:iCs w:val="1"/>
          <w:color w:val="auto"/>
        </w:rPr>
        <w:t xml:space="preserve"> </w:t>
      </w:r>
      <w:r>
        <w:rPr>
          <w:rFonts w:ascii="Arial" w:cs="Arial" w:eastAsia="Arial" w:hAnsi="Arial"/>
          <w:sz w:val="18"/>
          <w:szCs w:val="18"/>
          <w:color w:val="auto"/>
        </w:rPr>
        <w:t>catalogs, and electronic access through the Internet. The Company offers this wide range of channels of distribution to meet the varying needs of its very large and diverse customer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Company’s key initiatives include:</w:t>
      </w:r>
    </w:p>
    <w:p>
      <w:pPr>
        <w:spacing w:after="0" w:line="117"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Core Business Growth </w:t>
      </w:r>
      <w:r>
        <w:rPr>
          <w:rFonts w:ascii="Arial" w:cs="Arial" w:eastAsia="Arial" w:hAnsi="Arial"/>
          <w:sz w:val="18"/>
          <w:szCs w:val="18"/>
          <w:color w:val="auto"/>
        </w:rPr>
        <w:t>— The Company seeks to increase market share through existing channels and through strong sales and marketing strategies.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this objective, the Company is strengthening its relationships with distributors, fine tuning its direct marketing strategies and capitalizing on its global selling capabilities. In fiscal 2003, the Company combined and streamlined its divisional sales forces and expanded its geographic reach. The Company believes that international markets continue to represent a significant growth opportunity. The Company is actively seeking to increase penetration in existing market segments in the Americas, Europe and Asia/ Pacific.</w:t>
      </w:r>
    </w:p>
    <w:p>
      <w:pPr>
        <w:spacing w:after="0" w:line="80" w:lineRule="exact"/>
        <w:rPr>
          <w:sz w:val="20"/>
          <w:szCs w:val="20"/>
          <w:color w:val="auto"/>
        </w:rPr>
      </w:pPr>
    </w:p>
    <w:p>
      <w:pPr>
        <w:ind w:right="360" w:firstLine="270"/>
        <w:spacing w:after="0" w:line="264" w:lineRule="auto"/>
        <w:rPr>
          <w:sz w:val="20"/>
          <w:szCs w:val="20"/>
          <w:color w:val="auto"/>
        </w:rPr>
      </w:pPr>
      <w:r>
        <w:rPr>
          <w:rFonts w:ascii="Arial" w:cs="Arial" w:eastAsia="Arial" w:hAnsi="Arial"/>
          <w:sz w:val="18"/>
          <w:szCs w:val="18"/>
          <w:i w:val="1"/>
          <w:iCs w:val="1"/>
          <w:color w:val="auto"/>
        </w:rPr>
        <w:t xml:space="preserve">Differentiated Solutions </w:t>
      </w:r>
      <w:r>
        <w:rPr>
          <w:rFonts w:ascii="Arial" w:cs="Arial" w:eastAsia="Arial" w:hAnsi="Arial"/>
          <w:sz w:val="18"/>
          <w:szCs w:val="18"/>
          <w:color w:val="auto"/>
        </w:rPr>
        <w:t>— The Company, through product innovation and development activities, seeks to continually introduce new technology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products and explore additional applications for products in existing and new markets. It seeks to provide products in its portfolio that offer customers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differentiated solutions. Through a regular portfolio review process, the Company reviews the products and markets currently in its portfolio, examines new opportunities, seeks to fully understand the broad needs of each of its major market segments and those adjacent to its major segments, and determines a strategy to meet those needs. Management recognizes that new product development remains a major challenge and opportunity for the Company.</w:t>
      </w:r>
    </w:p>
    <w:p>
      <w:pPr>
        <w:spacing w:after="0" w:line="39"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While the Company intends to continue pursuing internal growth through the above strategies, it also intends, where practical, to</w:t>
      </w:r>
      <w:r>
        <w:rPr>
          <w:rFonts w:ascii="Arial" w:cs="Arial" w:eastAsia="Arial" w:hAnsi="Arial"/>
          <w:sz w:val="18"/>
          <w:szCs w:val="18"/>
          <w:i w:val="1"/>
          <w:iCs w:val="1"/>
          <w:color w:val="auto"/>
        </w:rPr>
        <w:t xml:space="preserve"> </w:t>
      </w:r>
      <w:r>
        <w:rPr>
          <w:rFonts w:ascii="Arial" w:cs="Arial" w:eastAsia="Arial" w:hAnsi="Arial"/>
          <w:sz w:val="18"/>
          <w:szCs w:val="18"/>
          <w:color w:val="auto"/>
        </w:rPr>
        <w:t>accomplish its goal of becoming number one or two in its key markets through strategic acquisitions. Brady seeks to acquire companies that are financially sound and can add to shareholder value within predetermined guidelines.</w:t>
      </w:r>
    </w:p>
    <w:p>
      <w:pPr>
        <w:spacing w:after="0" w:line="73"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i w:val="1"/>
          <w:iCs w:val="1"/>
          <w:color w:val="auto"/>
        </w:rPr>
        <w:t xml:space="preserve">Geographical Expansion </w:t>
      </w:r>
      <w:r>
        <w:rPr>
          <w:rFonts w:ascii="Arial" w:cs="Arial" w:eastAsia="Arial" w:hAnsi="Arial"/>
          <w:sz w:val="18"/>
          <w:szCs w:val="18"/>
          <w:color w:val="auto"/>
        </w:rPr>
        <w:t>— The Company considers geographical expansion through greenfield operations and acquisitions to be an integral part of its</w:t>
      </w:r>
      <w:r>
        <w:rPr>
          <w:rFonts w:ascii="Arial" w:cs="Arial" w:eastAsia="Arial" w:hAnsi="Arial"/>
          <w:sz w:val="18"/>
          <w:szCs w:val="18"/>
          <w:i w:val="1"/>
          <w:iCs w:val="1"/>
          <w:color w:val="auto"/>
        </w:rPr>
        <w:t xml:space="preserve"> </w:t>
      </w:r>
      <w:r>
        <w:rPr>
          <w:rFonts w:ascii="Arial" w:cs="Arial" w:eastAsia="Arial" w:hAnsi="Arial"/>
          <w:sz w:val="18"/>
          <w:szCs w:val="18"/>
          <w:color w:val="auto"/>
        </w:rPr>
        <w:t>growth strategy. In 2005, the Company announced plans to expand into Denmark, Norway, Slovakia, and Thailand.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right="200" w:firstLine="267"/>
        <w:spacing w:after="0" w:line="302" w:lineRule="auto"/>
        <w:rPr>
          <w:sz w:val="20"/>
          <w:szCs w:val="20"/>
          <w:color w:val="auto"/>
        </w:rPr>
      </w:pPr>
      <w:r>
        <w:rPr>
          <w:rFonts w:ascii="Arial" w:cs="Arial" w:eastAsia="Arial" w:hAnsi="Arial"/>
          <w:sz w:val="16"/>
          <w:szCs w:val="16"/>
          <w:color w:val="auto"/>
        </w:rPr>
        <w:t>The Company is vertically integrated; designing, developing, coating and producing most of its identification signs, labels and printing systems. Brady labels are manufactured out of a variety of films, predominantly coated by Brady, for applications in the following markets: electronic, industrial, electrical, utility, laboratory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pacing w:after="0" w:line="46"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The Company’s stock and custom products consist of over 300,000 stock-keeping units (“SKU’s”), including complete identification systems that are used by the Company’s customers to create a safer work environment, improve production and operating efficiencies and increase the utilization of assets through tracking and inventory process controls. Major product categories include: facility and safety signs and identification tags and markers, pipe and valve markers, asset identification tags, lockout/tagout products, security and traffic control products, and printing systems and software for creating safety and regulatory software; wire and cable markers, high-performance labels, laboratory identification labels and printing systems, stand-alone printing systems, bar-code and other software, automatic identification and data collection systems; and precision die-cut solutions.</w:t>
      </w:r>
    </w:p>
    <w:p>
      <w:pPr>
        <w:spacing w:after="0" w:line="70"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Some of the Company’s stock products were originally designed, developed and manufactured as custom products for a specific customer. However, such products have frequently created wide industry acceptance and have become stock items offered by the Company through mail order and distributor sales. The Company’s most significant types of products are described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Facility and Safety Identification</w:t>
      </w:r>
    </w:p>
    <w:p>
      <w:pPr>
        <w:spacing w:after="0" w:line="117" w:lineRule="exact"/>
        <w:rPr>
          <w:sz w:val="20"/>
          <w:szCs w:val="20"/>
          <w:color w:val="auto"/>
        </w:rPr>
      </w:pPr>
    </w:p>
    <w:p>
      <w:pPr>
        <w:ind w:left="460" w:right="80" w:hanging="101"/>
        <w:spacing w:after="0" w:line="273"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Safety and informational signs and printers </w:t>
      </w:r>
      <w:r>
        <w:rPr>
          <w:rFonts w:ascii="Arial" w:cs="Arial" w:eastAsia="Arial" w:hAnsi="Arial"/>
          <w:sz w:val="17"/>
          <w:szCs w:val="17"/>
          <w:color w:val="auto"/>
        </w:rPr>
        <w:t>for use in a broad range of industrial, commercial, governmental and institutional applications. These signs</w:t>
      </w:r>
      <w:r>
        <w:rPr>
          <w:rFonts w:ascii="Arial" w:cs="Arial" w:eastAsia="Arial" w:hAnsi="Arial"/>
          <w:sz w:val="17"/>
          <w:szCs w:val="17"/>
          <w:i w:val="1"/>
          <w:iCs w:val="1"/>
          <w:color w:val="auto"/>
        </w:rPr>
        <w:t xml:space="preserve"> </w:t>
      </w:r>
      <w:r>
        <w:rPr>
          <w:rFonts w:ascii="Arial" w:cs="Arial" w:eastAsia="Arial" w:hAnsi="Arial"/>
          <w:sz w:val="17"/>
          <w:szCs w:val="17"/>
          <w:color w:val="auto"/>
        </w:rPr>
        <w:t>are either self-adhesive or mechanically mounted, are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w:t>
      </w:r>
    </w:p>
    <w:p>
      <w:pPr>
        <w:spacing w:after="0" w:line="83" w:lineRule="exact"/>
        <w:rPr>
          <w:rFonts w:ascii="Arial" w:cs="Arial" w:eastAsia="Arial" w:hAnsi="Arial"/>
          <w:sz w:val="17"/>
          <w:szCs w:val="17"/>
          <w:color w:val="auto"/>
        </w:rPr>
      </w:pPr>
    </w:p>
    <w:p>
      <w:pPr>
        <w:ind w:left="460" w:right="380" w:hanging="101"/>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self-adhesive and self-aligning die-cut numbers and letters, labels, and tags used to locate and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in storage facilities such as warehouses, factories, stockrooms and other industrial facilities.</w:t>
      </w:r>
    </w:p>
    <w:p>
      <w:pPr>
        <w:spacing w:after="0" w:line="71" w:lineRule="exact"/>
        <w:rPr>
          <w:rFonts w:ascii="Arial" w:cs="Arial" w:eastAsia="Arial" w:hAnsi="Arial"/>
          <w:sz w:val="18"/>
          <w:szCs w:val="18"/>
          <w:color w:val="auto"/>
        </w:rPr>
      </w:pPr>
    </w:p>
    <w:p>
      <w:pPr>
        <w:ind w:left="460" w:right="80" w:hanging="101"/>
        <w:spacing w:after="0" w:line="28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Self-adhesive and mechanically applied stock and custom-designed </w:t>
      </w:r>
      <w:r>
        <w:rPr>
          <w:rFonts w:ascii="Arial" w:cs="Arial" w:eastAsia="Arial" w:hAnsi="Arial"/>
          <w:sz w:val="18"/>
          <w:szCs w:val="18"/>
          <w:b w:val="1"/>
          <w:bCs w:val="1"/>
          <w:color w:val="auto"/>
        </w:rPr>
        <w:t>pipe markers,</w:t>
      </w:r>
      <w:r>
        <w:rPr>
          <w:rFonts w:ascii="Arial" w:cs="Arial" w:eastAsia="Arial" w:hAnsi="Arial"/>
          <w:sz w:val="18"/>
          <w:szCs w:val="18"/>
          <w:color w:val="auto"/>
        </w:rPr>
        <w:t xml:space="preserve"> and </w:t>
      </w:r>
      <w:r>
        <w:rPr>
          <w:rFonts w:ascii="Arial" w:cs="Arial" w:eastAsia="Arial" w:hAnsi="Arial"/>
          <w:sz w:val="18"/>
          <w:szCs w:val="18"/>
          <w:b w:val="1"/>
          <w:bCs w:val="1"/>
          <w:color w:val="auto"/>
        </w:rPr>
        <w:t>plastic and metal valve tags</w:t>
      </w:r>
      <w:r>
        <w:rPr>
          <w:rFonts w:ascii="Arial" w:cs="Arial" w:eastAsia="Arial" w:hAnsi="Arial"/>
          <w:sz w:val="18"/>
          <w:szCs w:val="18"/>
          <w:color w:val="auto"/>
        </w:rPr>
        <w:t xml:space="preserve"> for the identification of pipes and control valves in the mechanical contractor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60"/>
        <w:spacing w:after="0" w:line="308" w:lineRule="auto"/>
        <w:rPr>
          <w:sz w:val="20"/>
          <w:szCs w:val="20"/>
          <w:color w:val="auto"/>
        </w:rPr>
      </w:pPr>
      <w:r>
        <w:rPr>
          <w:rFonts w:ascii="Arial" w:cs="Arial" w:eastAsia="Arial" w:hAnsi="Arial"/>
          <w:sz w:val="17"/>
          <w:szCs w:val="17"/>
          <w:color w:val="auto"/>
        </w:rPr>
        <w:t>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52" w:lineRule="exact"/>
        <w:rPr>
          <w:sz w:val="20"/>
          <w:szCs w:val="20"/>
          <w:color w:val="auto"/>
        </w:rPr>
      </w:pPr>
    </w:p>
    <w:p>
      <w:pPr>
        <w:ind w:left="460" w:right="100" w:hanging="101"/>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Lockout/tagout products </w:t>
      </w:r>
      <w:r>
        <w:rPr>
          <w:rFonts w:ascii="Arial" w:cs="Arial" w:eastAsia="Arial" w:hAnsi="Arial"/>
          <w:sz w:val="18"/>
          <w:szCs w:val="18"/>
          <w:color w:val="auto"/>
        </w:rPr>
        <w:t>— under OSHA regulations, all energy sources must be “locked out” while machines are being serviced or maintained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accidental engagement and injury. The Company’s products allow its customers to comply with these regulations and to ensure worker safety for a wide variety of energy- and fluid-transmission systems and operating machinery.</w:t>
      </w:r>
    </w:p>
    <w:p>
      <w:pPr>
        <w:spacing w:after="0" w:line="86" w:lineRule="exact"/>
        <w:rPr>
          <w:rFonts w:ascii="Arial" w:cs="Arial" w:eastAsia="Arial" w:hAnsi="Arial"/>
          <w:sz w:val="18"/>
          <w:szCs w:val="18"/>
          <w:color w:val="auto"/>
        </w:rPr>
      </w:pPr>
    </w:p>
    <w:p>
      <w:pPr>
        <w:ind w:left="460" w:right="60" w:hanging="101"/>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self-expiring badges, security seals, parking permits and wristbands designed for visitor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 financial, governmental, educational and commercial facilities including meeting and convention sites. Some of these products make use of migratory ink technology, which, upon activation, starts a timed process resulting in an altered message, color or design to indicate expiration. The Company also offers a wide variety of traffic control devices including traffic signs, directional and warning signs, parking tags and permits, barriers, cones and other products including barricading, visual warning systems, floor-marking products, safety badges, photo-identification kits, and first aid cabinets/kits, among others.</w:t>
      </w:r>
    </w:p>
    <w:p>
      <w:pPr>
        <w:spacing w:after="0" w:line="98" w:lineRule="exact"/>
        <w:rPr>
          <w:rFonts w:ascii="Arial" w:cs="Arial" w:eastAsia="Arial" w:hAnsi="Arial"/>
          <w:sz w:val="18"/>
          <w:szCs w:val="18"/>
          <w:color w:val="auto"/>
        </w:rPr>
      </w:pPr>
    </w:p>
    <w:p>
      <w:pPr>
        <w:jc w:val="both"/>
        <w:ind w:left="460" w:right="300" w:hanging="101"/>
        <w:spacing w:after="0" w:line="31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Asset-identification products </w:t>
      </w:r>
      <w:r>
        <w:rPr>
          <w:rFonts w:ascii="Arial" w:cs="Arial" w:eastAsia="Arial" w:hAnsi="Arial"/>
          <w:sz w:val="16"/>
          <w:szCs w:val="16"/>
          <w:color w:val="auto"/>
        </w:rPr>
        <w:t>that are an important part of an effective asset-management program in a wide variety of markets. 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Wire and Cable Identification</w:t>
      </w:r>
    </w:p>
    <w:p>
      <w:pPr>
        <w:spacing w:after="0" w:line="113" w:lineRule="exact"/>
        <w:rPr>
          <w:sz w:val="20"/>
          <w:szCs w:val="20"/>
          <w:color w:val="auto"/>
        </w:rPr>
      </w:pPr>
    </w:p>
    <w:p>
      <w:pPr>
        <w:ind w:right="160" w:firstLine="270"/>
        <w:spacing w:after="0" w:line="261" w:lineRule="auto"/>
        <w:rPr>
          <w:sz w:val="20"/>
          <w:szCs w:val="20"/>
          <w:color w:val="auto"/>
        </w:rPr>
      </w:pPr>
      <w:r>
        <w:rPr>
          <w:rFonts w:ascii="Arial" w:cs="Arial" w:eastAsia="Arial" w:hAnsi="Arial"/>
          <w:sz w:val="18"/>
          <w:szCs w:val="18"/>
          <w:color w:val="auto"/>
        </w:rPr>
        <w:t xml:space="preserve">Brady manufactures a broad range of </w:t>
      </w:r>
      <w:r>
        <w:rPr>
          <w:rFonts w:ascii="Arial" w:cs="Arial" w:eastAsia="Arial" w:hAnsi="Arial"/>
          <w:sz w:val="18"/>
          <w:szCs w:val="18"/>
          <w:b w:val="1"/>
          <w:bCs w:val="1"/>
          <w:color w:val="auto"/>
        </w:rPr>
        <w:t>wire- and cable-marking products,</w:t>
      </w:r>
      <w:r>
        <w:rPr>
          <w:rFonts w:ascii="Arial" w:cs="Arial" w:eastAsia="Arial" w:hAnsi="Arial"/>
          <w:sz w:val="18"/>
          <w:szCs w:val="18"/>
          <w:color w:val="auto"/>
        </w:rPr>
        <w:t xml:space="preserve">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High Performance Identification</w:t>
      </w:r>
    </w:p>
    <w:p>
      <w:pPr>
        <w:spacing w:after="0" w:line="113" w:lineRule="exact"/>
        <w:rPr>
          <w:sz w:val="20"/>
          <w:szCs w:val="20"/>
          <w:color w:val="auto"/>
        </w:rPr>
      </w:pPr>
    </w:p>
    <w:p>
      <w:pPr>
        <w:ind w:firstLine="270"/>
        <w:spacing w:after="0" w:line="266" w:lineRule="auto"/>
        <w:rPr>
          <w:sz w:val="20"/>
          <w:szCs w:val="20"/>
          <w:color w:val="auto"/>
        </w:rPr>
      </w:pPr>
      <w:r>
        <w:rPr>
          <w:rFonts w:ascii="Arial" w:cs="Arial" w:eastAsia="Arial" w:hAnsi="Arial"/>
          <w:sz w:val="18"/>
          <w:szCs w:val="18"/>
          <w:color w:val="auto"/>
        </w:rPr>
        <w:t xml:space="preserve">Brady produces a complete line of </w:t>
      </w:r>
      <w:r>
        <w:rPr>
          <w:rFonts w:ascii="Arial" w:cs="Arial" w:eastAsia="Arial" w:hAnsi="Arial"/>
          <w:sz w:val="18"/>
          <w:szCs w:val="18"/>
          <w:b w:val="1"/>
          <w:bCs w:val="1"/>
          <w:color w:val="auto"/>
        </w:rPr>
        <w:t>label materials</w:t>
      </w:r>
      <w:r>
        <w:rPr>
          <w:rFonts w:ascii="Arial" w:cs="Arial" w:eastAsia="Arial" w:hAnsi="Arial"/>
          <w:sz w:val="18"/>
          <w:szCs w:val="18"/>
          <w:color w:val="auto"/>
        </w:rPr>
        <w:t xml:space="preserve"> to meet customers’ needs for identification requirements for product identification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Precision Die-Cut Parts</w:t>
      </w:r>
    </w:p>
    <w:p>
      <w:pPr>
        <w:spacing w:after="0" w:line="117" w:lineRule="exact"/>
        <w:rPr>
          <w:sz w:val="20"/>
          <w:szCs w:val="20"/>
          <w:color w:val="auto"/>
        </w:rPr>
      </w:pPr>
    </w:p>
    <w:p>
      <w:pPr>
        <w:ind w:right="80" w:firstLine="267"/>
        <w:spacing w:after="0" w:line="302" w:lineRule="auto"/>
        <w:rPr>
          <w:sz w:val="20"/>
          <w:szCs w:val="20"/>
          <w:color w:val="auto"/>
        </w:rPr>
      </w:pPr>
      <w:r>
        <w:rPr>
          <w:rFonts w:ascii="Arial" w:cs="Arial" w:eastAsia="Arial" w:hAnsi="Arial"/>
          <w:sz w:val="16"/>
          <w:szCs w:val="16"/>
          <w:color w:val="auto"/>
        </w:rPr>
        <w:t>The Company develops customized precision die-cut products that are used to seal, insulate, protect, shield or provide other mechanical performance properties in the assembly of electronic, telecommunications and other equipment, including cellular phones, personal data assistants, computer hard drives, computers and other devices. Solutions not only include the materials and converting, but also automatic placement and other value-added services. The Company also provides converting services to the medical market for materials used in in-vitro diagnostic kits and patient monitoring.</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Products</w:t>
      </w:r>
    </w:p>
    <w:p>
      <w:pPr>
        <w:spacing w:after="0" w:line="117" w:lineRule="exact"/>
        <w:rPr>
          <w:sz w:val="20"/>
          <w:szCs w:val="20"/>
          <w:color w:val="auto"/>
        </w:rPr>
      </w:pPr>
    </w:p>
    <w:p>
      <w:pPr>
        <w:ind w:right="20" w:firstLine="267"/>
        <w:spacing w:after="0" w:line="286" w:lineRule="auto"/>
        <w:rPr>
          <w:sz w:val="20"/>
          <w:szCs w:val="20"/>
          <w:color w:val="auto"/>
        </w:rPr>
      </w:pPr>
      <w:r>
        <w:rPr>
          <w:rFonts w:ascii="Arial" w:cs="Arial" w:eastAsia="Arial" w:hAnsi="Arial"/>
          <w:sz w:val="17"/>
          <w:szCs w:val="17"/>
          <w:color w:val="auto"/>
        </w:rPr>
        <w:t>The Company also designs and produces various computer software packages,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Company also sells a variety of other products, none of which currently individually accounts for a significant portion of its sales, including: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automatic identification and data collection solutions including bar-</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code-label-generating software and bar-code tags and labels to enable accurate tracking of manufacturing, warehousing, receiving and shipping data; lettering and labeling systems, poster printers, laminators and supplies to education and training markets; and hospital and clinical labels.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Brady seeks to offer the right product with rapid response times and superior service so that it can provide solutions to customers that are better, faster and more economical than those available from the Company’s competitors. The Company markets and sells its products domestically and internationally through multiple channels including direct sales, distributors, mail-order-catalog marketing, retail, and electronic access through the Internet. The Company has thousands of established relationships with a broad range of electrical, safety, industrial and other domestic and international distributors. The Company’s sales force seeks to establish and foster ongoing relationships with the end-users and distributors by providing technical support and product-application expertise.</w:t>
      </w:r>
    </w:p>
    <w:p>
      <w:pPr>
        <w:spacing w:after="0" w:line="85"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Company also direct markets certain products and those of other manufacturers by catalog sales in both domestic and international markets. Such products include industrial and facility identification products, safety and regulatory-compliance products and original equipment manufacturer component products, among others. Catalog operations are conducted through offices in the U.S.A., Australia, Brazil, Canada, England, France, Germany and Italy, and include foreign-language catalogs.</w:t>
      </w:r>
    </w:p>
    <w:p>
      <w:pPr>
        <w:spacing w:after="0" w:line="7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Company’s products are sold in a wide variety of markets, including electrical, electronic, telecommunications, governmental, public utility, commercial office, computer disk drive, construction, general manufacturing, laboratory, transportation equipment and education. The telecommunication and disk drive markets are concentrated with a small number of customers and subject to more volatility than Brady’s other more diverse markets. No material part of the Company’s business is dependent upon a single customer or group of customers. In fiscal 2005 Brady’s largest customer accounted for less than 5% of the Company’s net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21" w:lineRule="exact"/>
        <w:rPr>
          <w:sz w:val="20"/>
          <w:szCs w:val="20"/>
          <w:color w:val="auto"/>
        </w:rPr>
      </w:pPr>
    </w:p>
    <w:p>
      <w:pPr>
        <w:ind w:firstLine="267"/>
        <w:spacing w:after="0" w:line="254" w:lineRule="auto"/>
        <w:rPr>
          <w:sz w:val="20"/>
          <w:szCs w:val="20"/>
          <w:color w:val="auto"/>
        </w:rPr>
      </w:pPr>
      <w:r>
        <w:rPr>
          <w:rFonts w:ascii="Arial" w:cs="Arial" w:eastAsia="Arial" w:hAnsi="Arial"/>
          <w:sz w:val="18"/>
          <w:szCs w:val="18"/>
          <w:color w:val="auto"/>
        </w:rPr>
        <w:t>The Company goes to market under a variety of brand names. The Brady brand includes high-performance labels, printers, software, safety and facility identification products, lock-out/tag-out products, and precision die-cut parts and specialty materials; other label products are also marketed under the Etimark brand and other die-cut materials are marketed as Brandon, Balkhausen or ID Technology products; safety and facility identification products are marketed under the Safety Signs Service brand, with some lockout/tagout products offered under the Prinzing brand; safety identification under the Electromark brand; poster printers for education and government markets are offered under the Varitronic name brand; direct marketing safety and facility identification products are offered under the Seton, Emedco and Signals names; security and identification badges and systems are included in the Temtec and B.I.G brands; hand-held regulatory documentation systems are available under the Tiscor name; and automatic identification and data collection software is offered under the Teklynx and Stopware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121" w:lineRule="exact"/>
        <w:rPr>
          <w:sz w:val="20"/>
          <w:szCs w:val="20"/>
          <w:color w:val="auto"/>
        </w:rPr>
      </w:pPr>
    </w:p>
    <w:p>
      <w:pPr>
        <w:ind w:right="120" w:firstLine="267"/>
        <w:spacing w:after="0" w:line="273" w:lineRule="auto"/>
        <w:rPr>
          <w:sz w:val="20"/>
          <w:szCs w:val="20"/>
          <w:color w:val="auto"/>
        </w:rPr>
      </w:pPr>
      <w:r>
        <w:rPr>
          <w:rFonts w:ascii="Arial" w:cs="Arial" w:eastAsia="Arial" w:hAnsi="Arial"/>
          <w:sz w:val="17"/>
          <w:szCs w:val="17"/>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development and printer design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67"/>
        <w:spacing w:after="0" w:line="276" w:lineRule="auto"/>
        <w:rPr>
          <w:sz w:val="20"/>
          <w:szCs w:val="20"/>
          <w:color w:val="auto"/>
        </w:rPr>
      </w:pPr>
      <w:r>
        <w:rPr>
          <w:rFonts w:ascii="Arial" w:cs="Arial" w:eastAsia="Arial" w:hAnsi="Arial"/>
          <w:sz w:val="17"/>
          <w:szCs w:val="17"/>
          <w:color w:val="auto"/>
        </w:rPr>
        <w:t>The Company produces the majority of the adhesive stocks and top-coated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balanced with optimization of lot sizes. Most of the Company’s manufacturing facilities have received ISO 9001 or 9002 certification.</w:t>
      </w:r>
    </w:p>
    <w:p>
      <w:pPr>
        <w:spacing w:after="0" w:line="64" w:lineRule="exact"/>
        <w:rPr>
          <w:sz w:val="20"/>
          <w:szCs w:val="20"/>
          <w:color w:val="auto"/>
        </w:rPr>
      </w:pPr>
    </w:p>
    <w:p>
      <w:pPr>
        <w:ind w:right="20" w:firstLine="267"/>
        <w:spacing w:after="0" w:line="271" w:lineRule="auto"/>
        <w:rPr>
          <w:sz w:val="20"/>
          <w:szCs w:val="20"/>
          <w:color w:val="auto"/>
        </w:rPr>
      </w:pPr>
      <w:r>
        <w:rPr>
          <w:rFonts w:ascii="Arial" w:cs="Arial" w:eastAsia="Arial" w:hAnsi="Arial"/>
          <w:sz w:val="17"/>
          <w:szCs w:val="17"/>
          <w:color w:val="auto"/>
        </w:rPr>
        <w:t>The materials used in the products manufactured by the Company consist primarily of plastic sheets and films, paper, metal and metal foil, cloth, fiberglass,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Generally the Company is not dependent upon any single supplier for most critical base materials or components. In some cases the Company has chosen to sole source materials, components or finished items for design or cost reasons. In these cases, disruptions in supply could have an impact on results for a period of time. In most cases these disruptions would simply require qualification of new suppliers and the disruption would be modest. In a few cases the qualification process could be more costly or take a longer period of time. In the most dramatic of cases, such as a global shortage of a critical material or component, the financial impact could be significant.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Product Development</w:t>
      </w:r>
    </w:p>
    <w:p>
      <w:pPr>
        <w:spacing w:after="0" w:line="121" w:lineRule="exact"/>
        <w:rPr>
          <w:sz w:val="20"/>
          <w:szCs w:val="20"/>
          <w:color w:val="auto"/>
        </w:rPr>
      </w:pPr>
    </w:p>
    <w:p>
      <w:pPr>
        <w:ind w:right="160" w:firstLine="267"/>
        <w:spacing w:after="0" w:line="257" w:lineRule="auto"/>
        <w:rPr>
          <w:sz w:val="20"/>
          <w:szCs w:val="20"/>
          <w:color w:val="auto"/>
        </w:rPr>
      </w:pPr>
      <w:r>
        <w:rPr>
          <w:rFonts w:ascii="Arial" w:cs="Arial" w:eastAsia="Arial" w:hAnsi="Arial"/>
          <w:sz w:val="18"/>
          <w:szCs w:val="18"/>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of engineers also supports production and marketing efforts by providing application and technical expertise.</w:t>
      </w:r>
    </w:p>
    <w:p>
      <w:pPr>
        <w:spacing w:after="0" w:line="80" w:lineRule="exact"/>
        <w:rPr>
          <w:sz w:val="20"/>
          <w:szCs w:val="20"/>
          <w:color w:val="auto"/>
        </w:rPr>
      </w:pPr>
    </w:p>
    <w:p>
      <w:pPr>
        <w:ind w:right="500" w:firstLine="267"/>
        <w:spacing w:after="0" w:line="259" w:lineRule="auto"/>
        <w:rPr>
          <w:sz w:val="20"/>
          <w:szCs w:val="20"/>
          <w:color w:val="auto"/>
        </w:rPr>
      </w:pPr>
      <w:r>
        <w:rPr>
          <w:rFonts w:ascii="Arial" w:cs="Arial" w:eastAsia="Arial" w:hAnsi="Arial"/>
          <w:sz w:val="18"/>
          <w:szCs w:val="18"/>
          <w:color w:val="auto"/>
        </w:rPr>
        <w:t>The Company possesses patents covering various aspects of adhesive chemistry, electronic circuitry, computer-generated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79"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Company conducts much of its research and development activities at the Frederic S. Tobey Research and Innovation Center (approximately 39,600 sq. ft.) in Milwaukee, Wisconsin. The Company spent approximately $25,100,000, $23,000,000, and $18,900,000, in fiscal 2005, 2004, and 2003, respectively, on its research and development activities. In fiscal 2005, approximately 165 employees were engaged in research and development activities for the Company. Additional research projects were conducted in Company facilities in Europe and Singapore and under contract with universities, other institutions and consultants.</w:t>
      </w:r>
    </w:p>
    <w:p>
      <w:pPr>
        <w:spacing w:after="0" w:line="80"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21" w:lineRule="exact"/>
        <w:rPr>
          <w:sz w:val="20"/>
          <w:szCs w:val="20"/>
          <w:color w:val="auto"/>
        </w:rPr>
      </w:pPr>
    </w:p>
    <w:p>
      <w:pPr>
        <w:ind w:right="300" w:firstLine="270"/>
        <w:spacing w:after="0" w:line="276" w:lineRule="auto"/>
        <w:rPr>
          <w:sz w:val="20"/>
          <w:szCs w:val="20"/>
          <w:color w:val="auto"/>
        </w:rPr>
      </w:pPr>
      <w:r>
        <w:rPr>
          <w:rFonts w:ascii="Arial" w:cs="Arial" w:eastAsia="Arial" w:hAnsi="Arial"/>
          <w:sz w:val="17"/>
          <w:szCs w:val="17"/>
          <w:color w:val="auto"/>
        </w:rPr>
        <w:t>In fiscal 2005, 2004, and 2003, sales from international operations accounted for 55.3%, 55.2%, and 52.3%, respectively, of the Company’s sales. The Company’s global infrastructure includes subsidiaries in Australia, Belgium, Brazil, Canada, China, Denmark, France, Germany, Hungary, Italy, Japan, Malaysia, Mexico, Norway, Singapore, Slovakia, Sweden, Thailand and the United Kingdom, with additional sales offices in India, Korea, Netherlands, Philippines, Spain and Taiwan. The Company further markets its products to parts of Eastern Europe and the Middle East. Several of these locations manufacture or have the capability to manufacture certain of the products they sell.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20" w:firstLine="267"/>
        <w:spacing w:after="0" w:line="286" w:lineRule="auto"/>
        <w:rPr>
          <w:sz w:val="20"/>
          <w:szCs w:val="20"/>
          <w:color w:val="auto"/>
        </w:rPr>
      </w:pPr>
      <w:r>
        <w:rPr>
          <w:rFonts w:ascii="Arial" w:cs="Arial" w:eastAsia="Arial" w:hAnsi="Arial"/>
          <w:sz w:val="16"/>
          <w:szCs w:val="16"/>
          <w:color w:val="auto"/>
        </w:rPr>
        <w:t>The markets for most of the Company’s products are competitive. The Company believes that it is one of the leading domestic producers of self-adhesive wire markers, safety signs, pipe markers, precision die-cut materials and bar-code-label-generating software. The Company competes for business principally on the basis of product quality, performance, service, range of products offered and to a lesser extent, on price. Product quality is determined by factors such as suitability of component materials for various applications, adhesive properties, graphics quality, durability, product consistency and workmanship.</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Competition in many of the Company’s product markets is highly fragmented, ranging from smaller companies offering only one or a few types of products, to some of the world’s major adhesive and electrical product companies offering some competing products as part of their overall product lines. A number of the Company’s competitors are larger than the Company and have greater resources. Notwithstanding the resources of these competitors, management believes that the Company provides a broader range of identification solutions than any of its competitors, and that Brady’s global infrastructure is a significant competitive advantage in serving large multi-national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As of July 31, 2005, the amount of the Company’s backlog orders believed to be firm was approximately $24,895,000. This compares with approximately $23,205,000 and $16,300,000 of backlog orders as of July 31, 2004 and 2003, respectively. Average delivery time for the Company’s orders varies from one day to one month, depending on the type of product, and whether the product is stock or custom-designed and manufactured. Average delivery time for the direct marketing business can be as low as the same day or the next day. The Company’s backlog of $24,895,000 at July 31, 2005, represents approximately one and one-half weeks of the Company’s sales guidance for fiscal 2006.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121" w:lineRule="exact"/>
        <w:rPr>
          <w:sz w:val="20"/>
          <w:szCs w:val="20"/>
          <w:color w:val="auto"/>
        </w:rPr>
      </w:pPr>
    </w:p>
    <w:p>
      <w:pPr>
        <w:ind w:right="100" w:firstLine="260"/>
        <w:spacing w:after="0" w:line="259" w:lineRule="auto"/>
        <w:rPr>
          <w:sz w:val="20"/>
          <w:szCs w:val="20"/>
          <w:color w:val="auto"/>
        </w:rPr>
      </w:pPr>
      <w:r>
        <w:rPr>
          <w:rFonts w:ascii="Arial" w:cs="Arial" w:eastAsia="Arial" w:hAnsi="Arial"/>
          <w:sz w:val="18"/>
          <w:szCs w:val="18"/>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procedures to reduce atmospheric emissions and/or to recover solvents. Management believes the Company is substantially in compliance with all environmental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260"/>
        <w:spacing w:after="0" w:line="259" w:lineRule="auto"/>
        <w:rPr>
          <w:sz w:val="20"/>
          <w:szCs w:val="20"/>
          <w:color w:val="auto"/>
        </w:rPr>
      </w:pPr>
      <w:r>
        <w:rPr>
          <w:rFonts w:ascii="Arial" w:cs="Arial" w:eastAsia="Arial" w:hAnsi="Arial"/>
          <w:sz w:val="18"/>
          <w:szCs w:val="18"/>
          <w:color w:val="auto"/>
        </w:rPr>
        <w:t>As of July 31, 2005, the Company employed approximately 4,500 individuals. The Company has never experienced a material work stoppage due to a labor dispute, is not a party to any negotiated labor contracts, and considers its relations with employees to be excellent. The mix of employees is changing as the Company employs more people in developing countries where wage rates are lower and employee turnover tends to be higher than in developed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Information about the Company’s acquisitions is provided in Note 2 of the Notes to Consolidated Financial Statements contained in Item 8 — Financial Statements and Supplementary Data.</w:t>
      </w:r>
    </w:p>
    <w:p>
      <w:pPr>
        <w:spacing w:after="0" w:line="17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17" w:lineRule="exact"/>
        <w:rPr>
          <w:sz w:val="20"/>
          <w:szCs w:val="20"/>
          <w:color w:val="auto"/>
        </w:rPr>
      </w:pPr>
    </w:p>
    <w:p>
      <w:pPr>
        <w:ind w:right="780" w:firstLine="267"/>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7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17" w:lineRule="exact"/>
        <w:rPr>
          <w:sz w:val="20"/>
          <w:szCs w:val="20"/>
          <w:color w:val="auto"/>
        </w:rPr>
      </w:pPr>
    </w:p>
    <w:p>
      <w:pPr>
        <w:ind w:right="20" w:firstLine="267"/>
        <w:spacing w:after="0" w:line="277" w:lineRule="auto"/>
        <w:rPr>
          <w:sz w:val="20"/>
          <w:szCs w:val="20"/>
          <w:color w:val="auto"/>
        </w:rPr>
      </w:pPr>
      <w:r>
        <w:rPr>
          <w:rFonts w:ascii="Arial" w:cs="Arial" w:eastAsia="Arial" w:hAnsi="Arial"/>
          <w:sz w:val="18"/>
          <w:szCs w:val="18"/>
          <w:color w:val="auto"/>
        </w:rPr>
        <w:t>The Company’s Corporate Internet address is http://www.bradycorp.com. The Company makes available, and has made available since June 2003, free of charge, on or through its Internet website copies of its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Annual Report on Form 10-K, Quarterly Reports on Form 10-Q, Current Reports on Form 8-K, Section 16 reports filed by the Company’s insiders, and amendments to all such reports as soon as reasonably practicable after such reports are electronically filed with or furnished to the SEC.</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currently operates 35 manufacturing facilities in the following regions: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Eleven are located in the United States; three in Brazil; and one each in Canada and Mexico.</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18"/>
          <w:szCs w:val="18"/>
          <w:color w:val="auto"/>
        </w:rPr>
        <w:t>Three are located in Germany and the United Kingdom and one each in Belgium, Denmark, France, and Italy.</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 xml:space="preserve">Asia: </w:t>
      </w:r>
      <w:r>
        <w:rPr>
          <w:rFonts w:ascii="Arial" w:cs="Arial" w:eastAsia="Arial" w:hAnsi="Arial"/>
          <w:sz w:val="18"/>
          <w:szCs w:val="18"/>
          <w:color w:val="auto"/>
        </w:rPr>
        <w:t>Three are located in China; two in Australia and Singapore; and one each in Malaysia and Thailand</w:t>
      </w:r>
    </w:p>
    <w:p>
      <w:pPr>
        <w:spacing w:after="0" w:line="121"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Company’s present operating facilities contain a total of approximately 1,900,000 square feet of space, of which approximately 950,000 square feet is leased. The Company believes that its equipment and facilities are modern, well maintained and adequate for present needs.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540" w:firstLine="267"/>
        <w:spacing w:after="0" w:line="277"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right="100" w:firstLine="270"/>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2005(1)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2004(1)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2003(1)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High</w:t>
            </w: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15.34</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3rd Quarter</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35.70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26.30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20.44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17.45</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16.94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12.93</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16.99</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12.53</w:t>
            </w:r>
          </w:p>
        </w:tc>
      </w:tr>
      <w:tr>
        <w:trPr>
          <w:trHeight w:val="230"/>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1st Quarter</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21.01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18.24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15.84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17.68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17"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On September 13, 2005, the Company announced that the Board of Directors of Brady Corporation approved a share repurchase program for up to 800,000 shares of the Company’s non-voting Class A Common Stock during fiscal 2006. The share repurchase plan may be implemented by purchasing shares on the open market or in privately negotiated transactions, with repurchased shares available for use in connection with the Company’s Stock Option Plan and for other corporate purposes.</w:t>
      </w:r>
    </w:p>
    <w:p>
      <w:pPr>
        <w:spacing w:after="0" w:line="18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360" w:firstLine="260"/>
        <w:spacing w:after="0" w:line="277" w:lineRule="auto"/>
        <w:rPr>
          <w:sz w:val="20"/>
          <w:szCs w:val="20"/>
          <w:color w:val="auto"/>
        </w:rPr>
      </w:pPr>
      <w:r>
        <w:rPr>
          <w:rFonts w:ascii="Arial" w:cs="Arial" w:eastAsia="Arial" w:hAnsi="Arial"/>
          <w:sz w:val="18"/>
          <w:szCs w:val="18"/>
          <w:color w:val="auto"/>
        </w:rPr>
        <w:t>As of September 26, 2005, there were 702 Class A Common Stock shareholders of record and approximately 4,000 beneficial shareholders. There are three Class B Common Stock shareholders.</w:t>
      </w:r>
    </w:p>
    <w:p>
      <w:pPr>
        <w:spacing w:after="0" w:line="17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Total Number of</w:t>
            </w:r>
          </w:p>
        </w:tc>
        <w:tc>
          <w:tcPr>
            <w:tcW w:w="1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6"/>
              </w:rPr>
              <w:t>(a)Total Number</w:t>
            </w:r>
          </w:p>
        </w:tc>
        <w:tc>
          <w:tcPr>
            <w:tcW w:w="100" w:type="dxa"/>
            <w:vAlign w:val="bottom"/>
          </w:tcPr>
          <w:p>
            <w:pPr>
              <w:spacing w:after="0"/>
              <w:rPr>
                <w:sz w:val="12"/>
                <w:szCs w:val="12"/>
                <w:color w:val="auto"/>
              </w:rPr>
            </w:pPr>
          </w:p>
        </w:tc>
        <w:tc>
          <w:tcPr>
            <w:tcW w:w="180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2"/>
              </w:rPr>
              <w:t>Average Price</w:t>
            </w:r>
          </w:p>
        </w:tc>
        <w:tc>
          <w:tcPr>
            <w:tcW w:w="21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7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21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7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2"/>
                <w:szCs w:val="12"/>
                <w:color w:val="auto"/>
              </w:rPr>
            </w:pPr>
          </w:p>
        </w:tc>
        <w:tc>
          <w:tcPr>
            <w:tcW w:w="20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8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Paid per</w:t>
            </w:r>
          </w:p>
        </w:tc>
        <w:tc>
          <w:tcPr>
            <w:tcW w:w="21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7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71"/>
        </w:trPr>
        <w:tc>
          <w:tcPr>
            <w:tcW w:w="32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18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2"/>
              </w:rPr>
              <w:t>Share</w:t>
            </w:r>
          </w:p>
        </w:tc>
        <w:tc>
          <w:tcPr>
            <w:tcW w:w="21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Programs</w:t>
            </w:r>
          </w:p>
        </w:tc>
        <w:tc>
          <w:tcPr>
            <w:tcW w:w="17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2005 — May 31, 2005</w:t>
            </w:r>
          </w:p>
        </w:tc>
        <w:tc>
          <w:tcPr>
            <w:tcW w:w="3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NA</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June 1, 2005 — June 30, 2005</w:t>
            </w:r>
          </w:p>
        </w:tc>
        <w:tc>
          <w:tcPr>
            <w:tcW w:w="2360" w:type="dxa"/>
            <w:vAlign w:val="bottom"/>
            <w:gridSpan w:val="3"/>
          </w:tcPr>
          <w:p>
            <w:pPr>
              <w:jc w:val="right"/>
              <w:ind w:right="900"/>
              <w:spacing w:after="0"/>
              <w:rPr>
                <w:sz w:val="20"/>
                <w:szCs w:val="20"/>
                <w:color w:val="auto"/>
              </w:rPr>
            </w:pPr>
            <w:r>
              <w:rPr>
                <w:rFonts w:ascii="Arial" w:cs="Arial" w:eastAsia="Arial" w:hAnsi="Arial"/>
                <w:sz w:val="18"/>
                <w:szCs w:val="18"/>
                <w:color w:val="auto"/>
              </w:rPr>
              <w:t>16,030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31,26</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NA</w:t>
            </w:r>
          </w:p>
        </w:tc>
        <w:tc>
          <w:tcPr>
            <w:tcW w:w="176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2005 — July 31, 2005</w:t>
            </w:r>
          </w:p>
        </w:tc>
        <w:tc>
          <w:tcPr>
            <w:tcW w:w="3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NA</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7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purchased from employees to provide cash for payment of income taxes related to the vesting of restricted stock.</w:t>
      </w:r>
    </w:p>
    <w:p>
      <w:pPr>
        <w:spacing w:after="0" w:line="22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20" w:firstLine="267"/>
        <w:spacing w:after="0" w:line="297" w:lineRule="auto"/>
        <w:rPr>
          <w:sz w:val="20"/>
          <w:szCs w:val="20"/>
          <w:color w:val="auto"/>
        </w:rPr>
      </w:pPr>
      <w:r>
        <w:rPr>
          <w:rFonts w:ascii="Arial" w:cs="Arial" w:eastAsia="Arial" w:hAnsi="Arial"/>
          <w:sz w:val="16"/>
          <w:szCs w:val="16"/>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which can be made annually to $25 million plus 50% of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consolidated net income for the prior fiscal year. The Company believes that based on its historic dividend practice, this restriction will not impede it in following a similar dividend practice in the future.</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During the two most recent fiscal years and for the first quarter of fiscal 2006, the Company declared the following dividends per share on its Class 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 for the years ended July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Year</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1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Ending</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3"/>
        </w:trPr>
        <w:tc>
          <w:tcPr>
            <w:tcW w:w="1560" w:type="dxa"/>
            <w:vAlign w:val="bottom"/>
          </w:tcPr>
          <w:p>
            <w:pPr>
              <w:spacing w:after="0"/>
              <w:rPr>
                <w:sz w:val="13"/>
                <w:szCs w:val="13"/>
                <w:color w:val="auto"/>
              </w:rPr>
            </w:pPr>
          </w:p>
        </w:tc>
        <w:tc>
          <w:tcPr>
            <w:tcW w:w="1620" w:type="dxa"/>
            <w:vAlign w:val="bottom"/>
            <w:gridSpan w:val="2"/>
          </w:tcPr>
          <w:p>
            <w:pPr>
              <w:jc w:val="center"/>
              <w:ind w:left="1005"/>
              <w:spacing w:after="0"/>
              <w:rPr>
                <w:sz w:val="20"/>
                <w:szCs w:val="20"/>
                <w:color w:val="auto"/>
              </w:rPr>
            </w:pPr>
            <w:r>
              <w:rPr>
                <w:rFonts w:ascii="Arial" w:cs="Arial" w:eastAsia="Arial" w:hAnsi="Arial"/>
                <w:sz w:val="13"/>
                <w:szCs w:val="13"/>
                <w:b w:val="1"/>
                <w:bCs w:val="1"/>
                <w:color w:val="auto"/>
                <w:w w:val="89"/>
              </w:rPr>
              <w:t>2006</w:t>
            </w: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ind w:right="25"/>
              <w:spacing w:after="0"/>
              <w:rPr>
                <w:sz w:val="20"/>
                <w:szCs w:val="20"/>
                <w:color w:val="auto"/>
              </w:rPr>
            </w:pPr>
            <w:r>
              <w:rPr>
                <w:rFonts w:ascii="Arial" w:cs="Arial" w:eastAsia="Arial" w:hAnsi="Arial"/>
                <w:sz w:val="13"/>
                <w:szCs w:val="13"/>
                <w:b w:val="1"/>
                <w:bCs w:val="1"/>
                <w:color w:val="auto"/>
                <w:w w:val="89"/>
              </w:rPr>
              <w:t>2005</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0"/>
              </w:rPr>
              <w:t>1st Qtr</w:t>
            </w:r>
          </w:p>
        </w:tc>
        <w:tc>
          <w:tcPr>
            <w:tcW w:w="4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
              <w:spacing w:after="0" w:line="143" w:lineRule="exact"/>
              <w:rPr>
                <w:sz w:val="20"/>
                <w:szCs w:val="20"/>
                <w:color w:val="auto"/>
              </w:rPr>
            </w:pPr>
            <w:r>
              <w:rPr>
                <w:rFonts w:ascii="Arial" w:cs="Arial" w:eastAsia="Arial" w:hAnsi="Arial"/>
                <w:sz w:val="13"/>
                <w:szCs w:val="13"/>
                <w:b w:val="1"/>
                <w:bCs w:val="1"/>
                <w:color w:val="auto"/>
              </w:rPr>
              <w:t>1st Qtr</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2nd Qtr</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rPr>
              <w:t>3rd Qtr</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
              <w:spacing w:after="0" w:line="143" w:lineRule="exact"/>
              <w:rPr>
                <w:sz w:val="20"/>
                <w:szCs w:val="20"/>
                <w:color w:val="auto"/>
              </w:rPr>
            </w:pPr>
            <w:r>
              <w:rPr>
                <w:rFonts w:ascii="Arial" w:cs="Arial" w:eastAsia="Arial" w:hAnsi="Arial"/>
                <w:sz w:val="13"/>
                <w:szCs w:val="13"/>
                <w:b w:val="1"/>
                <w:bCs w:val="1"/>
                <w:color w:val="auto"/>
              </w:rPr>
              <w:t>4th Qtr</w:t>
            </w:r>
          </w:p>
        </w:tc>
        <w:tc>
          <w:tcPr>
            <w:tcW w:w="4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25"/>
              <w:spacing w:after="0" w:line="143" w:lineRule="exact"/>
              <w:rPr>
                <w:sz w:val="20"/>
                <w:szCs w:val="20"/>
                <w:color w:val="auto"/>
              </w:rPr>
            </w:pPr>
            <w:r>
              <w:rPr>
                <w:rFonts w:ascii="Arial" w:cs="Arial" w:eastAsia="Arial" w:hAnsi="Arial"/>
                <w:sz w:val="13"/>
                <w:szCs w:val="13"/>
                <w:b w:val="1"/>
                <w:bCs w:val="1"/>
                <w:color w:val="auto"/>
              </w:rPr>
              <w:t>1st Qtr</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99"/>
              </w:rPr>
              <w:t>2nd Qtr</w:t>
            </w:r>
          </w:p>
        </w:tc>
        <w:tc>
          <w:tcPr>
            <w:tcW w:w="4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rPr>
              <w:t>3rd Qtr</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3"/>
                <w:szCs w:val="13"/>
                <w:b w:val="1"/>
                <w:bCs w:val="1"/>
                <w:color w:val="auto"/>
              </w:rPr>
              <w:t>4th Qtr</w:t>
            </w:r>
          </w:p>
        </w:tc>
        <w:tc>
          <w:tcPr>
            <w:tcW w:w="20" w:type="dxa"/>
            <w:vAlign w:val="bottom"/>
          </w:tcPr>
          <w:p>
            <w:pPr>
              <w:spacing w:after="0"/>
              <w:rPr>
                <w:sz w:val="12"/>
                <w:szCs w:val="12"/>
                <w:color w:val="auto"/>
              </w:rPr>
            </w:pPr>
          </w:p>
        </w:tc>
      </w:tr>
      <w:tr>
        <w:trPr>
          <w:trHeight w:val="200"/>
        </w:trPr>
        <w:tc>
          <w:tcPr>
            <w:tcW w:w="1560" w:type="dxa"/>
            <w:vAlign w:val="bottom"/>
          </w:tcPr>
          <w:p>
            <w:pPr>
              <w:spacing w:after="0"/>
              <w:rPr>
                <w:sz w:val="20"/>
                <w:szCs w:val="20"/>
                <w:color w:val="auto"/>
              </w:rPr>
            </w:pPr>
            <w:r>
              <w:rPr>
                <w:rFonts w:ascii="Arial" w:cs="Arial" w:eastAsia="Arial" w:hAnsi="Arial"/>
                <w:sz w:val="16"/>
                <w:szCs w:val="16"/>
                <w:color w:val="auto"/>
              </w:rPr>
              <w:t>Class A</w:t>
            </w:r>
          </w:p>
        </w:tc>
        <w:tc>
          <w:tcPr>
            <w:tcW w:w="2060" w:type="dxa"/>
            <w:vAlign w:val="bottom"/>
            <w:gridSpan w:val="3"/>
          </w:tcPr>
          <w:p>
            <w:pPr>
              <w:jc w:val="right"/>
              <w:ind w:right="440"/>
              <w:spacing w:after="0"/>
              <w:rPr>
                <w:sz w:val="20"/>
                <w:szCs w:val="20"/>
                <w:color w:val="auto"/>
              </w:rPr>
            </w:pPr>
            <w:r>
              <w:rPr>
                <w:rFonts w:ascii="Arial" w:cs="Arial" w:eastAsia="Arial" w:hAnsi="Arial"/>
                <w:sz w:val="16"/>
                <w:szCs w:val="16"/>
                <w:color w:val="auto"/>
              </w:rPr>
              <w:t>$  0.13</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   0.11</w:t>
            </w: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   0.11</w:t>
            </w: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   0.11</w:t>
            </w: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   0.11</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  0.105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0.105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0.105</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   0.105</w:t>
            </w:r>
          </w:p>
        </w:tc>
      </w:tr>
      <w:tr>
        <w:trPr>
          <w:trHeight w:val="206"/>
        </w:trPr>
        <w:tc>
          <w:tcPr>
            <w:tcW w:w="1560" w:type="dxa"/>
            <w:vAlign w:val="bottom"/>
          </w:tcPr>
          <w:p>
            <w:pPr>
              <w:spacing w:after="0"/>
              <w:rPr>
                <w:sz w:val="20"/>
                <w:szCs w:val="20"/>
                <w:color w:val="auto"/>
              </w:rPr>
            </w:pPr>
            <w:r>
              <w:rPr>
                <w:rFonts w:ascii="Arial" w:cs="Arial" w:eastAsia="Arial" w:hAnsi="Arial"/>
                <w:sz w:val="16"/>
                <w:szCs w:val="16"/>
                <w:color w:val="auto"/>
              </w:rPr>
              <w:t>Class B</w:t>
            </w:r>
          </w:p>
        </w:tc>
        <w:tc>
          <w:tcPr>
            <w:tcW w:w="2060" w:type="dxa"/>
            <w:vAlign w:val="bottom"/>
            <w:gridSpan w:val="3"/>
          </w:tcPr>
          <w:p>
            <w:pPr>
              <w:jc w:val="right"/>
              <w:ind w:right="440"/>
              <w:spacing w:after="0"/>
              <w:rPr>
                <w:sz w:val="20"/>
                <w:szCs w:val="20"/>
                <w:color w:val="auto"/>
              </w:rPr>
            </w:pPr>
            <w:r>
              <w:rPr>
                <w:rFonts w:ascii="Arial" w:cs="Arial" w:eastAsia="Arial" w:hAnsi="Arial"/>
                <w:sz w:val="16"/>
                <w:szCs w:val="16"/>
                <w:color w:val="auto"/>
              </w:rPr>
              <w:t>0.113</w:t>
            </w:r>
          </w:p>
        </w:tc>
        <w:tc>
          <w:tcPr>
            <w:tcW w:w="540" w:type="dxa"/>
            <w:vAlign w:val="bottom"/>
          </w:tcPr>
          <w:p>
            <w:pPr>
              <w:jc w:val="right"/>
              <w:spacing w:after="0"/>
              <w:rPr>
                <w:sz w:val="20"/>
                <w:szCs w:val="20"/>
                <w:color w:val="auto"/>
              </w:rPr>
            </w:pPr>
            <w:r>
              <w:rPr>
                <w:rFonts w:ascii="Arial" w:cs="Arial" w:eastAsia="Arial" w:hAnsi="Arial"/>
                <w:sz w:val="16"/>
                <w:szCs w:val="16"/>
                <w:color w:val="auto"/>
              </w:rPr>
              <w:t>0.093</w:t>
            </w:r>
          </w:p>
        </w:tc>
        <w:tc>
          <w:tcPr>
            <w:tcW w:w="22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0.11</w:t>
            </w: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0.11</w:t>
            </w: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0.11</w:t>
            </w:r>
          </w:p>
        </w:tc>
        <w:tc>
          <w:tcPr>
            <w:tcW w:w="560" w:type="dxa"/>
            <w:vAlign w:val="bottom"/>
          </w:tcPr>
          <w:p>
            <w:pPr>
              <w:jc w:val="right"/>
              <w:spacing w:after="0"/>
              <w:rPr>
                <w:sz w:val="20"/>
                <w:szCs w:val="20"/>
                <w:color w:val="auto"/>
              </w:rPr>
            </w:pPr>
            <w:r>
              <w:rPr>
                <w:rFonts w:ascii="Arial" w:cs="Arial" w:eastAsia="Arial" w:hAnsi="Arial"/>
                <w:sz w:val="16"/>
                <w:szCs w:val="16"/>
                <w:color w:val="auto"/>
              </w:rPr>
              <w:t>0.090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0.105</w:t>
            </w:r>
          </w:p>
        </w:tc>
        <w:tc>
          <w:tcPr>
            <w:tcW w:w="1100" w:type="dxa"/>
            <w:vAlign w:val="bottom"/>
            <w:gridSpan w:val="3"/>
          </w:tcPr>
          <w:p>
            <w:pPr>
              <w:jc w:val="right"/>
              <w:ind w:right="20"/>
              <w:spacing w:after="0"/>
              <w:rPr>
                <w:sz w:val="20"/>
                <w:szCs w:val="20"/>
                <w:color w:val="auto"/>
              </w:rPr>
            </w:pPr>
            <w:r>
              <w:rPr>
                <w:rFonts w:ascii="Arial" w:cs="Arial" w:eastAsia="Arial" w:hAnsi="Arial"/>
                <w:sz w:val="16"/>
                <w:szCs w:val="16"/>
                <w:color w:val="auto"/>
              </w:rPr>
              <w:t>0.105</w:t>
            </w:r>
          </w:p>
        </w:tc>
      </w:tr>
    </w:tbl>
    <w:p>
      <w:pPr>
        <w:spacing w:after="0" w:line="10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Dividends in the above table have been adjusted for a two-for-one stock split in the form of a 100% stock dividend, effective December 31, 2004.</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2001 through 2005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2002</w:t>
            </w:r>
          </w:p>
        </w:tc>
        <w:tc>
          <w:tcPr>
            <w:tcW w:w="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72"/>
              </w:rPr>
              <w:t>thousands,</w:t>
            </w:r>
          </w:p>
        </w:tc>
        <w:tc>
          <w:tcPr>
            <w:tcW w:w="2800" w:type="dxa"/>
            <w:vAlign w:val="bottom"/>
            <w:gridSpan w:val="6"/>
          </w:tcPr>
          <w:p>
            <w:pPr>
              <w:jc w:val="right"/>
              <w:ind w:right="1080"/>
              <w:spacing w:after="0" w:line="155" w:lineRule="exact"/>
              <w:rPr>
                <w:sz w:val="20"/>
                <w:szCs w:val="20"/>
                <w:color w:val="auto"/>
              </w:rPr>
            </w:pPr>
            <w:r>
              <w:rPr>
                <w:rFonts w:ascii="Arial" w:cs="Arial" w:eastAsia="Arial" w:hAnsi="Arial"/>
                <w:sz w:val="14"/>
                <w:szCs w:val="14"/>
                <w:b w:val="1"/>
                <w:bCs w:val="1"/>
                <w:color w:val="auto"/>
                <w:w w:val="95"/>
              </w:rPr>
              <w:t>except per share amounts)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816,447</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671,219</w:t>
            </w:r>
          </w:p>
        </w:tc>
        <w:tc>
          <w:tcPr>
            <w:tcW w:w="5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554,866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516,962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545,944</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345,361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279,149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260,776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288,631</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23,028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18,873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17,271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20,329</w:t>
            </w: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285,746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248,171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219,861</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199,282</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214,220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charge —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9,589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9,560</w:t>
            </w:r>
          </w:p>
        </w:tc>
      </w:tr>
      <w:tr>
        <w:trPr>
          <w:trHeight w:val="230"/>
        </w:trPr>
        <w:tc>
          <w:tcPr>
            <w:tcW w:w="20" w:type="dxa"/>
            <w:vAlign w:val="bottom"/>
          </w:tcPr>
          <w:p>
            <w:pPr>
              <w:spacing w:after="0"/>
              <w:rPr>
                <w:sz w:val="20"/>
                <w:szCs w:val="20"/>
                <w:color w:val="auto"/>
              </w:rPr>
            </w:pPr>
          </w:p>
        </w:tc>
        <w:tc>
          <w:tcPr>
            <w:tcW w:w="41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310,824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274,380</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248,323</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219,273</w:t>
            </w: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244,109</w:t>
            </w:r>
          </w:p>
        </w:tc>
        <w:tc>
          <w:tcPr>
            <w:tcW w:w="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122,452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70,981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30,826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41,503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44,522</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and other income —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w:t>
            </w: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93"/>
              <w:spacing w:after="0"/>
              <w:rPr>
                <w:sz w:val="20"/>
                <w:szCs w:val="20"/>
                <w:color w:val="auto"/>
              </w:rPr>
            </w:pPr>
            <w:r>
              <w:rPr>
                <w:rFonts w:ascii="Arial" w:cs="Arial" w:eastAsia="Arial" w:hAnsi="Arial"/>
                <w:sz w:val="18"/>
                <w:szCs w:val="18"/>
                <w:color w:val="auto"/>
              </w:rPr>
              <w:t>(1,231)</w:t>
            </w:r>
          </w:p>
        </w:tc>
        <w:tc>
          <w:tcPr>
            <w:tcW w:w="2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(418)</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other income (expense)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70,327</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32,455</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43,135</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44,790</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19,456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11,035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14,882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17,244</w:t>
            </w: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21,420</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28,253</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27,546</w:t>
            </w:r>
          </w:p>
        </w:tc>
        <w:tc>
          <w:tcPr>
            <w:tcW w:w="28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 — (Diluted):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Class A Nonvoting</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53"/>
              <w:spacing w:after="0"/>
              <w:rPr>
                <w:sz w:val="20"/>
                <w:szCs w:val="20"/>
                <w:color w:val="auto"/>
              </w:rPr>
            </w:pPr>
            <w:r>
              <w:rPr>
                <w:rFonts w:ascii="Arial" w:cs="Arial" w:eastAsia="Arial" w:hAnsi="Arial"/>
                <w:sz w:val="18"/>
                <w:szCs w:val="18"/>
                <w:color w:val="auto"/>
              </w:rPr>
              <w:t>1.07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0.59</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B Voting</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0.58</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Common Stock</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0.44</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Class B Common Stock</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53"/>
              <w:spacing w:after="0"/>
              <w:rPr>
                <w:sz w:val="20"/>
                <w:szCs w:val="20"/>
                <w:color w:val="auto"/>
              </w:rPr>
            </w:pPr>
            <w:r>
              <w:rPr>
                <w:rFonts w:ascii="Arial" w:cs="Arial" w:eastAsia="Arial" w:hAnsi="Arial"/>
                <w:sz w:val="18"/>
                <w:szCs w:val="18"/>
                <w:color w:val="auto"/>
              </w:rPr>
              <w:t>0.40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0.37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0.35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Working capital</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141,560</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131,706</w:t>
            </w:r>
          </w:p>
        </w:tc>
        <w:tc>
          <w:tcPr>
            <w:tcW w:w="5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123,878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135,764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123,830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850,147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697,900</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449,519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420,525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393,592</w:t>
            </w: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Long-term obligations, less current maturities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150,019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3,751</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4,144</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Stockholders’ investment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497,274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338,961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324,242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302,579</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53"/>
              <w:spacing w:after="0"/>
              <w:rPr>
                <w:sz w:val="20"/>
                <w:szCs w:val="20"/>
                <w:color w:val="auto"/>
              </w:rPr>
            </w:pPr>
            <w:r>
              <w:rPr>
                <w:rFonts w:ascii="Arial" w:cs="Arial" w:eastAsia="Arial" w:hAnsi="Arial"/>
                <w:sz w:val="18"/>
                <w:szCs w:val="18"/>
                <w:color w:val="auto"/>
              </w:rPr>
              <w:t>87,646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57,316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54,251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53,228</w:t>
            </w:r>
          </w:p>
        </w:tc>
      </w:tr>
      <w:tr>
        <w:trPr>
          <w:trHeight w:val="216"/>
        </w:trPr>
        <w:tc>
          <w:tcPr>
            <w:tcW w:w="2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26,822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53"/>
              <w:spacing w:after="0"/>
              <w:rPr>
                <w:sz w:val="20"/>
                <w:szCs w:val="20"/>
                <w:color w:val="auto"/>
              </w:rPr>
            </w:pPr>
            <w:r>
              <w:rPr>
                <w:rFonts w:ascii="Arial" w:cs="Arial" w:eastAsia="Arial" w:hAnsi="Arial"/>
                <w:sz w:val="18"/>
                <w:szCs w:val="18"/>
                <w:color w:val="auto"/>
              </w:rPr>
              <w:t>20,190</w:t>
            </w:r>
          </w:p>
        </w:tc>
        <w:tc>
          <w:tcPr>
            <w:tcW w:w="2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17,771</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16,630</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22,646</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(14,892)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(14,438)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(13,095)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(20,770)</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0"/>
        <w:spacing w:after="0" w:line="344"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5"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fiscal 2005, the Company posted record sales of $816,447,000 and record net income of $81,947,000, an increase of 21.6% and 61.1%, respectively, over fiscal 2004. The increase is the result of disciplined execution of the Company’s business plan and successful integration of acquisitions, aided by a good economy and favorable foreign exchange rates.</w:t>
      </w:r>
    </w:p>
    <w:p>
      <w:pPr>
        <w:spacing w:after="0" w:line="73" w:lineRule="exact"/>
        <w:rPr>
          <w:sz w:val="20"/>
          <w:szCs w:val="20"/>
          <w:color w:val="auto"/>
        </w:rPr>
      </w:pPr>
    </w:p>
    <w:p>
      <w:pPr>
        <w:ind w:right="460" w:firstLine="270"/>
        <w:spacing w:after="0" w:line="277" w:lineRule="auto"/>
        <w:rPr>
          <w:sz w:val="20"/>
          <w:szCs w:val="20"/>
          <w:color w:val="auto"/>
        </w:rPr>
      </w:pPr>
      <w:r>
        <w:rPr>
          <w:rFonts w:ascii="Arial" w:cs="Arial" w:eastAsia="Arial" w:hAnsi="Arial"/>
          <w:sz w:val="18"/>
          <w:szCs w:val="18"/>
          <w:color w:val="auto"/>
        </w:rPr>
        <w:t>Of the 21.6% increase in sales, base sales grew 5.7%, acquisitions added 12.7%, and foreign currency added 3.2%. Americas sales increased 22.2%, European sales rose 10.7%, and sales from the Asia Pacific operations increased 53.1%.</w:t>
      </w:r>
    </w:p>
    <w:p>
      <w:pPr>
        <w:spacing w:after="0" w:line="62"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Net income for fiscal 2005 rose 61.1% to $81,947,000 or $1.64 per diluted share of Class A Common Stock, compared to $50,871,000 or $1.07 per diluted share of Class A Common Stock in fiscal 2004. Fiscal 2004 net income included a $3 million tax benefit from completion of a tax audit, and charges of $2.2 million after tax related to the restructuring begun in fiscal 2003.</w:t>
      </w:r>
    </w:p>
    <w:p>
      <w:pPr>
        <w:spacing w:after="0" w:line="73"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In fiscal 2005, the Company focused on leveraging its strengths. Acquisitions focused on businesses that management understands well in order to deepen market penetration or expand the Company’s global footprint. New proprietary product offerings capitalized on Brady’s core competencies in specialty materials, software development and regulatory expertise. The Company also invested in expanding many of its global operations with new equipment and capacity.</w:t>
      </w:r>
    </w:p>
    <w:p>
      <w:pPr>
        <w:spacing w:after="0" w:line="79"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Brady acquired four companies in fiscal 2005 — businesses that span the globe from the U.S. to Europe to Southeast Asia. As a result of good timing and a disciplined acquisition process, the new members of the Brady team are already making significant contributions.</w:t>
      </w:r>
    </w:p>
    <w:p>
      <w:pPr>
        <w:spacing w:after="0" w:line="62" w:lineRule="exact"/>
        <w:rPr>
          <w:sz w:val="20"/>
          <w:szCs w:val="20"/>
          <w:color w:val="auto"/>
        </w:rPr>
      </w:pPr>
    </w:p>
    <w:p>
      <w:pPr>
        <w:ind w:right="40" w:firstLine="267"/>
        <w:spacing w:after="0" w:line="286" w:lineRule="auto"/>
        <w:rPr>
          <w:sz w:val="20"/>
          <w:szCs w:val="20"/>
          <w:color w:val="auto"/>
        </w:rPr>
      </w:pPr>
      <w:r>
        <w:rPr>
          <w:rFonts w:ascii="Arial" w:cs="Arial" w:eastAsia="Arial" w:hAnsi="Arial"/>
          <w:sz w:val="17"/>
          <w:szCs w:val="17"/>
          <w:color w:val="auto"/>
        </w:rPr>
        <w:t>The Company is adding 90,000 square feet for a consolidated warehouse and distribution center at its corporate headquarters in Milwaukee. Other activities include expansion of operations in Wuxi and Shenzhen, China, Sydney, Australia, Bratislava, Slovakia and Manaus, Brazil. Brady strives to employ the same high safety and environmental standards across the globe regardless of lesser government requirements in some areas.</w:t>
      </w:r>
    </w:p>
    <w:p>
      <w:pPr>
        <w:spacing w:after="0" w:line="57"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Brady remains a financially strong company, with a solid balance sheet and excellent cash flow. The Company made a two-for-one stock split in the form of a 100% stock dividend, effective December 31, 2004, and in September 2005 the Company announced it was increasing the cash dividend payment for the 20th straight year.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fiscal 2006, management expects annual sales to be in the range of $870,000,000 and $880,000,000 with net income of $89,000,000 to $91,000,000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full fiscal year. The Company expects base sales growth of between 4.0% and 5.0%, including a reduction of the positive effect of foreign currency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of between 2.0% and 3.0% over the full fiscal year. We also expect depreciation and amortization of $28,000,000 and capital expenditures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$25,000,000. The guidance we have issued includes the results of all acquisitions announced through September 2005. We expect the effective tax rate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 at 29.0% in fiscal 2006.</w:t>
      </w:r>
    </w:p>
    <w:p>
      <w:pPr>
        <w:spacing w:after="0" w:line="103" w:lineRule="exact"/>
        <w:rPr>
          <w:sz w:val="20"/>
          <w:szCs w:val="20"/>
          <w:color w:val="auto"/>
        </w:rPr>
      </w:pPr>
    </w:p>
    <w:p>
      <w:pPr>
        <w:ind w:right="320" w:firstLine="270"/>
        <w:spacing w:after="0" w:line="264" w:lineRule="auto"/>
        <w:rPr>
          <w:sz w:val="20"/>
          <w:szCs w:val="20"/>
          <w:color w:val="auto"/>
        </w:rPr>
      </w:pPr>
      <w:r>
        <w:rPr>
          <w:rFonts w:ascii="Arial" w:cs="Arial" w:eastAsia="Arial" w:hAnsi="Arial"/>
          <w:sz w:val="18"/>
          <w:szCs w:val="18"/>
          <w:color w:val="auto"/>
        </w:rPr>
        <w:t>Looking long term, the Company intends to continue targeting 10% growth in sales per year, with half from base business growth and half from acquisitions. Over the next five years, management plans to gradually improve net income as a percentage of sales from the previously disclosed target of 10% to 12% of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 Ended July 31, 2005, Compared to Year Ended July 31, 2004</w:t>
      </w:r>
    </w:p>
    <w:p>
      <w:pPr>
        <w:spacing w:after="0" w:line="11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Sales for fiscal 2005 increased by $145,228,000 or 21.6% from fiscal 2004. Base sales, defined as sales in the Company’s existing core businesses and regions (exclusive of acquisitions and foreign currency effects), increased $38,392,000 or 5.7% for the same period. The acquisitions of ID Technologies (August 2004) in Singapore, Electromark (February 2005) in the United States, and Signs &amp; Labels (June 2005) in the UK, increased sales by $85,502,000 or 12.7% in fiscal 2005 compared to fiscal 2004. The results of the acquisition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Technology Print Supplies, Ltd., and its associate, Technology and Supply Media Co., Ltd. in Thailand had minimal impact on the results of Brady Corporation for fiscal 2005 because they were purchased at the close of business on July 29, 2005. The increase in sales was also aided by the positive effect of fluctuations in the exchange rates used to translate financial results into the United States Dollar, which increased sales by $21,334,000 or 3.2% for the year.</w:t>
      </w:r>
    </w:p>
    <w:p>
      <w:pPr>
        <w:spacing w:after="0" w:line="79"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gross margin as a percentage of sales increased from 51.5% in fiscal 2004 to 53.1% in fiscal 2005. The increase was primarily due to the following three factors:</w:t>
      </w:r>
    </w:p>
    <w:p>
      <w:pPr>
        <w:spacing w:after="0" w:line="62" w:lineRule="exact"/>
        <w:rPr>
          <w:sz w:val="20"/>
          <w:szCs w:val="20"/>
          <w:color w:val="auto"/>
        </w:rPr>
      </w:pPr>
    </w:p>
    <w:p>
      <w:pPr>
        <w:ind w:left="980" w:hanging="3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Improved product mix attributable to EMED products, which carry a higher gross margin;</w:t>
      </w:r>
    </w:p>
    <w:p>
      <w:pPr>
        <w:spacing w:after="0" w:line="130" w:lineRule="exact"/>
        <w:rPr>
          <w:rFonts w:ascii="Arial" w:cs="Arial" w:eastAsia="Arial" w:hAnsi="Arial"/>
          <w:sz w:val="18"/>
          <w:szCs w:val="18"/>
          <w:color w:val="auto"/>
        </w:rPr>
      </w:pPr>
    </w:p>
    <w:p>
      <w:pPr>
        <w:ind w:left="980" w:hanging="351"/>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Improvement in North American margins due to improved product mix and continued cost control efforts;</w:t>
      </w:r>
    </w:p>
    <w:p>
      <w:pPr>
        <w:spacing w:after="0" w:line="130" w:lineRule="exact"/>
        <w:rPr>
          <w:rFonts w:ascii="Arial" w:cs="Arial" w:eastAsia="Arial" w:hAnsi="Arial"/>
          <w:sz w:val="18"/>
          <w:szCs w:val="18"/>
          <w:color w:val="auto"/>
        </w:rPr>
      </w:pPr>
    </w:p>
    <w:p>
      <w:pPr>
        <w:ind w:left="360" w:right="420" w:firstLine="269"/>
        <w:spacing w:after="0" w:line="277" w:lineRule="auto"/>
        <w:tabs>
          <w:tab w:leader="none" w:pos="9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Partially offset by decreased margins due to increased sales in Asia, where gross margins are lower due to a higher percentage of business coming from OEM electronics customers.</w:t>
      </w:r>
    </w:p>
    <w:p>
      <w:pPr>
        <w:spacing w:after="0" w:line="62"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Research and development expenses as a percentage of sales fell from 3.4% in fiscal 2004 to 3.1% in fiscal 2005. Research and development spending increases of 8.9% were offset by a 21.6% increase in sales in fiscal 2005. Research and development spending was lower than expected in the first three quarters of fiscal 2005 as it has taken longer than expected to hire senior-level research and development personnel. In the fourth quarter of fiscal 2005, research and development spending increased 15.5% over the same period in fiscal 2004. The Company has been successful recently in hiring key personnel and forecasted expenses for fiscal 2006 include an increase in research and development costs to fund development of new products at a more rapid rate.</w:t>
      </w:r>
    </w:p>
    <w:p>
      <w:pPr>
        <w:spacing w:after="0" w:line="50" w:lineRule="exact"/>
        <w:rPr>
          <w:sz w:val="20"/>
          <w:szCs w:val="20"/>
          <w:color w:val="auto"/>
        </w:rPr>
      </w:pPr>
    </w:p>
    <w:p>
      <w:pPr>
        <w:jc w:val="both"/>
        <w:ind w:right="20" w:firstLine="270"/>
        <w:spacing w:after="0" w:line="312" w:lineRule="auto"/>
        <w:rPr>
          <w:sz w:val="20"/>
          <w:szCs w:val="20"/>
          <w:color w:val="auto"/>
        </w:rPr>
      </w:pPr>
      <w:r>
        <w:rPr>
          <w:rFonts w:ascii="Arial" w:cs="Arial" w:eastAsia="Arial" w:hAnsi="Arial"/>
          <w:sz w:val="16"/>
          <w:szCs w:val="16"/>
          <w:color w:val="auto"/>
        </w:rPr>
        <w:t>Selling, general and administrative expenses as a percentage of sales decreased to 35.0% in fiscal 2005 from 37.0% in fiscal 2004. The decrease was due primarily to the use of existing resources to service greater sales volume and the increasing sales in Asia, which has lower selling, general and administrative costs than the other regions. Offsetting the sales volume increase were compliance costs related to the Sarbanes-Oxley Act of 2002.</w:t>
      </w:r>
    </w:p>
    <w:p>
      <w:pPr>
        <w:spacing w:after="0" w:line="39"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Fiscal 2004 expenses included a before tax net restructuring charge of $3,181,000. Approximately $2,900,000 of the charge related to severance costs for employees. The remaining amount was due to asset disposal at facilities, primarily in North America and Europe.</w:t>
      </w:r>
    </w:p>
    <w:p>
      <w:pPr>
        <w:spacing w:after="0" w:line="62"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Operating income increased $51,471,000 to $122,452,000 in fiscal 2005. The majority of the increase was due to sales growth, strong cost control, the increased earnings of recent acquisitions, and the benefit of fluctuations in exchange rates. The 2004 operating income included $3,181,000 of restructuring costs.</w:t>
      </w:r>
    </w:p>
    <w:p>
      <w:pPr>
        <w:spacing w:after="0" w:line="73"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color w:val="auto"/>
        </w:rPr>
        <w:t>Investment and other income increased $792,000 in fiscal 2005 from the prior year, primarily due to the net effect of foreign exchange rates on the Company’s hedge contracts and on short-term intercompany loans.</w:t>
      </w:r>
    </w:p>
    <w:p>
      <w:pPr>
        <w:spacing w:after="0" w:line="62"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Interest expense increased $7,172,000 in fiscal 2005 due to the interest on the debt related to the acquisition of EMED. Fiscal 2005 included a full year of interest, while fiscal 2004 included less than three months.</w:t>
      </w:r>
    </w:p>
    <w:p>
      <w:pPr>
        <w:spacing w:after="0" w:line="62"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Company’s effective tax rate increased from 27.7% for fiscal 2004 to 29.0% for fiscal 2005. The fiscal 2004 effective tax rate included $3,000,000 related to the completion of the federal income tax audit of fiscal years 2000 through 2002. The improvement in the effective rate (excluding the tax audit adjustment) was due to a shift in a portion of the Company’s pre-tax income to lower tax countries. An effective income tax rate of 29% is expected for fiscal 2006.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Year Ended July 31, 2004, Compared to Year Ended July 31, 2003</w:t>
      </w:r>
    </w:p>
    <w:p>
      <w:pPr>
        <w:spacing w:after="0" w:line="117"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color w:val="auto"/>
        </w:rPr>
        <w:t>Sales for fiscal 2004 increased by $116,353,000 or 21.0% from fiscal 2003. Base sales increased $28,319,000 or 5.1% for the same period. The acquisitions of Cleere Advantage Ltd. (February 2003), Aztech Ltd. (August 2003), and B.I.G (November 2003) in the UK; Etimark GmbH (April 2003) in Germany; and TISCOR Inc. (January 2003), Brandon International (September 2003), Prinzing Enterprises, Inc. (October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2003), and EMED (May 2004) in the United States increased sales by $53,747,000 or 9.7% in fiscal 2004 compared to fiscal 2003. The increase in sales was also aided by the positive effect of fluctuations in the exchange rates used to translate financial results into the United States Dollar, which increased sales by $34,287,000 or 6.2% for the period.</w:t>
      </w:r>
    </w:p>
    <w:p>
      <w:pPr>
        <w:spacing w:after="0" w:line="73" w:lineRule="exact"/>
        <w:rPr>
          <w:sz w:val="20"/>
          <w:szCs w:val="20"/>
          <w:color w:val="auto"/>
        </w:rPr>
      </w:pPr>
    </w:p>
    <w:p>
      <w:pPr>
        <w:ind w:right="240" w:firstLine="267"/>
        <w:spacing w:after="0" w:line="308" w:lineRule="auto"/>
        <w:rPr>
          <w:sz w:val="20"/>
          <w:szCs w:val="20"/>
          <w:color w:val="auto"/>
        </w:rPr>
      </w:pPr>
      <w:r>
        <w:rPr>
          <w:rFonts w:ascii="Arial" w:cs="Arial" w:eastAsia="Arial" w:hAnsi="Arial"/>
          <w:sz w:val="17"/>
          <w:szCs w:val="17"/>
          <w:color w:val="auto"/>
        </w:rPr>
        <w:t>The gross margin as a percentage of sales increased from 50.3% in fiscal 2003 to 51.5% in fiscal 2004. The increase was primarily due to restructuring cost savings from consolidation of facilities and workforce reductions. Additionally, operating costs improved as a percent of sales.</w:t>
      </w:r>
    </w:p>
    <w:p>
      <w:pPr>
        <w:spacing w:after="0" w:line="38"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Research and development expenses as a percentage of sales were unchanged at 3.4%. Research and development spending increases of 22.0% were offset by a 21.0% increase in sales. Research and development spending was higher in fiscal 2004 compared to fiscal 2003 due to the timing of large projects.</w:t>
      </w:r>
    </w:p>
    <w:p>
      <w:pPr>
        <w:spacing w:after="0" w:line="16"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Selling, general and administrative expenses as a percentage of sales decreased to 37.0% in fiscal 2004 from 39.6% in fiscal 2003. The decrease was due primarily to the use of existing resources to service greater sales volume. Additionally, the regionally structured sales force in place in fiscal 2004 was more efficient than the product-specific sales force that existed in fiscal 2003.</w:t>
      </w:r>
    </w:p>
    <w:p>
      <w:pPr>
        <w:spacing w:after="0" w:line="73"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Fiscal 2004 expenses included a before tax net restructuring charge of $3,181,000. Approximately $2,900,000 of the charge related to severance costs for employees. The remaining amount was due to asset impairment at facilities, primarily in North America and Europe.</w:t>
      </w:r>
    </w:p>
    <w:p>
      <w:pPr>
        <w:spacing w:after="0" w:line="62" w:lineRule="exact"/>
        <w:rPr>
          <w:sz w:val="20"/>
          <w:szCs w:val="20"/>
          <w:color w:val="auto"/>
        </w:rPr>
      </w:pPr>
    </w:p>
    <w:p>
      <w:pPr>
        <w:ind w:right="420" w:firstLine="270"/>
        <w:spacing w:after="0" w:line="259" w:lineRule="auto"/>
        <w:rPr>
          <w:sz w:val="20"/>
          <w:szCs w:val="20"/>
          <w:color w:val="auto"/>
        </w:rPr>
      </w:pPr>
      <w:r>
        <w:rPr>
          <w:rFonts w:ascii="Arial" w:cs="Arial" w:eastAsia="Arial" w:hAnsi="Arial"/>
          <w:sz w:val="18"/>
          <w:szCs w:val="18"/>
          <w:color w:val="auto"/>
        </w:rPr>
        <w:t>Fiscal 2003 expenses included a before tax net restructuring charge of $9,589,000, which included a $10,215,000 charge relating primarily to consolidation of sales and marketing resources in North America and Europe, consolidating operating facilities in the United States and Europe, and a workforce reduction. The $10,215,000 charge was partially offset by a $626,000 adjustment to the fiscal 2002 and 2001 restructuring accruals related to favorable settlement of leases upon termination.</w:t>
      </w:r>
    </w:p>
    <w:p>
      <w:pPr>
        <w:spacing w:after="0" w:line="79" w:lineRule="exact"/>
        <w:rPr>
          <w:sz w:val="20"/>
          <w:szCs w:val="20"/>
          <w:color w:val="auto"/>
        </w:rPr>
      </w:pPr>
    </w:p>
    <w:p>
      <w:pPr>
        <w:ind w:right="360" w:firstLine="270"/>
        <w:spacing w:after="0" w:line="308" w:lineRule="auto"/>
        <w:rPr>
          <w:sz w:val="20"/>
          <w:szCs w:val="20"/>
          <w:color w:val="auto"/>
        </w:rPr>
      </w:pPr>
      <w:r>
        <w:rPr>
          <w:rFonts w:ascii="Arial" w:cs="Arial" w:eastAsia="Arial" w:hAnsi="Arial"/>
          <w:sz w:val="17"/>
          <w:szCs w:val="17"/>
          <w:color w:val="auto"/>
        </w:rPr>
        <w:t>Operating income increased $40,155,000 to $70,981,000 in fiscal 2004. The majority of the increase was due to sales growth, strong cost control, the benefit of positive foreign exchange rates, the results of acquisitions, and savings realized from the 2003 restructuring activities.</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Investment and other income decreased $1,173,000 in fiscal 2004 from the prior year, primarily due to the net effect of foreign exchange rates.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Interest expense increased $1,110,000 in fiscal 2004 due to the interest on the debt related to the acquisition of EMED.</w:t>
      </w:r>
    </w:p>
    <w:p>
      <w:pPr>
        <w:spacing w:after="0" w:line="117" w:lineRule="exact"/>
        <w:rPr>
          <w:sz w:val="20"/>
          <w:szCs w:val="20"/>
          <w:color w:val="auto"/>
        </w:rPr>
      </w:pPr>
    </w:p>
    <w:p>
      <w:pPr>
        <w:jc w:val="both"/>
        <w:ind w:right="180" w:firstLine="267"/>
        <w:spacing w:after="0" w:line="264" w:lineRule="auto"/>
        <w:rPr>
          <w:sz w:val="20"/>
          <w:szCs w:val="20"/>
          <w:color w:val="auto"/>
        </w:rPr>
      </w:pPr>
      <w:r>
        <w:rPr>
          <w:rFonts w:ascii="Arial" w:cs="Arial" w:eastAsia="Arial" w:hAnsi="Arial"/>
          <w:sz w:val="18"/>
          <w:szCs w:val="18"/>
          <w:color w:val="auto"/>
        </w:rPr>
        <w:t>The Company’s effective tax rate decreased from 34.0% for fiscal 2003 to 27.7% for fiscal 2004. The fiscal 2004 effective tax rate included $3,000,000 related to the completion of the federal income tax audit of fiscal years 2000 through 2002. The improvement in the effective income tax rate was due to a shift in the Company’s pre-tax income to lower tax countries.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Operating Results</w:t>
      </w:r>
    </w:p>
    <w:p>
      <w:pPr>
        <w:spacing w:after="0" w:line="121" w:lineRule="exact"/>
        <w:rPr>
          <w:sz w:val="20"/>
          <w:szCs w:val="20"/>
          <w:color w:val="auto"/>
        </w:rPr>
      </w:pPr>
    </w:p>
    <w:p>
      <w:pPr>
        <w:ind w:right="640" w:firstLine="267"/>
        <w:spacing w:after="0" w:line="277" w:lineRule="auto"/>
        <w:rPr>
          <w:sz w:val="20"/>
          <w:szCs w:val="20"/>
          <w:color w:val="auto"/>
        </w:rPr>
      </w:pPr>
      <w:r>
        <w:rPr>
          <w:rFonts w:ascii="Arial" w:cs="Arial" w:eastAsia="Arial" w:hAnsi="Arial"/>
          <w:sz w:val="18"/>
          <w:szCs w:val="18"/>
          <w:color w:val="auto"/>
        </w:rPr>
        <w:t>The segment table required by this Item is provided in Note 7 of the Notes to Consolidated Financial Statements contained in Item 8 —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121"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Sales in the Americas region increased 22.2% from fiscal 2004 to fiscal 2005, and 14.5% from fiscal 2003 to fiscal 2004. Base sales in local currency increased 4.4% from 2004 to 2005 and 1.9% from 2003 to 2004. The base sales increase in fiscal 2005 was due partially to an improving economy in the United States and strong performance in the industrial OEM and electronics markets. Also contributing to the base growth increase are the following factors: Canada turned the corner in fiscal 2005 and posted double-digit base growth year over year and Brazil and Mexico reported double-digit base growth in fiscal 2005 as well. The base sales increase in 2004 was aided by strong improvement in the industrial OEM and electronics markets, while the non-residential construction market remained soft. The base sales increase in fiscal 2004 can also be attributed to</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addition of several new products including the IDXPERT</w:t>
      </w:r>
      <w:r>
        <w:rPr>
          <w:rFonts w:ascii="Arial" w:cs="Arial" w:eastAsia="Arial" w:hAnsi="Arial"/>
          <w:sz w:val="10"/>
          <w:szCs w:val="10"/>
          <w:color w:val="auto"/>
        </w:rPr>
        <w:t>TM</w:t>
      </w:r>
      <w:r>
        <w:rPr>
          <w:rFonts w:ascii="Arial" w:cs="Arial" w:eastAsia="Arial" w:hAnsi="Arial"/>
          <w:sz w:val="18"/>
          <w:szCs w:val="18"/>
          <w:color w:val="auto"/>
        </w:rPr>
        <w:t xml:space="preserve"> labeling system. The acquisitions of Brandon International, Prinzing Enterprises Inc., EMED, and Electromark added 16.6% to fiscal 2005 sales. The acquisitions of Tiscor, Inc., Brandon International, Prinzing Enterprises Inc., and EMED added 11.4% to fiscal 2004 sales. The positive effect of fluctuations in the exchange rates used to translate financial results into U.S. currency increased sales in the region by 1.2% in fiscal 2005 and fiscal 2004. Management believes that 4.4% base growth in the Americas represents strong performance in this region and expects base growth to continue at approximately this level going forward.</w:t>
      </w:r>
    </w:p>
    <w:p>
      <w:pPr>
        <w:spacing w:after="0" w:line="80"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In the Americas region, segment profit as a percentage of sales increased to 23.5% in 2005 from 17.6% in 2004 driven by the increase in sales volume, profit from acquisitions, continuing cost savings, primarily in the direct marketing business and the benefits from lower manufacturing costs of higher volume stock products as we transferred production to the Company’s Mexico subsidiary. Comparing fiscal 2004 to 2003, segment profit as a percentage of sales increased from 14.1% to 17.6%, due to the increase in sales and the related impact of our fixed costs over a larger sales volume and the combination of sales forces.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121" w:lineRule="exact"/>
        <w:rPr>
          <w:sz w:val="20"/>
          <w:szCs w:val="20"/>
          <w:color w:val="auto"/>
        </w:rPr>
      </w:pPr>
    </w:p>
    <w:p>
      <w:pPr>
        <w:ind w:right="260" w:firstLine="270"/>
        <w:spacing w:after="0" w:line="279" w:lineRule="auto"/>
        <w:rPr>
          <w:sz w:val="20"/>
          <w:szCs w:val="20"/>
          <w:color w:val="auto"/>
        </w:rPr>
      </w:pPr>
      <w:r>
        <w:rPr>
          <w:rFonts w:ascii="Arial" w:cs="Arial" w:eastAsia="Arial" w:hAnsi="Arial"/>
          <w:sz w:val="17"/>
          <w:szCs w:val="17"/>
          <w:color w:val="auto"/>
        </w:rPr>
        <w:t>Sales in the European region increased 10.7% in fiscal 2005 from fiscal 2004 and 25.2% from fiscal 2003 to 2004. Base sales increased 2.5% in fiscal 2005 and fiscal 2004. Foreign currency translation increased the region’s sales by 6.0% from fiscal 2004 to 2005 compared to a 12.7% increase from fiscal 2003 to 2004. The acquisitions of B.I.G. and Signs &amp; Labels added 2.2% to the region’s sales in fiscal 2005 and the acquisitions of Etimark GmbH in Germany, and Cleere Advantage Ltd. and B.I.G. in the United Kingdom added 10.0% to the region’s sales in fiscal 2004.</w:t>
      </w:r>
    </w:p>
    <w:p>
      <w:pPr>
        <w:spacing w:after="0" w:line="6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Segment profit as a percentage of sales increased to 29.0% in fiscal 2005 from 26.7% in fiscal 2004 and to 26.7% in fiscal 2004 from 23.9% in fiscal 2003 due to the restructuring activity completed during fiscal 2004 and continued operational improvements.</w:t>
      </w:r>
    </w:p>
    <w:p>
      <w:pPr>
        <w:spacing w:after="0" w:line="62"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Management is excited about the Company’s recent expansion into Bratislava, Slovakia in August 2005, which increases our presence in Eastern Europe. Management is also optimistic about the acquisition of Texit in September 2005, which expands our position in the wire marker market and increases our coverage in Denmark and Norway.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121" w:lineRule="exact"/>
        <w:rPr>
          <w:sz w:val="20"/>
          <w:szCs w:val="20"/>
          <w:color w:val="auto"/>
        </w:rPr>
      </w:pPr>
    </w:p>
    <w:p>
      <w:pPr>
        <w:ind w:right="20" w:firstLine="260"/>
        <w:spacing w:after="0" w:line="257" w:lineRule="auto"/>
        <w:rPr>
          <w:sz w:val="20"/>
          <w:szCs w:val="20"/>
          <w:color w:val="auto"/>
        </w:rPr>
      </w:pPr>
      <w:r>
        <w:rPr>
          <w:rFonts w:ascii="Arial" w:cs="Arial" w:eastAsia="Arial" w:hAnsi="Arial"/>
          <w:sz w:val="18"/>
          <w:szCs w:val="18"/>
          <w:color w:val="auto"/>
        </w:rPr>
        <w:t>Asia sales increased 53.1% in fiscal 2005 from fiscal 2004 and 40.4% from fiscal 2003 to 2004. Base sales increased 21.4% in fiscal 2005 and 30.8% in fiscal 2004. Foreign currency translation increased the region’s sales by 3.0% from fiscal 2004 to 2005 compared to a 9.6% increase from fiscal 2003 to 2004. The acquisition of ID Technologies added 28.7% to the region’s sales in fiscal 2005. Of the 21.4% increase in base sales in fiscal 2005 and the 30.8% increase in base sales in fiscal 2004, 79.3% and 74.7%, respectively, was driven by the growth in China. A strong Asian economy contributed to the base sales increase in the Asia region in fiscal 2005.</w:t>
      </w:r>
    </w:p>
    <w:p>
      <w:pPr>
        <w:spacing w:after="0" w:line="80" w:lineRule="exact"/>
        <w:rPr>
          <w:sz w:val="20"/>
          <w:szCs w:val="20"/>
          <w:color w:val="auto"/>
        </w:rPr>
      </w:pPr>
    </w:p>
    <w:p>
      <w:pPr>
        <w:ind w:right="80" w:firstLine="270"/>
        <w:spacing w:after="0" w:line="257" w:lineRule="auto"/>
        <w:rPr>
          <w:sz w:val="20"/>
          <w:szCs w:val="20"/>
          <w:color w:val="auto"/>
        </w:rPr>
      </w:pPr>
      <w:r>
        <w:rPr>
          <w:rFonts w:ascii="Arial" w:cs="Arial" w:eastAsia="Arial" w:hAnsi="Arial"/>
          <w:sz w:val="18"/>
          <w:szCs w:val="18"/>
          <w:color w:val="auto"/>
        </w:rPr>
        <w:t>Segment profit as a percentage of sales decreased to 27.6% in fiscal 2005 from 28.1% in fiscal 2004 and increased from 24.5% in fiscal 2003 to 28.1% in fiscal 2004. The decrease in the profit percentage in fiscal 2005 is due to lower gross margins in China as a result of a higher mix of OEM electronics, which have lower margins. The growth in profit in fiscal 2004 is a direct result of the sales growth. The Company continues to add resources to support both market development and new product development targeted at filling the needs of its key markets. The development of new products is key to preventing future margin decreases.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270"/>
        <w:spacing w:after="0" w:line="286" w:lineRule="auto"/>
        <w:rPr>
          <w:sz w:val="20"/>
          <w:szCs w:val="20"/>
          <w:color w:val="auto"/>
        </w:rPr>
      </w:pPr>
      <w:r>
        <w:rPr>
          <w:rFonts w:ascii="Arial" w:cs="Arial" w:eastAsia="Arial" w:hAnsi="Arial"/>
          <w:sz w:val="17"/>
          <w:szCs w:val="17"/>
          <w:color w:val="auto"/>
        </w:rPr>
        <w:t>Cash and cash equivalents were $72,970,000 at July 31, 2005, compared to $68,788,000 at July 31, 2004. Additionally, short-term investments, consisting of investments in auction rate securities, were $7,100,000 at July 31, 2005 compared to $5,150,000 at July 31, 2004. Working capital increased $9,854,000 during fiscal 2005 to $141,560,000 and increased $7,828,000 during fiscal 2004 to $131,706,000. Accounts receivable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balances increased $18,131,000 from July 31, 2004 to July 31, 2005. The increase in accounts receivable was due primarily to increased sales volume, foreign currency translation and accounts receivable balances added from acquisitions completed during fiscal 2005. Inventories increased $17,804,000 from July 31, 2004 to July 31, 2005 due to foreign currency translation, inventory of acquired companies, and a planned increase in inventory levels to avoid shortages and improve Company service levels. Current liabilities increased $37,025,000 due to higher accounts payable associated with increased sales volume and related inventory purchases, higher incentive accruals, higher income taxes payable associated with increased taxable income, and increased operating liabilities associated with acquisitions completed during fiscal 2005.</w:t>
      </w:r>
    </w:p>
    <w:p>
      <w:pPr>
        <w:spacing w:after="0" w:line="70" w:lineRule="exact"/>
        <w:rPr>
          <w:sz w:val="20"/>
          <w:szCs w:val="20"/>
          <w:color w:val="auto"/>
        </w:rPr>
      </w:pPr>
    </w:p>
    <w:p>
      <w:pPr>
        <w:ind w:right="340" w:firstLine="267"/>
        <w:spacing w:after="0" w:line="264" w:lineRule="auto"/>
        <w:rPr>
          <w:sz w:val="20"/>
          <w:szCs w:val="20"/>
          <w:color w:val="auto"/>
        </w:rPr>
      </w:pPr>
      <w:r>
        <w:rPr>
          <w:rFonts w:ascii="Arial" w:cs="Arial" w:eastAsia="Arial" w:hAnsi="Arial"/>
          <w:sz w:val="18"/>
          <w:szCs w:val="18"/>
          <w:color w:val="auto"/>
        </w:rPr>
        <w:t>The Company has maintained significant cash balances due in large part to its strong operating cash flow, which totaled $119,103,000 for fiscal 2005, $87,646,000 for fiscal 2004 and $57,316,000 for fiscal 2003. The increase in operating cash flows from fiscal 2004 to 2005 was primarily due to a $31,076,000 increase in net income.</w:t>
      </w:r>
    </w:p>
    <w:p>
      <w:pPr>
        <w:spacing w:after="0" w:line="73" w:lineRule="exact"/>
        <w:rPr>
          <w:sz w:val="20"/>
          <w:szCs w:val="20"/>
          <w:color w:val="auto"/>
        </w:rPr>
      </w:pPr>
    </w:p>
    <w:p>
      <w:pPr>
        <w:jc w:val="both"/>
        <w:ind w:right="120" w:firstLine="270"/>
        <w:spacing w:after="0" w:line="288" w:lineRule="auto"/>
        <w:rPr>
          <w:sz w:val="20"/>
          <w:szCs w:val="20"/>
          <w:color w:val="auto"/>
        </w:rPr>
      </w:pPr>
      <w:r>
        <w:rPr>
          <w:rFonts w:ascii="Arial" w:cs="Arial" w:eastAsia="Arial" w:hAnsi="Arial"/>
          <w:sz w:val="16"/>
          <w:szCs w:val="16"/>
          <w:color w:val="auto"/>
        </w:rPr>
        <w:t>Capital expenditures were $21,920,000 in fiscal 2005, $14,892,000 in fiscal 2004 and $14,438,000 in fiscal 2003. Capital expenditures in 2005 included plant expansions in China and approximately $4,100,000 for the addition of a central distribution warehouse in Milwaukee. The central distribution center is expected to cost approximately $10,000,000. Capital expenditures in 2004 included plant additions/expansions in China and facility improvement costs.</w:t>
      </w:r>
    </w:p>
    <w:p>
      <w:pPr>
        <w:ind w:right="1520"/>
        <w:spacing w:after="0" w:line="261" w:lineRule="auto"/>
        <w:rPr>
          <w:sz w:val="20"/>
          <w:szCs w:val="20"/>
          <w:color w:val="auto"/>
        </w:rPr>
      </w:pPr>
      <w:r>
        <w:rPr>
          <w:rFonts w:ascii="Arial" w:cs="Arial" w:eastAsia="Arial" w:hAnsi="Arial"/>
          <w:sz w:val="18"/>
          <w:szCs w:val="18"/>
          <w:color w:val="auto"/>
        </w:rPr>
        <w:t>Capital expenditures in 2003 included further investment in software related to the Eclipse initiative (SAP system implementation), plant additions/expansions in Asia and tooling for additional new products.</w:t>
      </w:r>
    </w:p>
    <w:p>
      <w:pPr>
        <w:spacing w:after="0" w:line="76" w:lineRule="exact"/>
        <w:rPr>
          <w:sz w:val="20"/>
          <w:szCs w:val="20"/>
          <w:color w:val="auto"/>
        </w:rPr>
      </w:pPr>
    </w:p>
    <w:p>
      <w:pPr>
        <w:ind w:right="140" w:firstLine="270"/>
        <w:spacing w:after="0" w:line="272" w:lineRule="auto"/>
        <w:rPr>
          <w:sz w:val="20"/>
          <w:szCs w:val="20"/>
          <w:color w:val="auto"/>
        </w:rPr>
      </w:pPr>
      <w:r>
        <w:rPr>
          <w:rFonts w:ascii="Arial" w:cs="Arial" w:eastAsia="Arial" w:hAnsi="Arial"/>
          <w:sz w:val="17"/>
          <w:szCs w:val="17"/>
          <w:color w:val="auto"/>
        </w:rPr>
        <w:t>Financing activities used $9,712,000 of cash in fiscal 2005, provided $146,103,000 in fiscal 2004 and used $16,833,000 in fiscal 2003. Cash used for dividends to shareholders was $21,291,000 in fiscal 2005, $19,805,000 in fiscal 2004 and $17,936,000 in fiscal 2003. Cash received from the exercise of stock options was $15,734,000 in fiscal 2005, $19,422,000 in fiscal 2004, and $4,662,000 in fiscal 2003. The Company also redeemed all of the outstanding preferred stock during fiscal 2003 for $3,026,000, which included a required $171,000 premium paid for the redemption. The Company purchased treasury stock of $1,551,000 in fiscal 2005, $564,000 in fiscal 2004, and $377,000 in fiscal 2003. The treasury stock purchases resulted from purchases of Brady Corporation stock by the Company’s deferred compensation plan and purchases of stock from certain executives of the Company to allow them to pay the taxes on restricted stock that vested during those years.</w:t>
      </w:r>
    </w:p>
    <w:p>
      <w:pPr>
        <w:spacing w:after="0" w:line="70" w:lineRule="exact"/>
        <w:rPr>
          <w:sz w:val="20"/>
          <w:szCs w:val="20"/>
          <w:color w:val="auto"/>
        </w:rPr>
      </w:pPr>
    </w:p>
    <w:p>
      <w:pPr>
        <w:jc w:val="both"/>
        <w:ind w:right="340" w:firstLine="270"/>
        <w:spacing w:after="0" w:line="264" w:lineRule="auto"/>
        <w:rPr>
          <w:sz w:val="20"/>
          <w:szCs w:val="20"/>
          <w:color w:val="auto"/>
        </w:rPr>
      </w:pPr>
      <w:r>
        <w:rPr>
          <w:rFonts w:ascii="Arial" w:cs="Arial" w:eastAsia="Arial" w:hAnsi="Arial"/>
          <w:sz w:val="18"/>
          <w:szCs w:val="18"/>
          <w:color w:val="auto"/>
        </w:rPr>
        <w:t>On March 31, 2004, the Company entered into an unsecured $215,000,000 multi-currency revolving loan agreement with a group of five banks. The $215,000,000 was divided between a 5-year credit facility for $125,000,000 and a 364-day credit facility for $90,000,000. On July 6, 2004, the Company permanently reduced the borrowings on the 364-day facility to $0 and closed the facility.</w:t>
      </w:r>
    </w:p>
    <w:p>
      <w:pPr>
        <w:spacing w:after="0" w:line="73"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Under the 5-year agreement, which has a final maturity date of March 31, 2009, the Company has the option to use either a base interest rate (based upon the higher of the federal funds rate plus one-half of 1% or the prime rate at Bank of America) or a Eurocurrency interest rate (at the LIBOR rate plus margin). A commitment fee is payable on the unused amount of credit. The agreement requires the Company to maintain certain financial covenants. As of July 31, 2005, the Company was in compliance with the covenants of the agreement. The agreement restricts the amount of certain types of payments, including dividends, which can be made annually to $25,000,000 plus 50% of the consolidated net income for the prior year. The Company believes that based on historic dividend practice, this restriction would not impede the Company in following a similar dividend practice in the future. During fiscal 2005, the Company borrowed and repaid $83,000,000 under the agreement. As of July 31, 2005, there were no outstanding borrowings on the 5-year revolving loan agreement.</w:t>
      </w:r>
    </w:p>
    <w:p>
      <w:pPr>
        <w:spacing w:after="0" w:line="84" w:lineRule="exact"/>
        <w:rPr>
          <w:sz w:val="20"/>
          <w:szCs w:val="20"/>
          <w:color w:val="auto"/>
        </w:rPr>
      </w:pPr>
    </w:p>
    <w:p>
      <w:pPr>
        <w:ind w:right="260" w:firstLine="270"/>
        <w:spacing w:after="0" w:line="257" w:lineRule="auto"/>
        <w:rPr>
          <w:sz w:val="20"/>
          <w:szCs w:val="20"/>
          <w:color w:val="auto"/>
        </w:rPr>
      </w:pPr>
      <w:r>
        <w:rPr>
          <w:rFonts w:ascii="Arial" w:cs="Arial" w:eastAsia="Arial" w:hAnsi="Arial"/>
          <w:sz w:val="18"/>
          <w:szCs w:val="18"/>
          <w:color w:val="auto"/>
        </w:rPr>
        <w:t>On June 30, 2004, the Company finalized a debt offering of $150,000,000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being due semiannually on June 28 and December 28, beginning in December 2004. Interest payments were made on December 28, 2004 and June 28, 2005. The Company used the proceeds of the offering to reduce outstanding indebtedness under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Company’s revolving credit facilities used to initially fund the EMED acquisition. The debt has certain prepayment penalties for repaying the debt prior to its maturity date. The agreement also requires the Company to maintain a financial covenant. As of July 31, 2005, the Company was in compliance with this covenant.</w:t>
      </w:r>
    </w:p>
    <w:p>
      <w:pPr>
        <w:spacing w:after="0" w:line="73" w:lineRule="exact"/>
        <w:rPr>
          <w:sz w:val="20"/>
          <w:szCs w:val="20"/>
          <w:color w:val="auto"/>
        </w:rPr>
      </w:pPr>
    </w:p>
    <w:p>
      <w:pPr>
        <w:jc w:val="both"/>
        <w:ind w:right="220" w:firstLine="270"/>
        <w:spacing w:after="0" w:line="264" w:lineRule="auto"/>
        <w:rPr>
          <w:sz w:val="20"/>
          <w:szCs w:val="20"/>
          <w:color w:val="auto"/>
        </w:rPr>
      </w:pPr>
      <w:r>
        <w:rPr>
          <w:rFonts w:ascii="Arial" w:cs="Arial" w:eastAsia="Arial" w:hAnsi="Arial"/>
          <w:sz w:val="18"/>
          <w:szCs w:val="18"/>
          <w:color w:val="auto"/>
        </w:rPr>
        <w:t>Long-term obligations as a percentage of long-term obligations plus stockholders’ investment were 23.2% at July 31, 2005 and 27.1% at July 31, 2004. Long-term obligations were largely unchanged from July 31, 2004 to July 31, 2005, while stockholders’ investment increased approximately $94,000,000 during this period.</w:t>
      </w:r>
    </w:p>
    <w:p>
      <w:pPr>
        <w:spacing w:after="0" w:line="73" w:lineRule="exact"/>
        <w:rPr>
          <w:sz w:val="20"/>
          <w:szCs w:val="20"/>
          <w:color w:val="auto"/>
        </w:rPr>
      </w:pPr>
    </w:p>
    <w:p>
      <w:pPr>
        <w:ind w:right="560" w:firstLine="267"/>
        <w:spacing w:after="0" w:line="277" w:lineRule="auto"/>
        <w:rPr>
          <w:sz w:val="20"/>
          <w:szCs w:val="20"/>
          <w:color w:val="auto"/>
        </w:rPr>
      </w:pPr>
      <w:r>
        <w:rPr>
          <w:rFonts w:ascii="Arial" w:cs="Arial" w:eastAsia="Arial" w:hAnsi="Arial"/>
          <w:sz w:val="18"/>
          <w:szCs w:val="18"/>
          <w:color w:val="auto"/>
        </w:rPr>
        <w:t>The Company intends to fund its short-term and long-term cash requirements, including its fiscal 2006 dividend payments and its share repurchase program, primarily through net cash provided by operating activities.</w:t>
      </w:r>
    </w:p>
    <w:p>
      <w:pPr>
        <w:spacing w:after="0" w:line="62" w:lineRule="exact"/>
        <w:rPr>
          <w:sz w:val="20"/>
          <w:szCs w:val="20"/>
          <w:color w:val="auto"/>
        </w:rPr>
      </w:pPr>
    </w:p>
    <w:p>
      <w:pPr>
        <w:ind w:right="260" w:firstLine="267"/>
        <w:spacing w:after="0" w:line="286" w:lineRule="auto"/>
        <w:rPr>
          <w:sz w:val="20"/>
          <w:szCs w:val="20"/>
          <w:color w:val="auto"/>
        </w:rPr>
      </w:pPr>
      <w:r>
        <w:rPr>
          <w:rFonts w:ascii="Arial" w:cs="Arial" w:eastAsia="Arial" w:hAnsi="Arial"/>
          <w:sz w:val="17"/>
          <w:szCs w:val="17"/>
          <w:color w:val="auto"/>
        </w:rPr>
        <w:t>The Company believes that its continued strong cash flows from operations and existing borrowing capacity will enable it to execute its long-term strategic plan. This strategic plan includes investments, which expand our current market share, open new markets and geographies, develop new products and distribution channels and continue to improve our processes. This strategic plan also includes executing key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21" w:lineRule="exact"/>
        <w:rPr>
          <w:sz w:val="20"/>
          <w:szCs w:val="20"/>
          <w:color w:val="auto"/>
        </w:rPr>
      </w:pPr>
    </w:p>
    <w:p>
      <w:pPr>
        <w:ind w:right="140" w:firstLine="270"/>
        <w:spacing w:after="0" w:line="312" w:lineRule="auto"/>
        <w:rPr>
          <w:sz w:val="20"/>
          <w:szCs w:val="20"/>
          <w:color w:val="auto"/>
        </w:rPr>
      </w:pPr>
      <w:r>
        <w:rPr>
          <w:rFonts w:ascii="Arial" w:cs="Arial" w:eastAsia="Arial" w:hAnsi="Arial"/>
          <w:sz w:val="16"/>
          <w:szCs w:val="16"/>
          <w:color w:val="auto"/>
        </w:rPr>
        <w:t>On September 13, 2005, the Board of Directors announced an increase in the quarterly dividend to shareholders of the Company’s Class A Common Stock, from $0.11 to $0.13 per share. The dividend will be paid on October 31, 2005, to shareholders of record at the close of business on October 10, 2005. This dividend represents an increase of 18 percent and is the 20th consecutive annual increase in dividends since the Company went public in 1984.</w:t>
      </w:r>
    </w:p>
    <w:p>
      <w:pPr>
        <w:spacing w:after="0" w:line="39"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On September 13, 2005, the Company announced that the Board of Directors of Brady Corporation approved a share repurchase program for up to 800,000 shares of the Company’s non-voting Class A Common Stock during fiscal 2006. The share repurchase plan may be implemented by purchasing shares on the open market or in privately negotiated transactions, with repurchased shares available for use in connection with the Company’s Stock Option Plan and for other corporate purposes.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September 1, 2005, the Company announced that it filed a shelf registration statement on Form S-3 with the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which when declared effective by the SEC, will allow Brady to issue and sell, from time to time in one or more offerings, up to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$400,000,000 of Class A Non-voting Common Stock and debt securities as it deems prudent or necessary to raise capital at a later date. The Company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use the proceeds from any future offerings under the shelf registration for general corporate purposes, including, but not limited to, acquisitions,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expenditures and refinancing of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firstLine="267"/>
        <w:spacing w:after="0" w:line="264" w:lineRule="auto"/>
        <w:rPr>
          <w:sz w:val="20"/>
          <w:szCs w:val="20"/>
          <w:color w:val="auto"/>
        </w:rPr>
      </w:pPr>
      <w:r>
        <w:rPr>
          <w:rFonts w:ascii="Arial" w:cs="Arial" w:eastAsia="Arial" w:hAnsi="Arial"/>
          <w:sz w:val="18"/>
          <w:szCs w:val="18"/>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73"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 warehouses and office buildings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computer equipment for which the economic profile is favorable.</w:t>
      </w:r>
    </w:p>
    <w:p>
      <w:pPr>
        <w:spacing w:after="0" w:line="62"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for materials, supplies, services, and property, plant and equipment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ordinary course of business. Such commitments are not in excess of current market prices.</w:t>
      </w:r>
    </w:p>
    <w:p>
      <w:pPr>
        <w:spacing w:after="0" w:line="62"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 that are reasonably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adversely affect liquidity other than those discussed below under “Payments Due Under Contractual Obligations.”</w:t>
      </w:r>
    </w:p>
    <w:p>
      <w:pPr>
        <w:spacing w:after="0" w:line="62"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does not have any related party transactions that affect the results of operations, cash flow 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with the exception of treasury stock purchases from certain executives of the Company as noted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21" w:lineRule="exact"/>
        <w:rPr>
          <w:sz w:val="20"/>
          <w:szCs w:val="20"/>
          <w:color w:val="auto"/>
        </w:rPr>
      </w:pPr>
    </w:p>
    <w:p>
      <w:pPr>
        <w:ind w:right="160" w:firstLine="267"/>
        <w:spacing w:after="0" w:line="277" w:lineRule="auto"/>
        <w:rPr>
          <w:sz w:val="20"/>
          <w:szCs w:val="20"/>
          <w:color w:val="auto"/>
        </w:rPr>
      </w:pPr>
      <w:r>
        <w:rPr>
          <w:rFonts w:ascii="Arial" w:cs="Arial" w:eastAsia="Arial" w:hAnsi="Arial"/>
          <w:sz w:val="18"/>
          <w:szCs w:val="18"/>
          <w:color w:val="auto"/>
        </w:rPr>
        <w:t>The Company’s future commitments at July 31, 2005 for long-term debt, operating lease obligations, purchase obligations, interest obligations and other obligations are as follows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Less than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ind w:right="94"/>
              <w:spacing w:after="0" w:line="133" w:lineRule="exact"/>
              <w:rPr>
                <w:sz w:val="20"/>
                <w:szCs w:val="20"/>
                <w:color w:val="auto"/>
              </w:rPr>
            </w:pPr>
            <w:r>
              <w:rPr>
                <w:rFonts w:ascii="Arial" w:cs="Arial" w:eastAsia="Arial" w:hAnsi="Arial"/>
                <w:sz w:val="14"/>
                <w:szCs w:val="14"/>
                <w:b w:val="1"/>
                <w:bCs w:val="1"/>
                <w:color w:val="auto"/>
                <w:w w:val="88"/>
              </w:rPr>
              <w:t>1-3</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34"/>
              <w:spacing w:after="0" w:line="133" w:lineRule="exact"/>
              <w:rPr>
                <w:sz w:val="20"/>
                <w:szCs w:val="20"/>
                <w:color w:val="auto"/>
              </w:rPr>
            </w:pPr>
            <w:r>
              <w:rPr>
                <w:rFonts w:ascii="Arial" w:cs="Arial" w:eastAsia="Arial" w:hAnsi="Arial"/>
                <w:sz w:val="14"/>
                <w:szCs w:val="14"/>
                <w:b w:val="1"/>
                <w:bCs w:val="1"/>
                <w:color w:val="auto"/>
              </w:rPr>
              <w:t>3-5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w w:val="98"/>
              </w:rPr>
              <w:t>More than</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1 Year</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Years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44,475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12,810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13,684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9,018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8,963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Interest Obligations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46,260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15,420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12,116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Obligations(2)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271,033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65,680</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109,769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obligations represent all open purchase orders as of July 31, 2005.</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 as disclosed in Note 3 to the consolidated financial statements, under Item 8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21" w:lineRule="exact"/>
        <w:rPr>
          <w:sz w:val="20"/>
          <w:szCs w:val="20"/>
          <w:color w:val="auto"/>
        </w:rPr>
      </w:pPr>
    </w:p>
    <w:p>
      <w:pPr>
        <w:ind w:right="400" w:firstLine="270"/>
        <w:spacing w:after="0" w:line="312" w:lineRule="auto"/>
        <w:rPr>
          <w:sz w:val="20"/>
          <w:szCs w:val="20"/>
          <w:color w:val="auto"/>
        </w:rPr>
      </w:pPr>
      <w:r>
        <w:rPr>
          <w:rFonts w:ascii="Arial" w:cs="Arial" w:eastAsia="Arial" w:hAnsi="Arial"/>
          <w:sz w:val="16"/>
          <w:szCs w:val="16"/>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and the large amount of part numbers make it virtually impossible to accurately define the impact of inflation on profit margins.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267"/>
        <w:spacing w:after="0" w:line="269" w:lineRule="auto"/>
        <w:rPr>
          <w:sz w:val="20"/>
          <w:szCs w:val="20"/>
          <w:color w:val="auto"/>
        </w:rPr>
      </w:pPr>
      <w:r>
        <w:rPr>
          <w:rFonts w:ascii="Arial" w:cs="Arial" w:eastAsia="Arial" w:hAnsi="Arial"/>
          <w:sz w:val="17"/>
          <w:szCs w:val="17"/>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successfully manage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be appropriately reflected in the accounting estimates. Although the Company’s current estimates may be subject to change in the future, management does not believe such changes would result in a material period-to-period impact on the results of operations or the financial condition of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0" w:firstLine="267"/>
        <w:spacing w:after="0" w:line="290" w:lineRule="auto"/>
        <w:rPr>
          <w:sz w:val="20"/>
          <w:szCs w:val="20"/>
          <w:color w:val="auto"/>
        </w:rPr>
      </w:pPr>
      <w:r>
        <w:rPr>
          <w:rFonts w:ascii="Arial" w:cs="Arial" w:eastAsia="Arial" w:hAnsi="Arial"/>
          <w:sz w:val="16"/>
          <w:szCs w:val="16"/>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annually for impairment. Changes in management’s estimates or judgments could result in an impairment charge, and such a charge could have an adverse effect on the Company’s financial condition and results of operations. In order to mitigate the risk associated with valuation of goodwill and other intangible assets, Company policy requires that all acquisitions with a purchase price above $5,000,000 must be evaluated by a professional appraisal company.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17" w:lineRule="exact"/>
        <w:rPr>
          <w:sz w:val="20"/>
          <w:szCs w:val="20"/>
          <w:color w:val="auto"/>
        </w:rPr>
      </w:pPr>
    </w:p>
    <w:p>
      <w:pPr>
        <w:ind w:firstLine="267"/>
        <w:spacing w:after="0" w:line="279" w:lineRule="auto"/>
        <w:rPr>
          <w:sz w:val="20"/>
          <w:szCs w:val="20"/>
          <w:color w:val="auto"/>
        </w:rPr>
      </w:pPr>
      <w:r>
        <w:rPr>
          <w:rFonts w:ascii="Arial" w:cs="Arial" w:eastAsia="Arial" w:hAnsi="Arial"/>
          <w:sz w:val="17"/>
          <w:szCs w:val="17"/>
          <w:color w:val="auto"/>
        </w:rPr>
        <w:t>The Company has recorded reserves or allowances for inventory obsolescence, returns, credit memos, incurred but not reported medical claims,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780" w:firstLine="267"/>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Except for historical information, the Company’s reports to the Securities and Exchange Commission on Form 10-K and Form 10-Q and periodic press releases, as well as other public documents and statements, may contain “forward-looking statements” within the meaning of the Private Securities Litigation Reform Act of 1995 — that is, statements related to future, not past events. In this context forward-looking statements often address our expected future business and financial performance, and often contain certain words such as “expect”, “anticipate”, “intend”, “plan”, “believe”, “seek”, or “may”. Forward-looking statements by their nature address matters that are, to different degrees uncertain. For us, uncertainties arise from future financial performance of major markets we serve which include, without limitation, telecommunications, manufacturing, electrical, construction, laboratory, education, governmental, public utility, computer, transportation; future integration of and performance of acquired businesses; fluctuations in currency rates versus the US dollar; technology changes; interruptions to sources of supply; business interruptions due to implementing business systems; and numerous other matters of national, regional and global scale, including those of a political, economic, business, competitive and regulatory nature and those identified in reports we file with the SEC. These uncertainties may cause our actual future results to be materially different than those expressed in our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Operating results are significantly influenced by general economic conditions and growth or contraction of the principal economies in which we operate, including the United States, Canada, Europe, Latin America and the Asia-Pacific region. This is especially true with respect to growth or contraction of the industrial and technology sectors of those economies. All economies in which we operate are cyclical and the rates of growth or contraction can vary substantially. Because we have few long-term contracts, we generally ship products within a short period of time from receiving orders and thus maintain a relatively small backlog. The extent to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which we can rapidly adjust our cost structure and output to changing economic conditions may have a significant effect on our future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Fluctuations</w:t>
      </w:r>
    </w:p>
    <w:p>
      <w:pPr>
        <w:spacing w:after="0" w:line="121" w:lineRule="exact"/>
        <w:rPr>
          <w:sz w:val="20"/>
          <w:szCs w:val="20"/>
          <w:color w:val="auto"/>
        </w:rPr>
      </w:pPr>
    </w:p>
    <w:p>
      <w:pPr>
        <w:ind w:right="80" w:firstLine="260"/>
        <w:spacing w:after="0" w:line="259" w:lineRule="auto"/>
        <w:rPr>
          <w:sz w:val="20"/>
          <w:szCs w:val="20"/>
          <w:color w:val="auto"/>
        </w:rPr>
      </w:pPr>
      <w:r>
        <w:rPr>
          <w:rFonts w:ascii="Arial" w:cs="Arial" w:eastAsia="Arial" w:hAnsi="Arial"/>
          <w:sz w:val="18"/>
          <w:szCs w:val="18"/>
          <w:color w:val="auto"/>
        </w:rPr>
        <w:t>Approximately half of our sales are in foreign currencies, which fluctuate in relationship to one another and to the United States dollar. Fluctuations in currencies can cause transaction, translation and other losses. These fluctuations can have an adverse effect on our reported sales and net income. The Company mitigates this exposure to foreign currency fluctuations by following a hedge policy whereby approximately 50% of the intercompany transactions and material trade transactions are hedged via forward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Raw Materials</w:t>
      </w:r>
    </w:p>
    <w:p>
      <w:pPr>
        <w:spacing w:after="0" w:line="121" w:lineRule="exact"/>
        <w:rPr>
          <w:sz w:val="20"/>
          <w:szCs w:val="20"/>
          <w:color w:val="auto"/>
        </w:rPr>
      </w:pPr>
    </w:p>
    <w:p>
      <w:pPr>
        <w:ind w:firstLine="260"/>
        <w:spacing w:after="0" w:line="259" w:lineRule="auto"/>
        <w:rPr>
          <w:sz w:val="20"/>
          <w:szCs w:val="20"/>
          <w:color w:val="auto"/>
        </w:rPr>
      </w:pPr>
      <w:r>
        <w:rPr>
          <w:rFonts w:ascii="Arial" w:cs="Arial" w:eastAsia="Arial" w:hAnsi="Arial"/>
          <w:sz w:val="18"/>
          <w:szCs w:val="18"/>
          <w:color w:val="auto"/>
        </w:rPr>
        <w:t>As a manufacturer, our sales and profitability are also dependent upon availability and cost of raw materials and the ability to control or pass on costs of raw materials and labor. Inflationary and other increases in the costs of raw materials and labor have occurred in the past and are expected to recur. Our ability to reflect these costs in increased selling prices for our products, increase our productivity, and focus on higher profit businesses, will significantly influence our ability to maintain our margins. Past performance may or may not be replicable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Reliance on Suppliers</w:t>
      </w:r>
    </w:p>
    <w:p>
      <w:pPr>
        <w:spacing w:after="0" w:line="121" w:lineRule="exact"/>
        <w:rPr>
          <w:sz w:val="20"/>
          <w:szCs w:val="20"/>
          <w:color w:val="auto"/>
        </w:rPr>
      </w:pPr>
    </w:p>
    <w:p>
      <w:pPr>
        <w:ind w:right="240" w:firstLine="270"/>
        <w:spacing w:after="0" w:line="286" w:lineRule="auto"/>
        <w:rPr>
          <w:sz w:val="20"/>
          <w:szCs w:val="20"/>
          <w:color w:val="auto"/>
        </w:rPr>
      </w:pPr>
      <w:r>
        <w:rPr>
          <w:rFonts w:ascii="Arial" w:cs="Arial" w:eastAsia="Arial" w:hAnsi="Arial"/>
          <w:sz w:val="17"/>
          <w:szCs w:val="17"/>
          <w:color w:val="auto"/>
        </w:rPr>
        <w:t>Our manufacturing operations depend on our suppliers’ ability to deliver quality components and products in time for us to meet critical manufacturing and distribution schedules. If shortages or delays occur, our operating results could suffer until other sources can be developed. In some cases, where shortages are projected, the Company has increased inventory levels in an effort to prevent any effect on our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jc w:val="both"/>
        <w:ind w:right="280" w:firstLine="260"/>
        <w:spacing w:after="0" w:line="264" w:lineRule="auto"/>
        <w:rPr>
          <w:sz w:val="20"/>
          <w:szCs w:val="20"/>
          <w:color w:val="auto"/>
        </w:rPr>
      </w:pPr>
      <w:r>
        <w:rPr>
          <w:rFonts w:ascii="Arial" w:cs="Arial" w:eastAsia="Arial" w:hAnsi="Arial"/>
          <w:sz w:val="18"/>
          <w:szCs w:val="18"/>
          <w:color w:val="auto"/>
        </w:rPr>
        <w:t>A significant portion of the revenues in each of our recent fiscal years has been represented by sales of products we have introduced within three years prior to the period. Our ability to develop and successfully market new products and to develop, acquire and retain necessary intellectual property rights is therefore essential to maintaining our growth, which ability cannot be assured.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Strategic Alliances, Joint Ventures and Divestitures</w:t>
      </w:r>
    </w:p>
    <w:p>
      <w:pPr>
        <w:spacing w:after="0" w:line="121"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Part of our historic growth has come through acquisitions. We may also engage in strategic alliances, joint ventures and divestitures. Our ability to effectively evaluate potential acquisition, strategic alliance, joint venture or divestiture transactions and to effectuate such transactions at a reasonable price can affect our profitability. In addition, acquisitions, strategic alliances and joint ventures may require us to integrate with a different company culture, management team and business infrastructure. We may also have to develop, manufacture and market products with our products in a way that enhances the performance of the combined business or product line. Depending on the size and complexity of an acquisition, our successful integration of the entity depends on a variety of factors, including:</w:t>
      </w:r>
    </w:p>
    <w:p>
      <w:pPr>
        <w:spacing w:after="0" w:line="85" w:lineRule="exact"/>
        <w:rPr>
          <w:sz w:val="20"/>
          <w:szCs w:val="20"/>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hiring and retention of key employees,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of facilities and employees in separate geographic areas,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integration or coordination of different research and development and product manufacturing facilities,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Systems integration and implementation.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of these efforts require varying levels of management resources, which may divert our attention from other business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267"/>
        <w:spacing w:after="0" w:line="293" w:lineRule="auto"/>
        <w:rPr>
          <w:sz w:val="20"/>
          <w:szCs w:val="20"/>
          <w:color w:val="auto"/>
        </w:rPr>
      </w:pPr>
      <w:r>
        <w:rPr>
          <w:rFonts w:ascii="Arial" w:cs="Arial" w:eastAsia="Arial" w:hAnsi="Arial"/>
          <w:sz w:val="16"/>
          <w:szCs w:val="16"/>
          <w:color w:val="auto"/>
        </w:rPr>
        <w:t>We generally rely upon patent, copyright, trademark and trade secret laws in the U.S.A. and in certain other countries, and agreements with our employees and customers to establish and maintain our property rights in our technology and products. However, any of our intellectual property rights could be challenged, invalidated or circumvented. Third parties may claim that we are infringing upon their intellectual property. Even if we do not believe that our products are infringing upon third parties’ intellectual property rights, the claims can be time-consuming and costly to defend and can divert management’s attention and resources away from our business. Claims of intellectual property infringement might also require us to enter into costly royalty or license agreements. If we cannot or do not license the infringed technology or substitute similar technology from another source, our business could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right="160" w:firstLine="270"/>
        <w:spacing w:after="0" w:line="279" w:lineRule="auto"/>
        <w:rPr>
          <w:sz w:val="20"/>
          <w:szCs w:val="20"/>
          <w:color w:val="auto"/>
        </w:rPr>
      </w:pPr>
      <w:r>
        <w:rPr>
          <w:rFonts w:ascii="Arial" w:cs="Arial" w:eastAsia="Arial" w:hAnsi="Arial"/>
          <w:sz w:val="17"/>
          <w:szCs w:val="17"/>
          <w:color w:val="auto"/>
        </w:rPr>
        <w:t>Some of our operations use substances regulated under various federal, state and foreign laws governing the environment. It is our policy to apply strict standards for environmental protection to sites inside and outside the United States, even when not subject to local government regulations. However, a failure to comply with applicable standards or the accidental emission of or exposure to hazardous materials could give rise to significant monetary liability. Also, the imposition of new governmental standards or requirements could materially increase our cost of operation.</w:t>
      </w:r>
    </w:p>
    <w:p>
      <w:pPr>
        <w:spacing w:after="0" w:line="63"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New environmental legislation is in the process of being implemented in parts of Europe and parts of Asia over the next year. The Waste Electrical and Electronic Equipment (“WEEE”) Directive provides that certain banned substances not be used in electrical and electronic equipment and that companies have a recycling scheme in place to deal with the disposal of that equipment at its end-of-life. Additionally, the Restrictions on the Use of Hazardous Substances (“RoHS”) Directive defines the restricted substances referenced by the WEEE regulation. Certain of the Company’s products may be governed by these new regulations in the regulated countries in which such products are sold. In addition, some of our products may be sold to customers for inclusion in electrical and electronic equipment products that are regulated under these new regulations. These customers may require that our products meet certain requirements that pertain to their products. It is our policy to meet all applicable requirements. We are currently in the process of finalizing the testing and re-designing of our products as required to meet these new regulations. The imposition of additional compliance requirements could significantly increase our cost of compliance. Failure to comply with this type of regulation could result in a material limitation on the sale of the affected products in regulated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International Conditions</w:t>
      </w:r>
    </w:p>
    <w:p>
      <w:pPr>
        <w:spacing w:after="0" w:line="121"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Our international operations may be significantly influenced by political, economic, regulatory, and environmental/health conditions (including tariffs) in the countries in which we conduct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180" w:firstLine="270"/>
        <w:spacing w:after="0" w:line="293" w:lineRule="auto"/>
        <w:rPr>
          <w:sz w:val="20"/>
          <w:szCs w:val="20"/>
          <w:color w:val="auto"/>
        </w:rPr>
      </w:pPr>
      <w:r>
        <w:rPr>
          <w:rFonts w:ascii="Arial" w:cs="Arial" w:eastAsia="Arial" w:hAnsi="Arial"/>
          <w:sz w:val="16"/>
          <w:szCs w:val="16"/>
          <w:color w:val="auto"/>
        </w:rPr>
        <w:t>Other factors include costs and other effects of increasing oil prices, computer viruses, availability of electricity, natural gas and other sources of power, interest rate increases; increase or decrease in sales due to natural disasters; legal and administrative cases and proceedings, settlements, judgments and investigations, claims, and changes in those items; adoption of new or revised accounting policies and practices and the application of such policies and practices; the continued successful implementation of an enterprise-resource-planning system in portions of the business; business reorganizations or combinations; loss of significant contracts or customers; the ability and willingness of purchasers to substitute other products for the products that we distribute; and pricing, purchasing, financing and promotional decisions by intermediaries in the distribution channel.</w:t>
      </w:r>
    </w:p>
    <w:p>
      <w:pPr>
        <w:spacing w:after="0" w:line="57" w:lineRule="exact"/>
        <w:rPr>
          <w:sz w:val="20"/>
          <w:szCs w:val="20"/>
          <w:color w:val="auto"/>
        </w:rPr>
      </w:pPr>
    </w:p>
    <w:p>
      <w:pPr>
        <w:jc w:val="both"/>
        <w:ind w:right="20" w:firstLine="267"/>
        <w:spacing w:after="0" w:line="264" w:lineRule="auto"/>
        <w:rPr>
          <w:sz w:val="20"/>
          <w:szCs w:val="20"/>
          <w:color w:val="auto"/>
        </w:rPr>
      </w:pPr>
      <w:r>
        <w:rPr>
          <w:rFonts w:ascii="Arial" w:cs="Arial" w:eastAsia="Arial" w:hAnsi="Arial"/>
          <w:sz w:val="18"/>
          <w:szCs w:val="18"/>
          <w:color w:val="auto"/>
        </w:rPr>
        <w:t>The factors identified in this statement are believed to be important factors (but not necessarily all of the important factors) that could cause actual results to be materially different from those that may be expressed or implied in any forward-looking statement made by, or on behalf of, the Company. Other factors not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discussed in this statement could also have material adverse effects concerning forward-looking objectives or estimates. The Company assumes no obligation to update the information included in this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jc w:val="both"/>
        <w:ind w:right="400" w:firstLine="267"/>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right="20" w:firstLine="267"/>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Japanese Yen and Australian Dollar. The risk of these hedging instruments is not material.</w:t>
      </w:r>
    </w:p>
    <w:p>
      <w:pPr>
        <w:spacing w:after="0" w:line="85"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2005, the Company has no interest rate derivatives.</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9640" w:type="dxa"/>
            <w:vAlign w:val="bottom"/>
            <w:gridSpan w:val="7"/>
          </w:tcPr>
          <w:p>
            <w:pPr>
              <w:ind w:left="18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7"/>
          </w:tcPr>
          <w:p>
            <w:pPr>
              <w:jc w:val="center"/>
              <w:ind w:left="230"/>
              <w:spacing w:after="0"/>
              <w:rPr>
                <w:sz w:val="20"/>
                <w:szCs w:val="20"/>
                <w:color w:val="auto"/>
              </w:rPr>
            </w:pPr>
            <w:r>
              <w:rPr>
                <w:rFonts w:ascii="Arial" w:cs="Arial" w:eastAsia="Arial" w:hAnsi="Arial"/>
                <w:sz w:val="18"/>
                <w:szCs w:val="18"/>
                <w:b w:val="1"/>
                <w:bCs w:val="1"/>
                <w:color w:val="auto"/>
              </w:rPr>
              <w:t>BRADY CORPORATION &amp; SUBSIDIARIES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40" w:type="dxa"/>
            <w:vAlign w:val="bottom"/>
            <w:gridSpan w:val="7"/>
          </w:tcPr>
          <w:p>
            <w:pPr>
              <w:jc w:val="center"/>
              <w:ind w:left="230"/>
              <w:spacing w:after="0"/>
              <w:rPr>
                <w:sz w:val="20"/>
                <w:szCs w:val="20"/>
                <w:color w:val="auto"/>
              </w:rPr>
            </w:pPr>
            <w:r>
              <w:rPr>
                <w:rFonts w:ascii="Arial" w:cs="Arial" w:eastAsia="Arial" w:hAnsi="Arial"/>
                <w:sz w:val="18"/>
                <w:szCs w:val="18"/>
                <w:b w:val="1"/>
                <w:bCs w:val="1"/>
                <w:color w:val="auto"/>
              </w:rPr>
              <w:t>INDEX TO FINANCIAL STATEMENTS</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4220" w:type="dxa"/>
            <w:vAlign w:val="bottom"/>
            <w:gridSpan w:val="3"/>
            <w:vMerge w:val="restart"/>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Report of Independent Registered Public Accounting Firm</w:t>
              </w:r>
            </w:hyperlink>
          </w:p>
        </w:tc>
        <w:tc>
          <w:tcPr>
            <w:tcW w:w="6100" w:type="dxa"/>
            <w:vAlign w:val="bottom"/>
            <w:gridSpan w:val="6"/>
            <w:vMerge w:val="restart"/>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5"/>
                <w:szCs w:val="15"/>
                <w:color w:val="auto"/>
              </w:rPr>
            </w:pPr>
          </w:p>
        </w:tc>
        <w:tc>
          <w:tcPr>
            <w:tcW w:w="4220" w:type="dxa"/>
            <w:vAlign w:val="bottom"/>
            <w:tcBorders>
              <w:bottom w:val="single" w:sz="8" w:color="0000EE"/>
            </w:tcBorders>
            <w:gridSpan w:val="3"/>
            <w:vMerge w:val="continue"/>
          </w:tcPr>
          <w:p>
            <w:pPr>
              <w:spacing w:after="0"/>
              <w:rPr>
                <w:sz w:val="15"/>
                <w:szCs w:val="15"/>
                <w:color w:val="auto"/>
              </w:rPr>
            </w:pPr>
          </w:p>
        </w:tc>
        <w:tc>
          <w:tcPr>
            <w:tcW w:w="6100" w:type="dxa"/>
            <w:vAlign w:val="bottom"/>
            <w:gridSpan w:val="6"/>
            <w:vMerge w:val="continue"/>
          </w:tcPr>
          <w:p>
            <w:pPr>
              <w:spacing w:after="0"/>
              <w:rPr>
                <w:sz w:val="15"/>
                <w:szCs w:val="15"/>
                <w:color w:val="auto"/>
              </w:rPr>
            </w:pPr>
          </w:p>
        </w:tc>
        <w:tc>
          <w:tcPr>
            <w:tcW w:w="700" w:type="dxa"/>
            <w:vAlign w:val="bottom"/>
            <w:tcBorders>
              <w:top w:val="single" w:sz="8" w:color="auto"/>
            </w:tcBorders>
          </w:tcPr>
          <w:p>
            <w:pPr>
              <w:ind w:left="340"/>
              <w:spacing w:after="0" w:line="182" w:lineRule="exact"/>
              <w:rPr>
                <w:sz w:val="20"/>
                <w:szCs w:val="20"/>
                <w:color w:val="auto"/>
              </w:rPr>
            </w:pPr>
            <w:r>
              <w:rPr>
                <w:rFonts w:ascii="Arial" w:cs="Arial" w:eastAsia="Arial" w:hAnsi="Arial"/>
                <w:sz w:val="18"/>
                <w:szCs w:val="18"/>
                <w:color w:val="auto"/>
                <w:w w:val="94"/>
              </w:rPr>
              <w:t>II-15</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038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0" w:type="dxa"/>
            <w:vAlign w:val="bottom"/>
            <w:gridSpan w:val="8"/>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Consolidated Balance Sheets — July 31, 2005 and 2004</w:t>
              </w:r>
            </w:hyperlink>
          </w:p>
        </w:tc>
        <w:tc>
          <w:tcPr>
            <w:tcW w:w="1040" w:type="dxa"/>
            <w:vAlign w:val="bottom"/>
            <w:gridSpan w:val="2"/>
          </w:tcPr>
          <w:p>
            <w:pPr>
              <w:ind w:left="340"/>
              <w:spacing w:after="0" w:line="190" w:lineRule="exact"/>
              <w:rPr>
                <w:sz w:val="20"/>
                <w:szCs w:val="20"/>
                <w:color w:val="auto"/>
              </w:rPr>
            </w:pPr>
            <w:r>
              <w:rPr>
                <w:rFonts w:ascii="Arial" w:cs="Arial" w:eastAsia="Arial" w:hAnsi="Arial"/>
                <w:sz w:val="18"/>
                <w:szCs w:val="18"/>
                <w:color w:val="auto"/>
              </w:rPr>
              <w:t>II-16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Income — Years Ended July 31, 2005, 2004 and 2003</w:t>
              </w:r>
            </w:hyperlink>
          </w:p>
        </w:tc>
        <w:tc>
          <w:tcPr>
            <w:tcW w:w="4080" w:type="dxa"/>
            <w:vAlign w:val="bottom"/>
            <w:gridSpan w:val="4"/>
          </w:tcPr>
          <w:p>
            <w:pPr>
              <w:spacing w:after="0"/>
              <w:rPr>
                <w:sz w:val="17"/>
                <w:szCs w:val="17"/>
                <w:color w:val="auto"/>
              </w:rPr>
            </w:pPr>
          </w:p>
        </w:tc>
        <w:tc>
          <w:tcPr>
            <w:tcW w:w="10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II-17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Consolidated Statements of Stockholders’ Investment — Years Ended July 31, 2005, 2004 and 2003</w:t>
              </w:r>
            </w:hyperlink>
          </w:p>
        </w:tc>
        <w:tc>
          <w:tcPr>
            <w:tcW w:w="10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II-18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Consolidated Statements of Cash Flows — Years Ended July 31, 2005, 2004 and 2003</w:t>
              </w:r>
            </w:hyperlink>
          </w:p>
        </w:tc>
        <w:tc>
          <w:tcPr>
            <w:tcW w:w="2780" w:type="dxa"/>
            <w:vAlign w:val="bottom"/>
          </w:tcPr>
          <w:p>
            <w:pPr>
              <w:spacing w:after="0"/>
              <w:rPr>
                <w:sz w:val="17"/>
                <w:szCs w:val="17"/>
                <w:color w:val="auto"/>
              </w:rPr>
            </w:pPr>
          </w:p>
        </w:tc>
        <w:tc>
          <w:tcPr>
            <w:tcW w:w="10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II-19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0" w:type="dxa"/>
            <w:vAlign w:val="bottom"/>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Notes to Consolidated Financial Statements — Years Ended July 31, 2005, 2004 and 2003</w:t>
              </w:r>
            </w:hyperlink>
          </w:p>
        </w:tc>
        <w:tc>
          <w:tcPr>
            <w:tcW w:w="10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II-20</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3"/>
          </w:tcPr>
          <w:p>
            <w:pPr>
              <w:jc w:val="center"/>
              <w:ind w:left="50"/>
              <w:spacing w:after="0"/>
              <w:rPr>
                <w:sz w:val="20"/>
                <w:szCs w:val="20"/>
                <w:color w:val="auto"/>
              </w:rPr>
            </w:pPr>
            <w:r>
              <w:rPr>
                <w:rFonts w:ascii="Arial" w:cs="Arial" w:eastAsia="Arial" w:hAnsi="Arial"/>
                <w:sz w:val="18"/>
                <w:szCs w:val="18"/>
                <w:color w:val="auto"/>
                <w:w w:val="99"/>
              </w:rPr>
              <w:t>II-14</w:t>
            </w:r>
          </w:p>
        </w:tc>
        <w:tc>
          <w:tcPr>
            <w:tcW w:w="350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03"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2005 and 2004, and the related consolidated statements of income, stockholders’ investment and cash flows for each of the three years in the period ended July 31, 2005. Our audits also included the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80"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20" w:firstLine="270"/>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Brady Corporation and subsidiaries at July 31, 2005 and 2004, and the results of their operations and their cash flows for each of the three years in the period ended July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46" w:lineRule="exact"/>
        <w:rPr>
          <w:sz w:val="20"/>
          <w:szCs w:val="20"/>
          <w:color w:val="auto"/>
        </w:rPr>
      </w:pPr>
    </w:p>
    <w:p>
      <w:pPr>
        <w:ind w:right="120" w:firstLine="267"/>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July 31, 2005,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September 29,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2005 and 2004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3"/>
          </w:tcPr>
          <w:p>
            <w:pPr>
              <w:jc w:val="right"/>
              <w:ind w:right="104"/>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200" w:type="dxa"/>
            <w:vAlign w:val="bottom"/>
            <w:shd w:val="clear" w:color="auto" w:fill="CCEEFF"/>
          </w:tcPr>
          <w:p>
            <w:pPr>
              <w:jc w:val="center"/>
              <w:ind w:left="1039"/>
              <w:spacing w:after="0"/>
              <w:rPr>
                <w:sz w:val="20"/>
                <w:szCs w:val="20"/>
                <w:color w:val="auto"/>
              </w:rPr>
            </w:pPr>
            <w:r>
              <w:rPr>
                <w:rFonts w:ascii="Arial" w:cs="Arial" w:eastAsia="Arial" w:hAnsi="Arial"/>
                <w:sz w:val="16"/>
                <w:szCs w:val="16"/>
                <w:b w:val="1"/>
                <w:bCs w:val="1"/>
                <w:color w:val="auto"/>
                <w:w w:val="93"/>
              </w:rPr>
              <w:t>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 (Note 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72,970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68,788</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Short term investments (Note 1)</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7,100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5,150</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receivable, less allowance for losses ($3,726 and 3,869, respectively)</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123,453</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105,322</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Inventories (Note 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Finished products</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38,827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32,448</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60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9,681</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6,550</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Raw materials and supplies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22,227</w:t>
            </w: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13,933</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8240" w:type="dxa"/>
            <w:vAlign w:val="bottom"/>
            <w:gridSpan w:val="2"/>
          </w:tcPr>
          <w:p>
            <w:pPr>
              <w:ind w:left="920"/>
              <w:spacing w:after="0"/>
              <w:rPr>
                <w:sz w:val="20"/>
                <w:szCs w:val="20"/>
                <w:color w:val="auto"/>
              </w:rPr>
            </w:pPr>
            <w:r>
              <w:rPr>
                <w:rFonts w:ascii="Arial" w:cs="Arial" w:eastAsia="Arial" w:hAnsi="Arial"/>
                <w:sz w:val="16"/>
                <w:szCs w:val="16"/>
                <w:color w:val="auto"/>
              </w:rPr>
              <w:t>Total inventories</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70,735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52,931</w:t>
            </w:r>
          </w:p>
        </w:tc>
        <w:tc>
          <w:tcPr>
            <w:tcW w:w="4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 (Notes 1, 3 and 4)</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23,302</w:t>
            </w:r>
          </w:p>
        </w:tc>
        <w:tc>
          <w:tcPr>
            <w:tcW w:w="4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tcPr>
          <w:p>
            <w:pPr>
              <w:ind w:left="9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302,372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255,493</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Goodwill (Note 1)</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332,369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275,897</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intangibles assets (Note 1)</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71,647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45,879</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Deferred income taxes (Note 4)</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39,043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29,551</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6,305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Property, plant and equipment (Note 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600"/>
              <w:spacing w:after="0"/>
              <w:rPr>
                <w:sz w:val="20"/>
                <w:szCs w:val="20"/>
                <w:color w:val="auto"/>
              </w:rPr>
            </w:pPr>
            <w:r>
              <w:rPr>
                <w:rFonts w:ascii="Arial" w:cs="Arial" w:eastAsia="Arial" w:hAnsi="Arial"/>
                <w:sz w:val="16"/>
                <w:szCs w:val="16"/>
                <w:color w:val="auto"/>
              </w:rPr>
              <w:t>Land</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6,388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6,242</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Buildings and improvements</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65,007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58,850</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600"/>
              <w:spacing w:after="0"/>
              <w:rPr>
                <w:sz w:val="20"/>
                <w:szCs w:val="20"/>
                <w:color w:val="auto"/>
              </w:rPr>
            </w:pPr>
            <w:r>
              <w:rPr>
                <w:rFonts w:ascii="Arial" w:cs="Arial" w:eastAsia="Arial" w:hAnsi="Arial"/>
                <w:sz w:val="16"/>
                <w:szCs w:val="16"/>
                <w:color w:val="auto"/>
              </w:rPr>
              <w:t>Machinery and equipment</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157,093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153,467</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Construction in progress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420" w:type="dxa"/>
            <w:vAlign w:val="bottom"/>
            <w:shd w:val="clear" w:color="auto" w:fill="CCEEFF"/>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234,998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220,027</w:t>
            </w:r>
          </w:p>
        </w:tc>
        <w:tc>
          <w:tcPr>
            <w:tcW w:w="4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136,587</w:t>
            </w: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133,922</w:t>
            </w:r>
          </w:p>
        </w:tc>
        <w:tc>
          <w:tcPr>
            <w:tcW w:w="4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tcPr>
          <w:p>
            <w:pPr>
              <w:ind w:left="920"/>
              <w:spacing w:after="0"/>
              <w:rPr>
                <w:sz w:val="20"/>
                <w:szCs w:val="20"/>
                <w:color w:val="auto"/>
              </w:rPr>
            </w:pPr>
            <w:r>
              <w:rPr>
                <w:rFonts w:ascii="Arial" w:cs="Arial" w:eastAsia="Arial" w:hAnsi="Arial"/>
                <w:sz w:val="16"/>
                <w:szCs w:val="16"/>
                <w:color w:val="auto"/>
              </w:rPr>
              <w:t>Property, plant and equipment — net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98,411</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86,105</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850,147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697,900</w:t>
            </w:r>
          </w:p>
        </w:tc>
        <w:tc>
          <w:tcPr>
            <w:tcW w:w="420" w:type="dxa"/>
            <w:vAlign w:val="bottom"/>
            <w:shd w:val="clear" w:color="auto" w:fill="CCEEFF"/>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6200" w:type="dxa"/>
            <w:vAlign w:val="bottom"/>
            <w:shd w:val="clear" w:color="auto" w:fill="CCEEFF"/>
          </w:tcPr>
          <w:p>
            <w:pPr>
              <w:jc w:val="center"/>
              <w:ind w:left="1019"/>
              <w:spacing w:after="0"/>
              <w:rPr>
                <w:sz w:val="20"/>
                <w:szCs w:val="20"/>
                <w:color w:val="auto"/>
              </w:rPr>
            </w:pPr>
            <w:r>
              <w:rPr>
                <w:rFonts w:ascii="Arial" w:cs="Arial" w:eastAsia="Arial" w:hAnsi="Arial"/>
                <w:sz w:val="16"/>
                <w:szCs w:val="16"/>
                <w:b w:val="1"/>
                <w:bCs w:val="1"/>
                <w:color w:val="auto"/>
              </w:rPr>
              <w:t>LIABILITIES AND STOCKHOLDERS’ INVESTMENT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52,696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42,103</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Wages and amounts withheld from employees</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49,620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41,872</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Taxes, other than income taxes</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4,815</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24,028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12,399</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current liabilities (Note 3)</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29,649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23,529</w:t>
            </w:r>
          </w:p>
        </w:tc>
        <w:tc>
          <w:tcPr>
            <w:tcW w:w="4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Short-term borrowings and current maturities on long-term obligations (Note 5)</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160,812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123,787</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Arial" w:cs="Arial" w:eastAsia="Arial" w:hAnsi="Arial"/>
                <w:sz w:val="16"/>
                <w:szCs w:val="16"/>
                <w:color w:val="auto"/>
              </w:rPr>
              <w:t>Long-term obligations, less current maturities (Note 5)</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150,026</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150,019</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 (Notes 2, 3, and 4)</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42,035</w:t>
            </w:r>
          </w:p>
        </w:tc>
        <w:tc>
          <w:tcPr>
            <w:tcW w:w="7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20,779</w:t>
            </w:r>
          </w:p>
        </w:tc>
        <w:tc>
          <w:tcPr>
            <w:tcW w:w="4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240" w:type="dxa"/>
            <w:vAlign w:val="bottom"/>
            <w:gridSpan w:val="2"/>
          </w:tcPr>
          <w:p>
            <w:pPr>
              <w:ind w:left="9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352,873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294,585</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Investment (Notes 1 and 6):</w:t>
            </w: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82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96"/>
              </w:rPr>
              <w:t>Class A Nonvoting — Issued 45,792,199 and 44,690,798 shares, respectively (aggregate liquidation preference</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2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of $38,236 and $37,316 at July 31, 2005 and 2004, respectively)(1)</w:t>
            </w: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458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4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600"/>
              <w:spacing w:after="0"/>
              <w:rPr>
                <w:sz w:val="20"/>
                <w:szCs w:val="20"/>
                <w:color w:val="auto"/>
              </w:rPr>
            </w:pPr>
            <w:r>
              <w:rPr>
                <w:rFonts w:ascii="Arial" w:cs="Arial" w:eastAsia="Arial" w:hAnsi="Arial"/>
                <w:sz w:val="16"/>
                <w:szCs w:val="16"/>
                <w:color w:val="auto"/>
              </w:rPr>
              <w:t>Class B Voting — Issued and outstanding 3,538,628 shares(1)</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99,029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72,625</w:t>
            </w:r>
          </w:p>
        </w:tc>
        <w:tc>
          <w:tcPr>
            <w:tcW w:w="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Earnings retained in the business</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382,880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322,224</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Treasury stock — 85,344 and 69,314 shares, respectively of Class A nonvoting common stock, at cost(1)</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(1,575)</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(1,074)</w:t>
            </w:r>
          </w:p>
        </w:tc>
      </w:tr>
      <w:tr>
        <w:trPr>
          <w:trHeight w:val="203"/>
        </w:trPr>
        <w:tc>
          <w:tcPr>
            <w:tcW w:w="20" w:type="dxa"/>
            <w:vAlign w:val="bottom"/>
          </w:tcPr>
          <w:p>
            <w:pPr>
              <w:spacing w:after="0"/>
              <w:rPr>
                <w:sz w:val="17"/>
                <w:szCs w:val="17"/>
                <w:color w:val="auto"/>
              </w:rPr>
            </w:pPr>
          </w:p>
        </w:tc>
        <w:tc>
          <w:tcPr>
            <w:tcW w:w="8240" w:type="dxa"/>
            <w:vAlign w:val="bottom"/>
            <w:gridSpan w:val="2"/>
          </w:tcPr>
          <w:p>
            <w:pPr>
              <w:ind w:left="280"/>
              <w:spacing w:after="0"/>
              <w:rPr>
                <w:sz w:val="20"/>
                <w:szCs w:val="20"/>
                <w:color w:val="auto"/>
              </w:rPr>
            </w:pPr>
            <w:r>
              <w:rPr>
                <w:rFonts w:ascii="Arial" w:cs="Arial" w:eastAsia="Arial" w:hAnsi="Arial"/>
                <w:sz w:val="16"/>
                <w:szCs w:val="16"/>
                <w:color w:val="auto"/>
              </w:rPr>
              <w:t>Cumulative other comprehensive income</w:t>
            </w:r>
          </w:p>
        </w:tc>
        <w:tc>
          <w:tcPr>
            <w:tcW w:w="240" w:type="dxa"/>
            <w:vAlign w:val="bottom"/>
          </w:tcPr>
          <w:p>
            <w:pPr>
              <w:spacing w:after="0"/>
              <w:rPr>
                <w:sz w:val="17"/>
                <w:szCs w:val="17"/>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6"/>
                <w:szCs w:val="16"/>
                <w:color w:val="auto"/>
              </w:rPr>
              <w:t>17,497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9,340</w:t>
            </w:r>
          </w:p>
        </w:tc>
        <w:tc>
          <w:tcPr>
            <w:tcW w:w="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(1,050)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(282)</w:t>
            </w:r>
          </w:p>
        </w:tc>
      </w:tr>
      <w:tr>
        <w:trPr>
          <w:trHeight w:val="217"/>
        </w:trPr>
        <w:tc>
          <w:tcPr>
            <w:tcW w:w="20" w:type="dxa"/>
            <w:vAlign w:val="bottom"/>
          </w:tcPr>
          <w:p>
            <w:pPr>
              <w:spacing w:after="0"/>
              <w:rPr>
                <w:sz w:val="18"/>
                <w:szCs w:val="18"/>
                <w:color w:val="auto"/>
              </w:rPr>
            </w:pPr>
          </w:p>
        </w:tc>
        <w:tc>
          <w:tcPr>
            <w:tcW w:w="8240" w:type="dxa"/>
            <w:vAlign w:val="bottom"/>
            <w:gridSpan w:val="2"/>
          </w:tcPr>
          <w:p>
            <w:pPr>
              <w:ind w:left="920"/>
              <w:spacing w:after="0"/>
              <w:rPr>
                <w:sz w:val="20"/>
                <w:szCs w:val="20"/>
                <w:color w:val="auto"/>
              </w:rPr>
            </w:pPr>
            <w:r>
              <w:rPr>
                <w:rFonts w:ascii="Arial" w:cs="Arial" w:eastAsia="Arial" w:hAnsi="Arial"/>
                <w:sz w:val="16"/>
                <w:szCs w:val="16"/>
                <w:color w:val="auto"/>
              </w:rPr>
              <w:t>Total stockholders’ investment</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497,274</w:t>
            </w: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403,315</w:t>
            </w:r>
          </w:p>
        </w:tc>
        <w:tc>
          <w:tcPr>
            <w:tcW w:w="4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850,147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697,900</w:t>
            </w:r>
          </w:p>
        </w:tc>
        <w:tc>
          <w:tcPr>
            <w:tcW w:w="420" w:type="dxa"/>
            <w:vAlign w:val="bottom"/>
            <w:shd w:val="clear" w:color="auto" w:fill="CCEEFF"/>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6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r>
    </w:tbl>
    <w:p>
      <w:pPr>
        <w:spacing w:after="0" w:line="67" w:lineRule="exact"/>
        <w:rPr>
          <w:sz w:val="20"/>
          <w:szCs w:val="20"/>
          <w:color w:val="auto"/>
        </w:rPr>
      </w:pPr>
    </w:p>
    <w:p>
      <w:pPr>
        <w:ind w:left="4040" w:right="3420" w:hanging="4032"/>
        <w:spacing w:after="0" w:line="502" w:lineRule="auto"/>
        <w:tabs>
          <w:tab w:leader="none" w:pos="4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for two-for-one stock split in the form of a 100% stock dividend, effective December 31, 2004. See notes to consolidated financial statements.</w:t>
      </w:r>
    </w:p>
    <w:p>
      <w:pPr>
        <w:ind w:left="5540"/>
        <w:spacing w:after="0"/>
        <w:rPr>
          <w:rFonts w:ascii="Arial" w:cs="Arial" w:eastAsia="Arial" w:hAnsi="Arial"/>
          <w:sz w:val="16"/>
          <w:szCs w:val="16"/>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2005, 2004 and 2003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2004</w:t>
            </w: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gridSpan w:val="4"/>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(Dollars in thousands,</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Except Per Share Amounts)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Sales (Note 1)</w:t>
            </w:r>
          </w:p>
        </w:tc>
        <w:tc>
          <w:tcPr>
            <w:tcW w:w="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816,447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671,219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80"/>
              <w:spacing w:after="0"/>
              <w:rPr>
                <w:sz w:val="20"/>
                <w:szCs w:val="20"/>
                <w:color w:val="auto"/>
              </w:rPr>
            </w:pPr>
            <w:r>
              <w:rPr>
                <w:rFonts w:ascii="Arial" w:cs="Arial" w:eastAsia="Arial" w:hAnsi="Arial"/>
                <w:sz w:val="18"/>
                <w:szCs w:val="18"/>
                <w:color w:val="auto"/>
              </w:rPr>
              <w:t>Cost of products sold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325,858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275,717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345,361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25,078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285,746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248,171</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Restructuring charge — net (Note 10)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274,380</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248,323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122,452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70,981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and other income — net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(8,403)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other income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(7,034)</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115,418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70,327</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(Notes 1 and 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19,456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Share(1) (Notes 6 and 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80"/>
              <w:spacing w:after="0"/>
              <w:rPr>
                <w:sz w:val="20"/>
                <w:szCs w:val="20"/>
                <w:color w:val="auto"/>
              </w:rPr>
            </w:pPr>
            <w:r>
              <w:rPr>
                <w:rFonts w:ascii="Arial" w:cs="Arial" w:eastAsia="Arial" w:hAnsi="Arial"/>
                <w:sz w:val="18"/>
                <w:szCs w:val="18"/>
                <w:color w:val="auto"/>
              </w:rPr>
              <w:t>Class A Nonvoting: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vMerge w:val="restart"/>
          </w:tcPr>
          <w:p>
            <w:pPr>
              <w:ind w:left="5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Dividends</w:t>
            </w:r>
          </w:p>
        </w:tc>
        <w:tc>
          <w:tcPr>
            <w:tcW w:w="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vMerge w:val="restart"/>
          </w:tcPr>
          <w:p>
            <w:pPr>
              <w:ind w:left="280"/>
              <w:spacing w:after="0"/>
              <w:rPr>
                <w:sz w:val="20"/>
                <w:szCs w:val="20"/>
                <w:color w:val="auto"/>
              </w:rPr>
            </w:pPr>
            <w:r>
              <w:rPr>
                <w:rFonts w:ascii="Arial" w:cs="Arial" w:eastAsia="Arial" w:hAnsi="Arial"/>
                <w:sz w:val="18"/>
                <w:szCs w:val="18"/>
                <w:color w:val="auto"/>
              </w:rPr>
              <w:t>Class B Voting:</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vMerge w:val="restart"/>
          </w:tcPr>
          <w:p>
            <w:pPr>
              <w:ind w:left="5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Dividends</w:t>
            </w:r>
          </w:p>
        </w:tc>
        <w:tc>
          <w:tcPr>
            <w:tcW w:w="6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 average Class A and Class B common shares outstanding(1) (in Thousands)</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vMerge w:val="restart"/>
          </w:tcPr>
          <w:p>
            <w:pPr>
              <w:ind w:left="5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47,813</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040" w:right="3460" w:hanging="4032"/>
        <w:spacing w:after="0" w:line="510" w:lineRule="auto"/>
        <w:tabs>
          <w:tab w:leader="none" w:pos="4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for two-for-one stock split in the form of a 100% stock dividend, effective December 31, 2004 See notes to consolidated financial statements.</w:t>
      </w:r>
    </w:p>
    <w:p>
      <w:pPr>
        <w:spacing w:after="0" w:line="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CONSOLIDATED STATEMENTS OF STOCKHOLDERS’ INVESTMENT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2005, 2004 AND 2003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Earnings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w w:val="86"/>
              </w:rPr>
              <w:t>Preferred</w:t>
            </w:r>
          </w:p>
        </w:tc>
        <w:tc>
          <w:tcPr>
            <w:tcW w:w="7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2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in the</w:t>
            </w:r>
          </w:p>
        </w:tc>
        <w:tc>
          <w:tcPr>
            <w:tcW w:w="8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Stock</w:t>
            </w: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Business</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1"/>
              </w:rPr>
              <w:t>(Loss)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6"/>
              </w:rPr>
              <w:t>Other</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60" w:type="dxa"/>
            <w:vAlign w:val="bottom"/>
            <w:tcBorders>
              <w:bottom w:val="single" w:sz="8" w:color="auto"/>
            </w:tcBorders>
            <w:gridSpan w:val="11"/>
          </w:tcPr>
          <w:p>
            <w:pPr>
              <w:jc w:val="right"/>
              <w:ind w:right="780"/>
              <w:spacing w:after="0" w:line="143" w:lineRule="exact"/>
              <w:rPr>
                <w:sz w:val="20"/>
                <w:szCs w:val="20"/>
                <w:color w:val="auto"/>
              </w:rPr>
            </w:pPr>
            <w:r>
              <w:rPr>
                <w:rFonts w:ascii="Arial" w:cs="Arial" w:eastAsia="Arial" w:hAnsi="Arial"/>
                <w:sz w:val="13"/>
                <w:szCs w:val="13"/>
                <w:b w:val="1"/>
                <w:bCs w:val="1"/>
                <w:color w:val="auto"/>
                <w:w w:val="87"/>
              </w:rPr>
              <w:t>(Dollars in thousands, except per share amounts)</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2,855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41,526</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287,674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(7,665)</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spacing w:after="0" w:line="130" w:lineRule="exact"/>
              <w:rPr>
                <w:sz w:val="20"/>
                <w:szCs w:val="20"/>
                <w:color w:val="auto"/>
              </w:rPr>
            </w:pPr>
            <w:r>
              <w:rPr>
                <w:rFonts w:ascii="Arial" w:cs="Arial" w:eastAsia="Arial" w:hAnsi="Arial"/>
                <w:sz w:val="14"/>
                <w:szCs w:val="14"/>
                <w:color w:val="auto"/>
              </w:rPr>
              <w:t>Adjustment for two-for-one stock split, in the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20"/>
              <w:spacing w:after="0" w:line="149" w:lineRule="exact"/>
              <w:rPr>
                <w:sz w:val="20"/>
                <w:szCs w:val="20"/>
                <w:color w:val="auto"/>
              </w:rPr>
            </w:pPr>
            <w:r>
              <w:rPr>
                <w:rFonts w:ascii="Arial" w:cs="Arial" w:eastAsia="Arial" w:hAnsi="Arial"/>
                <w:sz w:val="14"/>
                <w:szCs w:val="14"/>
                <w:color w:val="auto"/>
              </w:rPr>
              <w:t>form of a stock dividend, effective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December 31, 2004</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49"/>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balances at July 31, 2002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41,296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287,674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(7,665)</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21,420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Net currency translation Adjustment and</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9,260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156"/>
        </w:trPr>
        <w:tc>
          <w:tcPr>
            <w:tcW w:w="292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30,680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403,320 shares of Class A</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Common Stock under stock option plan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4,658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(380)</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Redemption of Preferred Stock</w:t>
            </w:r>
          </w:p>
        </w:tc>
        <w:tc>
          <w:tcPr>
            <w:tcW w:w="1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(2,855)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Purchase of 27,428 shares of Class A Common</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A — $.40 a share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(16,762)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Class B — $.39 a 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47,232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290,805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(509)</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1,595</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50,871</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50,871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Net currency translation adjustment and</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7,745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ind w:left="600"/>
              <w:spacing w:after="0" w:line="155"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58,616</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1,607,058 shares of Class A</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Common Stock under stock option plan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19,406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ind w:left="180"/>
              <w:spacing w:after="0" w:line="130" w:lineRule="exact"/>
              <w:rPr>
                <w:sz w:val="20"/>
                <w:szCs w:val="20"/>
                <w:color w:val="auto"/>
              </w:rPr>
            </w:pPr>
            <w:r>
              <w:rPr>
                <w:rFonts w:ascii="Arial" w:cs="Arial" w:eastAsia="Arial" w:hAnsi="Arial"/>
                <w:sz w:val="14"/>
                <w:szCs w:val="14"/>
                <w:color w:val="auto"/>
              </w:rPr>
              <w:t>Purchase of 32,790 shares of Class A</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3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A — $.42 a share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(18,025)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Class B — $.40 a 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322,224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(1,074)</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9,340</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81,947</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81,947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Net currency translation adjustment and</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8,157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ind w:left="600"/>
              <w:spacing w:after="0" w:line="155" w:lineRule="exact"/>
              <w:rPr>
                <w:sz w:val="20"/>
                <w:szCs w:val="20"/>
                <w:color w:val="auto"/>
              </w:rPr>
            </w:pPr>
            <w:r>
              <w:rPr>
                <w:rFonts w:ascii="Arial" w:cs="Arial" w:eastAsia="Arial" w:hAnsi="Arial"/>
                <w:sz w:val="14"/>
                <w:szCs w:val="14"/>
                <w:color w:val="auto"/>
              </w:rPr>
              <w:t>Total comprehensive income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90,104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Issuance of 1,117,431 shares of Class A</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Common Stock under stock option plan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15,722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Other (Note 6)</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(768)</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5,385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spacing w:after="0" w:line="130" w:lineRule="exact"/>
              <w:rPr>
                <w:sz w:val="20"/>
                <w:szCs w:val="20"/>
                <w:color w:val="auto"/>
              </w:rPr>
            </w:pPr>
            <w:r>
              <w:rPr>
                <w:rFonts w:ascii="Arial" w:cs="Arial" w:eastAsia="Arial" w:hAnsi="Arial"/>
                <w:sz w:val="14"/>
                <w:szCs w:val="14"/>
                <w:color w:val="auto"/>
                <w:w w:val="97"/>
              </w:rPr>
              <w:t>Purchase of 16,030 shares of Class A Common</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A — $.44 a share</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(19,793)</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ind w:left="400"/>
              <w:spacing w:after="0" w:line="149" w:lineRule="exact"/>
              <w:rPr>
                <w:sz w:val="20"/>
                <w:szCs w:val="20"/>
                <w:color w:val="auto"/>
              </w:rPr>
            </w:pPr>
            <w:r>
              <w:rPr>
                <w:rFonts w:ascii="Arial" w:cs="Arial" w:eastAsia="Arial" w:hAnsi="Arial"/>
                <w:sz w:val="14"/>
                <w:szCs w:val="14"/>
                <w:color w:val="auto"/>
              </w:rPr>
              <w:t>Class B — $.42 a share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(1,498)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99,029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382,880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(1,575)</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17,497</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(1,050)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92" w:lineRule="exact"/>
        <w:rPr>
          <w:sz w:val="20"/>
          <w:szCs w:val="20"/>
          <w:color w:val="auto"/>
        </w:rPr>
      </w:pPr>
    </w:p>
    <w:p>
      <w:pPr>
        <w:ind w:left="5540" w:right="3460" w:hanging="5532"/>
        <w:spacing w:after="0" w:line="481" w:lineRule="auto"/>
        <w:tabs>
          <w:tab w:leader="none" w:pos="4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for two-for-one stock split in the form of a 100% stock dividend, effective December 31, 2004 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2005, 2004 and 2003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2004</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5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81,947</w:t>
            </w:r>
          </w:p>
        </w:tc>
        <w:tc>
          <w:tcPr>
            <w:tcW w:w="6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50,871</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26,822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20,190</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Income tax benefit from the exercise of stock options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5,385</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4,406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80"/>
              <w:spacing w:after="0" w:line="149" w:lineRule="exact"/>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(2,653)</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5,172</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Loss on sale of property, plant and equipment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321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1,216</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1,450</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portion of stock-based compensation expense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5,579</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1,927</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Net restructuring charge accrued liability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3,221</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operating assets and liabilities (net of effects of business acquisitions):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80"/>
              <w:spacing w:after="0" w:line="149" w:lineRule="exact"/>
              <w:rPr>
                <w:sz w:val="20"/>
                <w:szCs w:val="20"/>
                <w:color w:val="auto"/>
              </w:rPr>
            </w:pPr>
            <w:r>
              <w:rPr>
                <w:rFonts w:ascii="Arial" w:cs="Arial" w:eastAsia="Arial" w:hAnsi="Arial"/>
                <w:sz w:val="14"/>
                <w:szCs w:val="14"/>
                <w:color w:val="auto"/>
              </w:rPr>
              <w:t>Accounts receivable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(7,132)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(11,979)</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Inventories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(11,847)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(6,791)</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80"/>
              <w:spacing w:after="0" w:line="149" w:lineRule="exact"/>
              <w:rPr>
                <w:sz w:val="20"/>
                <w:szCs w:val="20"/>
                <w:color w:val="auto"/>
              </w:rPr>
            </w:pPr>
            <w:r>
              <w:rPr>
                <w:rFonts w:ascii="Arial" w:cs="Arial" w:eastAsia="Arial" w:hAnsi="Arial"/>
                <w:sz w:val="14"/>
                <w:szCs w:val="14"/>
                <w:color w:val="auto"/>
              </w:rPr>
              <w:t>Prepaid expenses and other assets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2,168</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8,827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15,210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880"/>
              <w:spacing w:after="0" w:line="149" w:lineRule="exact"/>
              <w:rPr>
                <w:sz w:val="20"/>
                <w:szCs w:val="20"/>
                <w:color w:val="auto"/>
              </w:rPr>
            </w:pPr>
            <w:r>
              <w:rPr>
                <w:rFonts w:ascii="Arial" w:cs="Arial" w:eastAsia="Arial" w:hAnsi="Arial"/>
                <w:sz w:val="14"/>
                <w:szCs w:val="14"/>
                <w:color w:val="auto"/>
              </w:rPr>
              <w:t>Income taxes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9,662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(393)</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Other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4,126</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1,873</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20" w:type="dxa"/>
            <w:vAlign w:val="bottom"/>
          </w:tcPr>
          <w:p>
            <w:pPr>
              <w:ind w:left="12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119,103</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87,646</w:t>
            </w:r>
          </w:p>
        </w:tc>
        <w:tc>
          <w:tcPr>
            <w:tcW w:w="7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57,316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(79,926)</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(228,928)</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short-term investments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(47,025)</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(38,450)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Sales of short-term investments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45,075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42,850</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(21,920)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(14,892)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Termination of capital lease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390</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448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(1,686)</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(1,533)</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1200"/>
              <w:spacing w:after="0" w:line="149" w:lineRule="exact"/>
              <w:rPr>
                <w:sz w:val="20"/>
                <w:szCs w:val="20"/>
                <w:color w:val="auto"/>
              </w:rPr>
            </w:pPr>
            <w:r>
              <w:rPr>
                <w:rFonts w:ascii="Arial" w:cs="Arial" w:eastAsia="Arial" w:hAnsi="Arial"/>
                <w:sz w:val="14"/>
                <w:szCs w:val="14"/>
                <w:color w:val="auto"/>
              </w:rPr>
              <w:t>Net cash used in investing activities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(105,092)</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(240,505)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(38,366)</w:t>
            </w:r>
          </w:p>
        </w:tc>
        <w:tc>
          <w:tcPr>
            <w:tcW w:w="0" w:type="dxa"/>
            <w:vAlign w:val="bottom"/>
          </w:tcPr>
          <w:p>
            <w:pPr>
              <w:spacing w:after="0"/>
              <w:rPr>
                <w:sz w:val="1"/>
                <w:szCs w:val="1"/>
                <w:color w:val="auto"/>
              </w:rPr>
            </w:pPr>
          </w:p>
        </w:tc>
      </w:tr>
      <w:tr>
        <w:trPr>
          <w:trHeight w:val="156"/>
        </w:trPr>
        <w:tc>
          <w:tcPr>
            <w:tcW w:w="614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of dividends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(21,291)</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(19,805)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issuance of common stock</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15,734</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19,422</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Principal payments on debt</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(85,604)</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(161,578)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debt</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83,000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310,000</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Payment for redemption of preferred stock</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(1,551)</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(564)</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issue costs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(1,372)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20" w:type="dxa"/>
            <w:vAlign w:val="bottom"/>
          </w:tcPr>
          <w:p>
            <w:pPr>
              <w:ind w:left="12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(9,712)</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146,103</w:t>
            </w:r>
          </w:p>
        </w:tc>
        <w:tc>
          <w:tcPr>
            <w:tcW w:w="7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(16,833)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6,939</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56"/>
        </w:trPr>
        <w:tc>
          <w:tcPr>
            <w:tcW w:w="614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in cash and cash equivalents</w:t>
            </w:r>
          </w:p>
        </w:tc>
        <w:tc>
          <w:tcPr>
            <w:tcW w:w="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4,182</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w:t>
            </w:r>
          </w:p>
        </w:tc>
        <w:tc>
          <w:tcPr>
            <w:tcW w:w="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68,788</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68,605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65,969</w:t>
            </w:r>
          </w:p>
        </w:tc>
        <w:tc>
          <w:tcPr>
            <w:tcW w:w="0" w:type="dxa"/>
            <w:vAlign w:val="bottom"/>
          </w:tcPr>
          <w:p>
            <w:pPr>
              <w:spacing w:after="0"/>
              <w:rPr>
                <w:sz w:val="1"/>
                <w:szCs w:val="1"/>
                <w:color w:val="auto"/>
              </w:rPr>
            </w:pPr>
          </w:p>
        </w:tc>
      </w:tr>
      <w:tr>
        <w:trPr>
          <w:trHeight w:val="156"/>
        </w:trPr>
        <w:tc>
          <w:tcPr>
            <w:tcW w:w="61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year</w:t>
            </w:r>
          </w:p>
        </w:tc>
        <w:tc>
          <w:tcPr>
            <w:tcW w:w="8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72,970</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68,788</w:t>
            </w:r>
          </w:p>
        </w:tc>
        <w:tc>
          <w:tcPr>
            <w:tcW w:w="7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68,605</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280"/>
              <w:spacing w:after="0" w:line="149" w:lineRule="exact"/>
              <w:rPr>
                <w:sz w:val="20"/>
                <w:szCs w:val="20"/>
                <w:color w:val="auto"/>
              </w:rPr>
            </w:pPr>
            <w:r>
              <w:rPr>
                <w:rFonts w:ascii="Arial" w:cs="Arial" w:eastAsia="Arial" w:hAnsi="Arial"/>
                <w:sz w:val="14"/>
                <w:szCs w:val="14"/>
                <w:color w:val="auto"/>
              </w:rPr>
              <w:t>Cash paid during the year for:</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Interest</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7,836</w:t>
            </w:r>
          </w:p>
        </w:tc>
        <w:tc>
          <w:tcPr>
            <w:tcW w:w="6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506</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Income taxes, net of refunds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19,358</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10,977</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Acquisitions: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Fair value of assets acquired, net of cash</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60,193</w:t>
            </w:r>
          </w:p>
        </w:tc>
        <w:tc>
          <w:tcPr>
            <w:tcW w:w="6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96,656</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Liabilities assumed</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(35,113)</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(8,674)</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Goodwill</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54,846</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140,946</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paid for acquisitions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79,926</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228,928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23,912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vMerge w:val="restart"/>
          </w:tcPr>
          <w:p>
            <w:pPr>
              <w:ind w:left="280"/>
              <w:spacing w:after="0"/>
              <w:rPr>
                <w:sz w:val="20"/>
                <w:szCs w:val="20"/>
                <w:color w:val="auto"/>
              </w:rPr>
            </w:pPr>
            <w:r>
              <w:rPr>
                <w:rFonts w:ascii="Arial" w:cs="Arial" w:eastAsia="Arial" w:hAnsi="Arial"/>
                <w:sz w:val="14"/>
                <w:szCs w:val="14"/>
                <w:color w:val="auto"/>
              </w:rPr>
              <w:t>Termination of capital lease:</w:t>
            </w: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Disposition of capital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ind w:left="580"/>
              <w:spacing w:after="0" w:line="149" w:lineRule="exact"/>
              <w:rPr>
                <w:sz w:val="20"/>
                <w:szCs w:val="20"/>
                <w:color w:val="auto"/>
              </w:rPr>
            </w:pPr>
            <w:r>
              <w:rPr>
                <w:rFonts w:ascii="Arial" w:cs="Arial" w:eastAsia="Arial" w:hAnsi="Arial"/>
                <w:sz w:val="14"/>
                <w:szCs w:val="14"/>
                <w:color w:val="auto"/>
              </w:rPr>
              <w:t>Settlement of capital lease liability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paid for termination of capital lease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July 31, 2005, 2004 and 2003</w:t>
      </w:r>
    </w:p>
    <w:p>
      <w:pPr>
        <w:spacing w:after="0" w:line="20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Brady Corporation and its subsidiaries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all of which are wholly-owned with the exception of the Company’s Thailand operations, in which a third party retains an approximately $1,200 investment. All significant intercompany accounts and transactions have been eliminated in consolidation.</w:t>
      </w:r>
    </w:p>
    <w:p>
      <w:pPr>
        <w:spacing w:after="0" w:line="73"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Stock Dividend </w:t>
      </w:r>
      <w:r>
        <w:rPr>
          <w:rFonts w:ascii="Arial" w:cs="Arial" w:eastAsia="Arial" w:hAnsi="Arial"/>
          <w:sz w:val="18"/>
          <w:szCs w:val="18"/>
          <w:color w:val="auto"/>
        </w:rPr>
        <w:t>— All previously presented earnings per share, share amounts, and stock price data have been adjusted for a two-for-one stock split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 of a 100% stock dividend, effective December 31, 2004.</w:t>
      </w:r>
    </w:p>
    <w:p>
      <w:pPr>
        <w:spacing w:after="0" w:line="62" w:lineRule="exact"/>
        <w:rPr>
          <w:sz w:val="20"/>
          <w:szCs w:val="20"/>
          <w:color w:val="auto"/>
        </w:rPr>
      </w:pPr>
    </w:p>
    <w:p>
      <w:pPr>
        <w:ind w:right="480" w:firstLine="270"/>
        <w:spacing w:after="0" w:line="308"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Company believes the carrying amount of its financial instruments (cash and cash equivalents, accounts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and accounts payable) is a reasonable estimate of the fair value of these instruments due to their short-term nature.</w:t>
      </w:r>
    </w:p>
    <w:p>
      <w:pPr>
        <w:spacing w:after="0" w:line="38"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maturities of three months or less when acquired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recorded at cost.</w:t>
      </w:r>
    </w:p>
    <w:p>
      <w:pPr>
        <w:spacing w:after="0" w:line="62"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The Company has invested in certain marketable securities that are categorized as available-for-sale.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auction-rate securities, which were previously classified as cash equivalents, and have been reclassified as short-term investments available-for-sale for all periods presented. The amount of available-for-sale securities included in the consolidated balance sheets as of July 31, 2005 and July 31, 2004 was $7,100,000 and $5,150,000, respectively, and consists solely of auction rate securities. The effect of this reclassification has also been reflected in the consolidated statements of cash flows for all periods presented.</w:t>
      </w:r>
    </w:p>
    <w:p>
      <w:pPr>
        <w:spacing w:after="0" w:line="80" w:lineRule="exact"/>
        <w:rPr>
          <w:sz w:val="20"/>
          <w:szCs w:val="20"/>
          <w:color w:val="auto"/>
        </w:rPr>
      </w:pPr>
    </w:p>
    <w:p>
      <w:pPr>
        <w:ind w:right="60" w:firstLine="267"/>
        <w:spacing w:after="0" w:line="302" w:lineRule="auto"/>
        <w:rPr>
          <w:sz w:val="20"/>
          <w:szCs w:val="20"/>
          <w:color w:val="auto"/>
        </w:rPr>
      </w:pPr>
      <w:r>
        <w:rPr>
          <w:rFonts w:ascii="Arial" w:cs="Arial" w:eastAsia="Arial" w:hAnsi="Arial"/>
          <w:sz w:val="16"/>
          <w:szCs w:val="16"/>
          <w:color w:val="auto"/>
        </w:rPr>
        <w:t>The auction rate securities held by the Company are municipal bonds with either perpetual or intermediate to long-term maturities. The holding period of each bond is either 7, 28, 35, or 49 days and is determined when the security is issued. A Dutch auction takes place at the end of each holding period at which time the security can be sold or held. The lowest rate that sells all of the securities is the set rate for the subsequent holding period. If there are not sufficient orders to place all of the available securities, the auction is said to have “failed” and liquidity will be denied for the subsequent holding period.</w:t>
      </w:r>
    </w:p>
    <w:p>
      <w:pPr>
        <w:spacing w:after="0" w:line="46" w:lineRule="exact"/>
        <w:rPr>
          <w:sz w:val="20"/>
          <w:szCs w:val="20"/>
          <w:color w:val="auto"/>
        </w:rPr>
      </w:pPr>
    </w:p>
    <w:p>
      <w:pPr>
        <w:ind w:right="40" w:firstLine="267"/>
        <w:spacing w:after="0" w:line="308" w:lineRule="auto"/>
        <w:rPr>
          <w:sz w:val="20"/>
          <w:szCs w:val="20"/>
          <w:color w:val="auto"/>
        </w:rPr>
      </w:pPr>
      <w:r>
        <w:rPr>
          <w:rFonts w:ascii="Arial" w:cs="Arial" w:eastAsia="Arial" w:hAnsi="Arial"/>
          <w:sz w:val="17"/>
          <w:szCs w:val="17"/>
          <w:color w:val="auto"/>
        </w:rPr>
        <w:t>The carrying value of the available-for-sale securities approximates the aggregate fair value of the securities and there are no unrealized gains or losses on the available-for-sale securities. There were no gains or losses on available-for-sales securities during the periods presented.</w:t>
      </w:r>
    </w:p>
    <w:p>
      <w:pPr>
        <w:spacing w:after="0" w:line="38" w:lineRule="exact"/>
        <w:rPr>
          <w:sz w:val="20"/>
          <w:szCs w:val="20"/>
          <w:color w:val="auto"/>
        </w:rPr>
      </w:pPr>
    </w:p>
    <w:p>
      <w:pPr>
        <w:ind w:right="320" w:firstLine="270"/>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stated at the lower of cost or market. Cost has been determined using the last-in, first-out (“LIFO”) method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domestic inventories (approximately 37% of total inventories at July 31, 2005 and 36% of total inventories at July 31, 2004) and the first-in, first-out (“FIFO”) or average cost methods for other inventories. The carrying value of certain domestic inventories stated at FIFO cost exceeded the value of such inventories stated at LIFO cost by $8,499,000 and $7,452,000 at July 31, 2005 and 2004, respectively.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 The cost of buildings and improvements and machinery and equipment is being depreciated over their estimated useful lives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straight-line method for financial reporting purposes. The estimated useful lives range from 3 to 33 years as shown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14"/>
                <w:szCs w:val="14"/>
                <w:color w:val="auto"/>
              </w:rPr>
            </w:pPr>
          </w:p>
        </w:tc>
        <w:tc>
          <w:tcPr>
            <w:tcW w:w="2520" w:type="dxa"/>
            <w:vAlign w:val="bottom"/>
            <w:gridSpan w:val="2"/>
          </w:tcPr>
          <w:p>
            <w:pPr>
              <w:ind w:left="580"/>
              <w:spacing w:after="0"/>
              <w:rPr>
                <w:sz w:val="20"/>
                <w:szCs w:val="20"/>
                <w:color w:val="auto"/>
              </w:rPr>
            </w:pPr>
            <w:r>
              <w:rPr>
                <w:rFonts w:ascii="Arial" w:cs="Arial" w:eastAsia="Arial" w:hAnsi="Arial"/>
                <w:sz w:val="14"/>
                <w:szCs w:val="14"/>
                <w:b w:val="1"/>
                <w:bCs w:val="1"/>
                <w:color w:val="auto"/>
              </w:rPr>
              <w:t>Range of Useful Lives</w:t>
            </w:r>
          </w:p>
        </w:tc>
      </w:tr>
      <w:tr>
        <w:trPr>
          <w:trHeight w:val="20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to 33 Years</w:t>
            </w:r>
          </w:p>
        </w:tc>
        <w:tc>
          <w:tcPr>
            <w:tcW w:w="2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20"/>
                <w:szCs w:val="20"/>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3 to 10 Years</w:t>
            </w:r>
          </w:p>
        </w:tc>
      </w:tr>
    </w:tbl>
    <w:p>
      <w:pPr>
        <w:spacing w:after="0" w:line="94"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 The cost of intangible assets with determinable useful lives is amortized to reflect the pattern of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consumed, principally on a straight-line basis, over the estimated periods benefited. Intangible assets with indefinite useful lives and goodwill are not subjected to amortization. These assets are assessed for impairment annually and when deemed necessary.</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the carrying amount of goodwill for the years ended July 31, 2005 and 2004,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Americas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Europe</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Asia</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2003</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84,267,000</w:t>
            </w:r>
          </w:p>
        </w:tc>
        <w:tc>
          <w:tcPr>
            <w:tcW w:w="6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43,820,000</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2,580,000</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130,667,000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Goodwill acquired during the period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132,593,000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8,353,000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140,946,000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3,675,000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4,284,000</w:t>
            </w: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color w:val="auto"/>
              </w:rPr>
              <w:t>Balance as of July 31, 2004</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217,316,000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55,848,000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275,897,000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acquired during the period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8,771,000</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18,326,000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28,176,000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55,273,000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20"/>
              <w:spacing w:after="0"/>
              <w:rPr>
                <w:sz w:val="20"/>
                <w:szCs w:val="20"/>
                <w:color w:val="auto"/>
              </w:rPr>
            </w:pPr>
            <w:r>
              <w:rPr>
                <w:rFonts w:ascii="Arial" w:cs="Arial" w:eastAsia="Arial" w:hAnsi="Arial"/>
                <w:sz w:val="18"/>
                <w:szCs w:val="18"/>
                <w:color w:val="auto"/>
              </w:rPr>
              <w:t>Translation adjustments and other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756,000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(630,000)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1,073,000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1,199,000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2005</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226,843,000</w:t>
            </w:r>
          </w:p>
        </w:tc>
        <w:tc>
          <w:tcPr>
            <w:tcW w:w="6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73,544,000</w:t>
            </w: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31,982,000</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332,369,000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60" w:firstLine="270"/>
        <w:spacing w:after="0" w:line="259" w:lineRule="auto"/>
        <w:rPr>
          <w:sz w:val="20"/>
          <w:szCs w:val="20"/>
          <w:color w:val="auto"/>
        </w:rPr>
      </w:pPr>
      <w:r>
        <w:rPr>
          <w:rFonts w:ascii="Arial" w:cs="Arial" w:eastAsia="Arial" w:hAnsi="Arial"/>
          <w:sz w:val="18"/>
          <w:szCs w:val="18"/>
          <w:color w:val="auto"/>
        </w:rPr>
        <w:t>Goodwill increased by $56,472,000 during the year ended July 31, 2005, including an increase of $1,199,000 attributable to the effects of foreign currency translation and other. The acquisitions of Emed Co, Inc. (“EMED”) and Electromark in the Americas, ID Technologies, Inc., Technology Print Supplies, Ltd., and Technology and Supply Media Co., Ltd. in Asia, and Signs &amp; Labels Ltd., in Europe resulted in $427,000, $8,344,000, $25,926,000, $2,250,000 and $18,326,000 of additional goodwill, respectively.</w:t>
      </w:r>
    </w:p>
    <w:p>
      <w:pPr>
        <w:spacing w:after="0" w:line="79" w:lineRule="exact"/>
        <w:rPr>
          <w:sz w:val="20"/>
          <w:szCs w:val="20"/>
          <w:color w:val="auto"/>
        </w:rPr>
      </w:pPr>
    </w:p>
    <w:p>
      <w:pPr>
        <w:ind w:right="580" w:firstLine="270"/>
        <w:spacing w:after="0" w:line="264" w:lineRule="auto"/>
        <w:rPr>
          <w:sz w:val="20"/>
          <w:szCs w:val="20"/>
          <w:color w:val="auto"/>
        </w:rPr>
      </w:pPr>
      <w:r>
        <w:rPr>
          <w:rFonts w:ascii="Arial" w:cs="Arial" w:eastAsia="Arial" w:hAnsi="Arial"/>
          <w:sz w:val="18"/>
          <w:szCs w:val="18"/>
          <w:color w:val="auto"/>
        </w:rPr>
        <w:t>Goodwill increased by $145,230,000 during the year ended July 31, 2004, including an increase of $4,284,000 attributable to the effects of foreign currency translation and other. The acquisitions of Brandon International, Inc., Prinzing Enterprises, Inc., B.I.G. and EMED resulted in $6,624,000, $12,065,000, $8,353,000 and $113,904,000 of additional goodwill,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Other intangible assets include patents, trademarks,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July 31, 2005</w:t>
            </w: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July 31, 2004</w:t>
            </w: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88"/>
              </w:rPr>
              <w:t>Weighted</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88"/>
              </w:rPr>
              <w:t>Weighted</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Average</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Average</w:t>
            </w: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Amortization</w:t>
            </w:r>
          </w:p>
        </w:tc>
        <w:tc>
          <w:tcPr>
            <w:tcW w:w="180" w:type="dxa"/>
            <w:vAlign w:val="bottom"/>
          </w:tcPr>
          <w:p>
            <w:pPr>
              <w:spacing w:after="0"/>
              <w:rPr>
                <w:sz w:val="11"/>
                <w:szCs w:val="11"/>
                <w:color w:val="auto"/>
              </w:rPr>
            </w:pPr>
          </w:p>
        </w:tc>
        <w:tc>
          <w:tcPr>
            <w:tcW w:w="13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97"/>
              </w:rPr>
              <w:t>Gross Carrying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1"/>
                <w:szCs w:val="11"/>
                <w:color w:val="auto"/>
              </w:rPr>
            </w:pPr>
          </w:p>
        </w:tc>
        <w:tc>
          <w:tcPr>
            <w:tcW w:w="100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94"/>
              </w:rPr>
              <w:t>Net Book</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Amortization</w:t>
            </w:r>
          </w:p>
        </w:tc>
        <w:tc>
          <w:tcPr>
            <w:tcW w:w="180" w:type="dxa"/>
            <w:vAlign w:val="bottom"/>
          </w:tcPr>
          <w:p>
            <w:pPr>
              <w:spacing w:after="0"/>
              <w:rPr>
                <w:sz w:val="11"/>
                <w:szCs w:val="11"/>
                <w:color w:val="auto"/>
              </w:rPr>
            </w:pPr>
          </w:p>
        </w:tc>
        <w:tc>
          <w:tcPr>
            <w:tcW w:w="1560" w:type="dxa"/>
            <w:vAlign w:val="bottom"/>
            <w:gridSpan w:val="2"/>
          </w:tcPr>
          <w:p>
            <w:pPr>
              <w:jc w:val="right"/>
              <w:ind w:right="620"/>
              <w:spacing w:after="0" w:line="135" w:lineRule="exact"/>
              <w:rPr>
                <w:sz w:val="20"/>
                <w:szCs w:val="20"/>
                <w:color w:val="auto"/>
              </w:rPr>
            </w:pPr>
            <w:r>
              <w:rPr>
                <w:rFonts w:ascii="Arial" w:cs="Arial" w:eastAsia="Arial" w:hAnsi="Arial"/>
                <w:sz w:val="13"/>
                <w:szCs w:val="13"/>
                <w:b w:val="1"/>
                <w:bCs w:val="1"/>
                <w:color w:val="auto"/>
                <w:w w:val="97"/>
              </w:rPr>
              <w:t>Gross Carrying</w:t>
            </w:r>
          </w:p>
        </w:tc>
        <w:tc>
          <w:tcPr>
            <w:tcW w:w="80" w:type="dxa"/>
            <w:vAlign w:val="bottom"/>
          </w:tcPr>
          <w:p>
            <w:pPr>
              <w:spacing w:after="0"/>
              <w:rPr>
                <w:sz w:val="11"/>
                <w:szCs w:val="11"/>
                <w:color w:val="auto"/>
              </w:rPr>
            </w:pPr>
          </w:p>
        </w:tc>
        <w:tc>
          <w:tcPr>
            <w:tcW w:w="108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w w:val="83"/>
              </w:rPr>
              <w:t>Accumulated</w:t>
            </w:r>
          </w:p>
        </w:tc>
        <w:tc>
          <w:tcPr>
            <w:tcW w:w="14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Net Book</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Period (Years)</w:t>
            </w:r>
          </w:p>
        </w:tc>
        <w:tc>
          <w:tcPr>
            <w:tcW w:w="180" w:type="dxa"/>
            <w:vAlign w:val="bottom"/>
          </w:tcPr>
          <w:p>
            <w:pPr>
              <w:spacing w:after="0"/>
              <w:rPr>
                <w:sz w:val="13"/>
                <w:szCs w:val="13"/>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Value</w:t>
            </w: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Period (Years)</w:t>
            </w:r>
          </w:p>
        </w:tc>
        <w:tc>
          <w:tcPr>
            <w:tcW w:w="180" w:type="dxa"/>
            <w:vAlign w:val="bottom"/>
          </w:tcPr>
          <w:p>
            <w:pPr>
              <w:spacing w:after="0"/>
              <w:rPr>
                <w:sz w:val="13"/>
                <w:szCs w:val="13"/>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Amount</w:t>
            </w:r>
          </w:p>
        </w:tc>
        <w:tc>
          <w:tcPr>
            <w:tcW w:w="11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Amortized other</w:t>
            </w: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rPr>
              <w:t>Patents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6,830,000</w:t>
            </w:r>
          </w:p>
        </w:tc>
        <w:tc>
          <w:tcPr>
            <w:tcW w:w="16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2,305,000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6,450,000</w:t>
            </w:r>
          </w:p>
        </w:tc>
        <w:tc>
          <w:tcPr>
            <w:tcW w:w="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(3,967,000)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2,483,000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Trademarks and</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(1,134,000)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236,000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911,000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(825,000)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86,000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rPr>
              <w:t>Customer</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20" w:type="dxa"/>
            <w:vAlign w:val="bottom"/>
          </w:tcPr>
          <w:p>
            <w:pPr>
              <w:ind w:left="240"/>
              <w:spacing w:after="0"/>
              <w:rPr>
                <w:sz w:val="20"/>
                <w:szCs w:val="20"/>
                <w:color w:val="auto"/>
              </w:rPr>
            </w:pPr>
            <w:r>
              <w:rPr>
                <w:rFonts w:ascii="Arial" w:cs="Arial" w:eastAsia="Arial" w:hAnsi="Arial"/>
                <w:sz w:val="16"/>
                <w:szCs w:val="16"/>
                <w:color w:val="auto"/>
              </w:rPr>
              <w:t>relationships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51,211,000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(7,244,000)</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43,967,000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28,203,000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(1,644,000)</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26,559,000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Purchased</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software</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(1,353,000)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1,795,000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(894,000)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1,445,000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rPr>
              <w:t>Non-compete</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tcPr>
          <w:p>
            <w:pPr>
              <w:ind w:left="240"/>
              <w:spacing w:after="0"/>
              <w:rPr>
                <w:sz w:val="20"/>
                <w:szCs w:val="20"/>
                <w:color w:val="auto"/>
              </w:rPr>
            </w:pPr>
            <w:r>
              <w:rPr>
                <w:rFonts w:ascii="Arial" w:cs="Arial" w:eastAsia="Arial" w:hAnsi="Arial"/>
                <w:sz w:val="16"/>
                <w:szCs w:val="16"/>
                <w:color w:val="auto"/>
              </w:rPr>
              <w:t>agreements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6,216,000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(3,212,000)</w:t>
            </w:r>
          </w:p>
        </w:tc>
        <w:tc>
          <w:tcPr>
            <w:tcW w:w="1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3,004,000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3,130,000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(2,203,000)</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927,000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Unamortized</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intangible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rPr>
              <w:t>Trademarks</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20,340,000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w w:val="92"/>
              </w:rPr>
              <w:t>20,340,000</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14,379,000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14,379,000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89,115,000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(17,468,000)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2"/>
              </w:rPr>
              <w:t>71,647,000</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55,412,000</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(9,533,000)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45,879,000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20" w:firstLine="267"/>
        <w:spacing w:after="0" w:line="264" w:lineRule="auto"/>
        <w:rPr>
          <w:sz w:val="20"/>
          <w:szCs w:val="20"/>
          <w:color w:val="auto"/>
        </w:rPr>
      </w:pPr>
      <w:r>
        <w:rPr>
          <w:rFonts w:ascii="Arial" w:cs="Arial" w:eastAsia="Arial" w:hAnsi="Arial"/>
          <w:sz w:val="18"/>
          <w:szCs w:val="18"/>
          <w:color w:val="auto"/>
        </w:rPr>
        <w:t>The increase in trademarks and other (both amortized and unamortized) in fiscal 2005 relates mainly to the acquisitions of Signs &amp; Labels and Electromark, which added $4,376,000 and $1,600,000, respectively. In fiscal 2004, the acquisitions of EMED and B.I.G. added $13,900,000 and $473,000, respectively.</w:t>
      </w:r>
    </w:p>
    <w:p>
      <w:pPr>
        <w:spacing w:after="0" w:line="73" w:lineRule="exact"/>
        <w:rPr>
          <w:sz w:val="20"/>
          <w:szCs w:val="20"/>
          <w:color w:val="auto"/>
        </w:rPr>
      </w:pPr>
    </w:p>
    <w:p>
      <w:pPr>
        <w:ind w:right="340" w:firstLine="267"/>
        <w:spacing w:after="0" w:line="264" w:lineRule="auto"/>
        <w:rPr>
          <w:sz w:val="20"/>
          <w:szCs w:val="20"/>
          <w:color w:val="auto"/>
        </w:rPr>
      </w:pPr>
      <w:r>
        <w:rPr>
          <w:rFonts w:ascii="Arial" w:cs="Arial" w:eastAsia="Arial" w:hAnsi="Arial"/>
          <w:sz w:val="18"/>
          <w:szCs w:val="18"/>
          <w:color w:val="auto"/>
        </w:rPr>
        <w:t>The increase in customer relationships in 2005 relates mainly to the acquisitions of ID Technologies, Signs &amp; Labels, Technology, Print &amp; Supply and Electromark, which added $13,960,000, $5,870,000, $1,973,000 and $1,300,000, respectively. In 2004, the acquisitions of EMED and B.I.G. added $21,100,000 and $2,300,000, respectively.</w:t>
      </w:r>
    </w:p>
    <w:p>
      <w:pPr>
        <w:spacing w:after="0" w:line="73" w:lineRule="exact"/>
        <w:rPr>
          <w:sz w:val="20"/>
          <w:szCs w:val="20"/>
          <w:color w:val="auto"/>
        </w:rPr>
      </w:pPr>
    </w:p>
    <w:p>
      <w:pPr>
        <w:ind w:right="200" w:firstLine="267"/>
        <w:spacing w:after="0" w:line="264" w:lineRule="auto"/>
        <w:rPr>
          <w:sz w:val="20"/>
          <w:szCs w:val="20"/>
          <w:color w:val="auto"/>
        </w:rPr>
      </w:pPr>
      <w:r>
        <w:rPr>
          <w:rFonts w:ascii="Arial" w:cs="Arial" w:eastAsia="Arial" w:hAnsi="Arial"/>
          <w:sz w:val="18"/>
          <w:szCs w:val="18"/>
          <w:color w:val="auto"/>
        </w:rPr>
        <w:t>The value of the intangible assets of ID Technologies, Signs &amp; Labels, and Technology Print Supplies in the consolidated balance sheet at July 31, 2005 differs from the value assigned to them in the allocation of purchase price due to the effect of fluctuations in the exchange rates used to translate financial statements into the United States Dollar.</w:t>
      </w:r>
    </w:p>
    <w:p>
      <w:pPr>
        <w:spacing w:after="0" w:line="73" w:lineRule="exact"/>
        <w:rPr>
          <w:sz w:val="20"/>
          <w:szCs w:val="20"/>
          <w:color w:val="auto"/>
        </w:rPr>
      </w:pPr>
    </w:p>
    <w:p>
      <w:pPr>
        <w:ind w:right="80" w:firstLine="260"/>
        <w:spacing w:after="0" w:line="264" w:lineRule="auto"/>
        <w:rPr>
          <w:sz w:val="20"/>
          <w:szCs w:val="20"/>
          <w:color w:val="auto"/>
        </w:rPr>
      </w:pPr>
      <w:r>
        <w:rPr>
          <w:rFonts w:ascii="Arial" w:cs="Arial" w:eastAsia="Arial" w:hAnsi="Arial"/>
          <w:sz w:val="18"/>
          <w:szCs w:val="18"/>
          <w:color w:val="auto"/>
        </w:rPr>
        <w:t>Amortization expense of intangible assets during fiscal 2005, 2004, and 2003 was $7,935,000, $2,965,000, and $1,539,000 respectively. The amortization over each of the next five fiscal years is projected to be $8,596,000, $8,240,000, $7,958,000, $7,582,000 and $6,781,000 for the years ending July 31, 2006, 2007, 2008, 2009 and 2010, respectively.</w:t>
      </w:r>
    </w:p>
    <w:p>
      <w:pPr>
        <w:spacing w:after="0" w:line="73"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i w:val="1"/>
          <w:iCs w:val="1"/>
          <w:color w:val="auto"/>
        </w:rPr>
        <w:t xml:space="preserve">Impairment of Long-Lived and Other Intangible Assets </w:t>
      </w:r>
      <w:r>
        <w:rPr>
          <w:rFonts w:ascii="Arial" w:cs="Arial" w:eastAsia="Arial" w:hAnsi="Arial"/>
          <w:sz w:val="18"/>
          <w:szCs w:val="18"/>
          <w:color w:val="auto"/>
        </w:rPr>
        <w:t>— The Company evaluates whether events and circumstances have occurred that indicate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an impairment is determined to exist, any related impairment loss is calculated based on the fair value of the asset.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i w:val="1"/>
          <w:iCs w:val="1"/>
          <w:color w:val="auto"/>
        </w:rPr>
        <w:t xml:space="preserve">Impairment of Goodwill </w:t>
      </w:r>
      <w:r>
        <w:rPr>
          <w:rFonts w:ascii="Arial" w:cs="Arial" w:eastAsia="Arial" w:hAnsi="Arial"/>
          <w:sz w:val="17"/>
          <w:szCs w:val="17"/>
          <w:color w:val="auto"/>
        </w:rPr>
        <w:t>— The Company evaluates goodwill under SFAS No. 142, which addresses the financial accounting and reporting standards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acquisition of intangible assets outside of a business combination and for goodwill and other intangible assets subsequent to their acquisition. This accounting standard requires that goodwill not be amortized, but instead be tested for impairment on at least an annual basis.</w:t>
      </w:r>
    </w:p>
    <w:p>
      <w:pPr>
        <w:spacing w:after="0" w:line="57"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Company performed its annual assessments in the fourth quarter of each year. The assessments included comparing the carrying amount of net assets, including goodwill, of each reporting unit to its respective fair value as of the date of the assessment. Fair value was estimated based upon discounted cash flow analyses. Because the estimated fair value of each of the Company’s reporting units exceeded its carrying amount, management believes that no impairment existed as of the date of the latest assessment. No indications of impairment have been identified between the date of the latest assessment and July 31, 2005.</w:t>
      </w:r>
    </w:p>
    <w:p>
      <w:pPr>
        <w:spacing w:after="0" w:line="80"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i w:val="1"/>
          <w:iCs w:val="1"/>
          <w:color w:val="auto"/>
        </w:rPr>
        <w:t xml:space="preserve">Catalog Costs </w:t>
      </w:r>
      <w:r>
        <w:rPr>
          <w:rFonts w:ascii="Arial" w:cs="Arial" w:eastAsia="Arial" w:hAnsi="Arial"/>
          <w:sz w:val="18"/>
          <w:szCs w:val="18"/>
          <w:color w:val="auto"/>
        </w:rPr>
        <w:t>— Direct response catalog costs are primarily capitalized and amortized over the estimated useful lives of the publications (generally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one year). Non-direct response catalog costs are recorded as prepaid supplies and amortized to advertising expense as they are consumed (less than one year). At July 31, 2005 and 2004, $13,887,000 and $11,167,000, respectively of prepaid catalog costs were included in prepaid expenses and other current assets.</w:t>
      </w:r>
    </w:p>
    <w:p>
      <w:pPr>
        <w:spacing w:after="0" w:line="7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recognized when it is both earned and realized or realizable. The Company’s policy is to recognize revenue when title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product, ownership and risk of loss have transferred to the customer, persuasive evidence of an arrangement exits and collection of the sales proceeds is reasonably assured, all of which generally occur upon shipment of goods to customers. The vast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w:t>
      </w:r>
    </w:p>
    <w:p>
      <w:pPr>
        <w:spacing w:after="0" w:line="85" w:lineRule="exact"/>
        <w:rPr>
          <w:sz w:val="20"/>
          <w:szCs w:val="20"/>
          <w:color w:val="auto"/>
        </w:rPr>
      </w:pPr>
    </w:p>
    <w:p>
      <w:pPr>
        <w:ind w:right="40" w:firstLine="270"/>
        <w:spacing w:after="0" w:line="286" w:lineRule="auto"/>
        <w:rPr>
          <w:sz w:val="20"/>
          <w:szCs w:val="20"/>
          <w:color w:val="auto"/>
        </w:rPr>
      </w:pPr>
      <w:r>
        <w:rPr>
          <w:rFonts w:ascii="Arial" w:cs="Arial" w:eastAsia="Arial" w:hAnsi="Arial"/>
          <w:sz w:val="17"/>
          <w:szCs w:val="17"/>
          <w:i w:val="1"/>
          <w:iCs w:val="1"/>
          <w:color w:val="auto"/>
        </w:rPr>
        <w:t xml:space="preserve">Sales Incentives </w:t>
      </w:r>
      <w:r>
        <w:rPr>
          <w:rFonts w:ascii="Arial" w:cs="Arial" w:eastAsia="Arial" w:hAnsi="Arial"/>
          <w:sz w:val="17"/>
          <w:szCs w:val="17"/>
          <w:color w:val="auto"/>
        </w:rPr>
        <w:t>— In accordance with the Financial Accounting Standard Board’s Emerging Issues Task Force Issue (“EITF”) No. 01-9,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Given by a Vendor to a Customer or a Reseller of the Vendor’s Product,” the Company accounts for cash consideration (such as sales incentives and cash discounts) given to its customers or resellers as a reduction of revenue rather than an operating expense.</w:t>
      </w:r>
    </w:p>
    <w:p>
      <w:pPr>
        <w:spacing w:after="0" w:line="5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i w:val="1"/>
          <w:iCs w:val="1"/>
          <w:color w:val="auto"/>
        </w:rPr>
        <w:t xml:space="preserve">Shipping and Handling Fees and Costs </w:t>
      </w:r>
      <w:r>
        <w:rPr>
          <w:rFonts w:ascii="Arial" w:cs="Arial" w:eastAsia="Arial" w:hAnsi="Arial"/>
          <w:sz w:val="18"/>
          <w:szCs w:val="18"/>
          <w:color w:val="auto"/>
        </w:rPr>
        <w:t>— The Company accounts for shipping and handling fees and costs in accordance with EITF Issue No. 00-10,</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Shipping and Handling Fees and Costs.” Under EITF No. 00-10 amounts billed to a customer in a sale transaction related to shipping costs are reported as net sales and the related costs incurred for shipping are reported as cost of goods sold.</w:t>
      </w:r>
    </w:p>
    <w:p>
      <w:pPr>
        <w:spacing w:after="0" w:line="73"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i w:val="1"/>
          <w:iCs w:val="1"/>
          <w:color w:val="auto"/>
        </w:rPr>
        <w:t xml:space="preserve">Advertising Costs </w:t>
      </w:r>
      <w:r>
        <w:rPr>
          <w:rFonts w:ascii="Arial" w:cs="Arial" w:eastAsia="Arial" w:hAnsi="Arial"/>
          <w:sz w:val="18"/>
          <w:szCs w:val="18"/>
          <w:color w:val="auto"/>
        </w:rPr>
        <w:t>— Advertising costs are expensed as incurred, except catalog costs as outlined above. Advertising expense for the years ended July 31,</w:t>
      </w:r>
      <w:r>
        <w:rPr>
          <w:rFonts w:ascii="Arial" w:cs="Arial" w:eastAsia="Arial" w:hAnsi="Arial"/>
          <w:sz w:val="18"/>
          <w:szCs w:val="18"/>
          <w:i w:val="1"/>
          <w:iCs w:val="1"/>
          <w:color w:val="auto"/>
        </w:rPr>
        <w:t xml:space="preserve"> </w:t>
      </w:r>
      <w:r>
        <w:rPr>
          <w:rFonts w:ascii="Arial" w:cs="Arial" w:eastAsia="Arial" w:hAnsi="Arial"/>
          <w:sz w:val="18"/>
          <w:szCs w:val="18"/>
          <w:color w:val="auto"/>
        </w:rPr>
        <w:t>2005, 2004 and 2003 were $50,405,000, $46,143,000 and $43,833,000, respectively.</w:t>
      </w:r>
    </w:p>
    <w:p>
      <w:pPr>
        <w:spacing w:after="0" w:line="62"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Stock Based Compensation </w:t>
      </w:r>
      <w:r>
        <w:rPr>
          <w:rFonts w:ascii="Arial" w:cs="Arial" w:eastAsia="Arial" w:hAnsi="Arial"/>
          <w:sz w:val="17"/>
          <w:szCs w:val="17"/>
          <w:color w:val="auto"/>
        </w:rPr>
        <w:t>— SFAS No. 123, “Accounting for Stock-Based Compensation,” establishes a fair value based method of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however, it allows companies to continue accounting for employee stock-based compensation under the intrinsic value method prescribed by Accounting Principles Board Opinion (“APB”) No. 25, “Accounting for Stock Issued to Employees.” The Company accounts for its stock based compensation plans using the intrinsic value method in accordance with APB No. 25. SFAS No. 123, as amended by SFAS No. 148, “Accounting for Stock-Based Compensation — Transition and Disclosure,” requires certain disclosures, including pro-forma net income and net income per share as if the fair value based accounting method had been used for employee stock-based compensation cost. The Company has adopted SFAS No. 123 through disclosure with respect to employee stock-based compensation.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right="340" w:firstLine="270"/>
        <w:spacing w:after="0" w:line="264" w:lineRule="auto"/>
        <w:rPr>
          <w:sz w:val="20"/>
          <w:szCs w:val="20"/>
          <w:color w:val="auto"/>
        </w:rPr>
      </w:pPr>
      <w:r>
        <w:rPr>
          <w:rFonts w:ascii="Arial" w:cs="Arial" w:eastAsia="Arial" w:hAnsi="Arial"/>
          <w:sz w:val="18"/>
          <w:szCs w:val="18"/>
          <w:color w:val="auto"/>
        </w:rPr>
        <w:t>If the Company had elected to recognize compensation cost for the stock option plans based on the fair value at the grant dates for awards under those plans, consistent with the method prescribed by SFAS No. 123, net income and net income per common share would have been changed to the pro forma amounts indicated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60"/>
              <w:spacing w:after="0"/>
              <w:rPr>
                <w:sz w:val="20"/>
                <w:szCs w:val="20"/>
                <w:color w:val="auto"/>
              </w:rPr>
            </w:pPr>
            <w:r>
              <w:rPr>
                <w:rFonts w:ascii="Arial" w:cs="Arial" w:eastAsia="Arial" w:hAnsi="Arial"/>
                <w:sz w:val="14"/>
                <w:szCs w:val="14"/>
                <w:b w:val="1"/>
                <w:bCs w:val="1"/>
                <w:color w:val="auto"/>
                <w:w w:val="98"/>
              </w:rPr>
              <w:t>(except per share amounts)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81,947</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50,871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 recorded, net of tax effect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Pro-forma expense, net of tax effect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(3,344)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 net income, net of tax effect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49,627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19,382</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Arial" w:cs="Arial" w:eastAsia="Arial" w:hAnsi="Arial"/>
                <w:sz w:val="18"/>
                <w:szCs w:val="18"/>
                <w:color w:val="auto"/>
              </w:rPr>
              <w:t>Net income per Class A Common Share:</w:t>
            </w: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 adjustments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Pro-forma net income per share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 adjustments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Pro-forma net income per share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reported</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Pro-forma adjustments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 net income per share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Diluted: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 reported</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6000" w:type="dxa"/>
            <w:vAlign w:val="bottom"/>
          </w:tcPr>
          <w:p>
            <w:pPr>
              <w:ind w:left="300"/>
              <w:spacing w:after="0"/>
              <w:rPr>
                <w:sz w:val="20"/>
                <w:szCs w:val="20"/>
                <w:color w:val="auto"/>
              </w:rPr>
            </w:pPr>
            <w:r>
              <w:rPr>
                <w:rFonts w:ascii="Arial" w:cs="Arial" w:eastAsia="Arial" w:hAnsi="Arial"/>
                <w:sz w:val="18"/>
                <w:szCs w:val="18"/>
                <w:color w:val="auto"/>
              </w:rPr>
              <w:t>Pro-forma adjustments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Pro-forma net income per share</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 fair value of stock options used to compute pro-forma net income and net income per common share disclosure is the estimated present value at grant date using the Black-Scholes option-pricing model with weighted average assumptions and the resulting estimated fair value for fiscal years 2005, 2004 and 2003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5"/>
                <w:szCs w:val="15"/>
                <w:color w:val="auto"/>
              </w:rPr>
            </w:pP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15"/>
                <w:szCs w:val="15"/>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36.5%</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w:t>
            </w:r>
          </w:p>
        </w:tc>
        <w:tc>
          <w:tcPr>
            <w:tcW w:w="1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Expected option life</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4.5 years</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color w:val="auto"/>
              </w:rPr>
              <w:t>4.0 years</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5.0 years</w:t>
            </w: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 at grant date</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$7.04</w:t>
            </w:r>
          </w:p>
        </w:tc>
        <w:tc>
          <w:tcPr>
            <w:tcW w:w="18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 unrealized gains and losses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hedges and other investments, and their related tax effects. The components of accumulated other comprehensive income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July 31, 2005</w:t>
            </w:r>
          </w:p>
        </w:tc>
        <w:tc>
          <w:tcPr>
            <w:tcW w:w="58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July 31, 2004</w:t>
            </w:r>
          </w:p>
        </w:tc>
        <w:tc>
          <w:tcPr>
            <w:tcW w:w="7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cash flow hedges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117</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Deferred tax on cash flow hedges</w:t>
            </w:r>
          </w:p>
        </w:tc>
        <w:tc>
          <w:tcPr>
            <w:tcW w:w="160" w:type="dxa"/>
            <w:vAlign w:val="bottom"/>
          </w:tcPr>
          <w:p>
            <w:pPr>
              <w:spacing w:after="0"/>
              <w:rPr>
                <w:sz w:val="18"/>
                <w:szCs w:val="18"/>
                <w:color w:val="auto"/>
              </w:rPr>
            </w:pP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9,269</w:t>
            </w: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9,340</w:t>
            </w:r>
          </w:p>
        </w:tc>
        <w:tc>
          <w:tcPr>
            <w:tcW w:w="7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 period rates of exchange,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expense accounts are translated at the weighted average rates of exchange for the period. Resulting translation adjustments are included in other comprehensive income.</w:t>
      </w:r>
    </w:p>
    <w:p>
      <w:pPr>
        <w:spacing w:after="0" w:line="73"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accounts for income taxes in accordance with SFAS No. 109, “Accounting for Income Taxes,” which requires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85"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 exchange rates. The Company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hold or issue derivative financial instruments for trading purposes.</w:t>
      </w:r>
    </w:p>
    <w:p>
      <w:pPr>
        <w:spacing w:after="0" w:line="62" w:lineRule="exact"/>
        <w:rPr>
          <w:sz w:val="20"/>
          <w:szCs w:val="20"/>
          <w:color w:val="auto"/>
        </w:rPr>
      </w:pPr>
    </w:p>
    <w:p>
      <w:pPr>
        <w:ind w:right="240" w:firstLine="270"/>
        <w:spacing w:after="0" w:line="255" w:lineRule="auto"/>
        <w:rPr>
          <w:sz w:val="20"/>
          <w:szCs w:val="20"/>
          <w:color w:val="auto"/>
        </w:rPr>
      </w:pPr>
      <w:r>
        <w:rPr>
          <w:rFonts w:ascii="Arial" w:cs="Arial" w:eastAsia="Arial" w:hAnsi="Arial"/>
          <w:sz w:val="18"/>
          <w:szCs w:val="18"/>
          <w:i w:val="1"/>
          <w:iCs w:val="1"/>
          <w:color w:val="auto"/>
        </w:rPr>
        <w:t xml:space="preserve">Currency Rate Hedging </w:t>
      </w:r>
      <w:r>
        <w:rPr>
          <w:rFonts w:ascii="Arial" w:cs="Arial" w:eastAsia="Arial" w:hAnsi="Arial"/>
          <w:sz w:val="18"/>
          <w:szCs w:val="18"/>
          <w:color w:val="auto"/>
        </w:rPr>
        <w:t>— The primary objectives of the foreign exchange risk management activities are to understand and mitigate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foreign exchange 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81" w:lineRule="exact"/>
        <w:rPr>
          <w:sz w:val="20"/>
          <w:szCs w:val="20"/>
          <w:color w:val="auto"/>
        </w:rPr>
      </w:pPr>
    </w:p>
    <w:p>
      <w:pPr>
        <w:jc w:val="both"/>
        <w:ind w:right="660" w:firstLine="267"/>
        <w:spacing w:after="0" w:line="264" w:lineRule="auto"/>
        <w:rPr>
          <w:sz w:val="20"/>
          <w:szCs w:val="20"/>
          <w:color w:val="auto"/>
        </w:rPr>
      </w:pPr>
      <w:r>
        <w:rPr>
          <w:rFonts w:ascii="Arial" w:cs="Arial" w:eastAsia="Arial" w:hAnsi="Arial"/>
          <w:sz w:val="18"/>
          <w:szCs w:val="18"/>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2005 and 2004 was $618,000 and $393,000, respectively.</w:t>
      </w:r>
    </w:p>
    <w:p>
      <w:pPr>
        <w:spacing w:after="0" w:line="73"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w:t>
      </w:r>
    </w:p>
    <w:p>
      <w:pPr>
        <w:spacing w:after="0" w:line="39"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 In December 2004, the Financial Accounting Standards Board (“FASB”) issued SFAS No. 123 (Revised 2004), “Share-Based Payment” (“SFAS 123(R)”). This statement revises SFAS No. 123 by eliminating the option to account for employee stock options under APB No. 25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generally requires companies to recognize the cost of employee services received in exchange for awards of equity instruments based on the grant-date fair value of those awards (the “fair-value-based” method). The Company intends to adopt SFAS 123(R) on August 1, 2005. The Company intends to use the Black-Scholes-Merton valuation model to estimate the grant-date fair value of its equity compensation under SFAS 123(R). The Company has not yet completed the process of evaluating the impact that will result from adopting SFAS 123(R) and therefore is unable to disclose the impact that adopting SFAS 123(R) will have on its financial position and results of operations when such statement is adopted.</w:t>
      </w:r>
    </w:p>
    <w:p>
      <w:pPr>
        <w:spacing w:after="0" w:line="64"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In November 2004, the FASB issued SFAS No. 151, “Inventory Cost — an amendment of ARB No. 43, Chapter 4,” which is the result of its efforts to converge U.S. generally accepted accounting standards for inventories with International Accounting Standards. SFAS No. 151 requires idle facility expenses, abnormal freight, handling costs, and wasted material (spoilage) costs to be recognized as current-period charges. It also requires that the allocation of fixed production overhead costs to the costs of conversion be based on the normal capacity of the production facilities. SFAS No. 151 will be effective for inventory costs incurred after July 31, 2005. The Company does not believe the adoption of this standard will have a material effect on its consolidated financial statements.</w:t>
      </w:r>
    </w:p>
    <w:p>
      <w:pPr>
        <w:spacing w:after="0" w:line="85"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year amounts have been reclassified to conform to the current year presentation. The reclassifications did not impact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net income or net income per share.</w:t>
      </w:r>
    </w:p>
    <w:p>
      <w:pPr>
        <w:spacing w:after="0" w:line="16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of Businesses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January 2003, the Company acquired TISCOR, located in Poway, California, an innovator in mobile workforce automation solutions, and an industry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leader in designing hand-held computer software for technicians performing site and equipment inspections. The purchase price was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$13,500,000 in cash. The results of its operations have been included since the respective date of acquisition in the accompanying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The purchase price resulted in the allocation to intangible assets as follows: $8,200,000 to goodwill, $2,900,000 to customer relationships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$2,100,000 to software.</w:t>
      </w:r>
    </w:p>
    <w:p>
      <w:pPr>
        <w:spacing w:after="0" w:line="103" w:lineRule="exact"/>
        <w:rPr>
          <w:sz w:val="20"/>
          <w:szCs w:val="20"/>
          <w:color w:val="auto"/>
        </w:rPr>
      </w:pPr>
    </w:p>
    <w:p>
      <w:pPr>
        <w:ind w:right="280" w:firstLine="270"/>
        <w:spacing w:after="0" w:line="302" w:lineRule="auto"/>
        <w:rPr>
          <w:sz w:val="20"/>
          <w:szCs w:val="20"/>
          <w:color w:val="auto"/>
        </w:rPr>
      </w:pPr>
      <w:r>
        <w:rPr>
          <w:rFonts w:ascii="Arial" w:cs="Arial" w:eastAsia="Arial" w:hAnsi="Arial"/>
          <w:sz w:val="16"/>
          <w:szCs w:val="16"/>
          <w:color w:val="auto"/>
        </w:rPr>
        <w:t>In February 2003, the Company acquired Cleere Advantage Ltd., a small printing system distributor located in the United Kingdom. In April 2003, the Company acquired Etimark GmbH, located in Bad Nauheim, Germany, a leading provider of complete barcode solutions including labels, printers, applicators and software for the German market. In July 2003, the Company acquired Aztech Systems, an industrial labeling and signmaking system distributor, located in Yorkshire, England. The combined purchase price for these acquisitions was approximately $8,100,000 in cash.</w:t>
      </w:r>
    </w:p>
    <w:p>
      <w:pPr>
        <w:spacing w:after="0" w:line="46" w:lineRule="exact"/>
        <w:rPr>
          <w:sz w:val="20"/>
          <w:szCs w:val="20"/>
          <w:color w:val="auto"/>
        </w:rPr>
      </w:pPr>
    </w:p>
    <w:p>
      <w:pPr>
        <w:ind w:right="600" w:firstLine="267"/>
        <w:spacing w:after="0" w:line="277" w:lineRule="auto"/>
        <w:rPr>
          <w:sz w:val="20"/>
          <w:szCs w:val="20"/>
          <w:color w:val="auto"/>
        </w:rPr>
      </w:pPr>
      <w:r>
        <w:rPr>
          <w:rFonts w:ascii="Arial" w:cs="Arial" w:eastAsia="Arial" w:hAnsi="Arial"/>
          <w:sz w:val="18"/>
          <w:szCs w:val="18"/>
          <w:color w:val="auto"/>
        </w:rPr>
        <w:t>The allocation of the purchase price resulted in the allocation to intangible assets as follows: $6,900,000 to goodwill, $1,300,000 to customer lists, $400,000 to patents and $300,000 to non-compete agreements.</w:t>
      </w:r>
    </w:p>
    <w:p>
      <w:pPr>
        <w:spacing w:after="0" w:line="62"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In September 2003, the Company acquired Brandon International, Inc. (“Brandon”) headquartered in Baldwin Park, California, with international operations in Mexico and Singapore. Brandon is a manufacturer of die-cut products. In October 2003, the Company acquired Prinzing Enterprises, Inc. (“Prinzing”) located in Warrenville, Illinois. Prinzing is a manufacturer of lockout/tagout products, signs and other safety devices. In November 2003, the Company acquired B.I.G, headquartered in the United Kingdom, a provider of badging and business card solutions. The combined purchase price for these acquisitions was approximately $31,700,000 in cash (including $1,000,000 paid in February 2005). The Prinzing acquisition agreement included provisions for contingent payments up to a maximum $1,500,000 based on certain performance criteria during fiscal year 2004. As of May 2004, these criteria were met and the entire amount was paid to the sellers. The allocation of the purchase price resulted in the allocation to intangible assets as follows: $27,000,000 to goodwill, $500,000 to trademarks, $300,000 to patents, $200,000 to non-compete agreements and $2,900,000 to customer lists.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In May 2004, the Company acquired EMED for cash with a purchase price of $191,800,000, net of cash acquired. EMED is a direct marketer and manufacturer of identification, safety and facility management products headquartered in Buffalo, New York. The funds used to finance the purchase price came from borrowings on the Company’s revolving credit facility and from working capital.</w:t>
      </w:r>
    </w:p>
    <w:p>
      <w:pPr>
        <w:spacing w:after="0" w:line="73" w:lineRule="exact"/>
        <w:rPr>
          <w:sz w:val="20"/>
          <w:szCs w:val="20"/>
          <w:color w:val="auto"/>
        </w:rPr>
      </w:pPr>
    </w:p>
    <w:p>
      <w:pPr>
        <w:ind w:right="140" w:firstLine="267"/>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at the date of acquisition. The difference between the purchase price of $191,800,000 and the net assets acquired value of $193,800,000 relates to transaction costs.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40,036,000</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6,800,000</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35,300,000</w:t>
            </w: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Goodwill</w:t>
            </w: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114,331,000</w:t>
            </w:r>
          </w:p>
        </w:tc>
        <w:tc>
          <w:tcPr>
            <w:tcW w:w="7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196,467,000</w:t>
            </w: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Liabilities Assumed</w:t>
            </w: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2,667,000</w:t>
            </w:r>
          </w:p>
        </w:tc>
        <w:tc>
          <w:tcPr>
            <w:tcW w:w="7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193,800,000</w:t>
            </w: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67"/>
        <w:spacing w:after="0" w:line="264" w:lineRule="auto"/>
        <w:rPr>
          <w:sz w:val="20"/>
          <w:szCs w:val="20"/>
          <w:color w:val="auto"/>
        </w:rPr>
      </w:pPr>
      <w:r>
        <w:rPr>
          <w:rFonts w:ascii="Arial" w:cs="Arial" w:eastAsia="Arial" w:hAnsi="Arial"/>
          <w:sz w:val="18"/>
          <w:szCs w:val="18"/>
          <w:color w:val="auto"/>
        </w:rPr>
        <w:t>The following unaudited pro-forma combined information, assuming the EMED acquisition was completed on August 1, 2002, is provided for illustrative purposes only and should not be relied upon as necessarily being indicative of the historical results that would have been obtained if this acquisition had actually occurred during those periods, or the results that may be obtained in the future.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gridSpan w:val="4"/>
          </w:tcPr>
          <w:p>
            <w:pPr>
              <w:jc w:val="right"/>
              <w:ind w:right="3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714,848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611,938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57,091</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per share: Class 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Pro-forma net income per share: Class A</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1.20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Reported net income per share: Class B</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Pro-forma net income per share: Class B</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20" w:firstLine="270"/>
        <w:spacing w:after="0" w:line="286" w:lineRule="auto"/>
        <w:rPr>
          <w:sz w:val="20"/>
          <w:szCs w:val="20"/>
          <w:color w:val="auto"/>
        </w:rPr>
      </w:pPr>
      <w:r>
        <w:rPr>
          <w:rFonts w:ascii="Arial" w:cs="Arial" w:eastAsia="Arial" w:hAnsi="Arial"/>
          <w:sz w:val="17"/>
          <w:szCs w:val="17"/>
          <w:color w:val="auto"/>
        </w:rPr>
        <w:t>Of the $35,300,000 of acquired intangible assets, $13,900,000 was assigned to trademarks that are not subject to amortization, $21,100,000 was assigned to customer relationships and is being amortized over 7 years and $300,000 was assigned to non-compete agreements, which are amortized over 2 years. Remaining tax goodwill of $94,300,000 is expected to be deductible for tax purposes over the next nine years.</w:t>
      </w:r>
    </w:p>
    <w:p>
      <w:pPr>
        <w:spacing w:after="0" w:line="57"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auto"/>
        </w:rPr>
        <w:t>In August 2004 the Company acquired ID Technologies, a Singapore based manufacturer and supplier of pressure sensitive die-cut components and labeling products with annual sales of approximately $24,000,000. The purchase price was approximately $42,800,000 in cash. The purchase price includes a holdback amount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$6,500,000, which will be paid in August 2006 and is recorded in other liabilities in the accompanying consolidated balance sheet at July 31, 2005. Interest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imputed on the holdback at a rate of 4.9% per year. The agreement also provides for a contingent payment of no more than $2,500,000 if ID Technologies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meets certain financial targets for the fiscal year ended July 31, 2005. As of July 31, 2005, the financial targets have been met and the corresponding liability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reflected in the consolidated financial statements at the maximum payment amount. Of the purchase price, $25,926,000 was assigned to goodwill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$16,017,000 was assigned to other intangible assets in the purchase price allocation. The allocation of these intangible assets included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$13,500,000 for customer relationships, $2,300,000 for non-compete agreements, and $217,000 of other intangible assets. There is no remaining goodwill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deductible for tax purposes.</w:t>
      </w:r>
    </w:p>
    <w:p>
      <w:pPr>
        <w:spacing w:after="0" w:line="103"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In February 2005, the Company acquired Electromark, a manufacturer and supplier of safety and facility identification products to the utility industry, headquartered in Wolcott, New York. The purchase price was approximately $15,100,000 in cash. Of the purchase price, a total of $3,500,000 was assigned to intangible assets other than goodwill and $8,344,000 was assigned to goodwill in the allocation of the purchase price. The intangible assets consist of approximately $1,300,000 of customer relationships, $1,600,000 of trademarks, and $600,000 of other intangible assets at the time of acquisition. Remaining tax goodwill of $52,000 is expected to be deductible for tax purposes.</w:t>
      </w:r>
    </w:p>
    <w:p>
      <w:pPr>
        <w:spacing w:after="0" w:line="80" w:lineRule="exact"/>
        <w:rPr>
          <w:sz w:val="20"/>
          <w:szCs w:val="20"/>
          <w:color w:val="auto"/>
        </w:rPr>
      </w:pPr>
    </w:p>
    <w:p>
      <w:pPr>
        <w:ind w:right="100" w:firstLine="270"/>
        <w:spacing w:after="0" w:line="293" w:lineRule="auto"/>
        <w:rPr>
          <w:sz w:val="20"/>
          <w:szCs w:val="20"/>
          <w:color w:val="auto"/>
        </w:rPr>
      </w:pPr>
      <w:r>
        <w:rPr>
          <w:rFonts w:ascii="Arial" w:cs="Arial" w:eastAsia="Arial" w:hAnsi="Arial"/>
          <w:sz w:val="16"/>
          <w:szCs w:val="16"/>
          <w:color w:val="auto"/>
        </w:rPr>
        <w:t>In June 2005, the Company acquired Signs and Labels Ltd., a provider of stock and custom signage, custom safety signs, architectural signs and modular signage systems for business offices, schools and hospitals in the United Kingdom. The purchase price was approximately $24,000,000 in cash. Of the purchase price, a total of $10,955,000 was assigned to intangible assets other than goodwill and $18,326,000 was assigned to goodwill in the preliminary allocation of the purchase price. The intangible assets identified in the preliminary allocation of the purchase price consist of approximately $5,800,000 of customer relationships, $4,600,000 of trademarks, and $555,000 of non-compete and other. Immediately following the acquisition, all outstanding debt of Signs &amp; Labels, approximately $2,500,000, was repaid with cash. There is no remaining goodwill expected to be deductible for tax purposes.</w:t>
      </w:r>
    </w:p>
    <w:p>
      <w:pPr>
        <w:spacing w:after="0" w:line="57"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 July 2005, the Company acquired the businesses of Technology Print Supplies, Ltd., and its associate, Technology and Supply Media Co., Ltd., manufacturers and suppliers of pressure sensitive labels, nameplates and tags in Thailand. The purchase price was approximately $5,250,000 in cash. Of the purchase price, a total of $2,400,000 was assigned to intangible assets other than goodwill and $2,250,000 was assigned to goodwill in the preliminary allocation of the purchase price.</w:t>
      </w:r>
    </w:p>
    <w:p>
      <w:pPr>
        <w:spacing w:after="0" w:line="79"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Of the cash purchase price, a portion is being withheld until legal ownership of the facility owned by Technology Print Supplies, Ltd is transferred to Brady Corporation. The intangible assets identified in the preliminary allocation of the purchase price include approximately $1,900,000 of customer relationships and $500,000 of non-compete agreements and other. Remaining tax goodwill of $2,250,000 is expected to be deductible for tax purposes based on the preliminary allocation of the purchase price.</w:t>
      </w:r>
    </w:p>
    <w:p>
      <w:pPr>
        <w:spacing w:after="0" w:line="79"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results of the operations of the acquired businesses have been included since their respective dates of acquisition in the accompanying consolidated financial statements.</w:t>
      </w:r>
    </w:p>
    <w:p>
      <w:pPr>
        <w:spacing w:after="0" w:line="62"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On August 2, 2005, the Company acquired STOPware, Inc. (“Stopware”), in San Jose, California. STOPware is the market leader in visitor-badging and lobby-security software used to identify and track visitors in a variety of settings. STOPware had sales of approximately $2,000,000 during the year ended July 31, 2005.</w:t>
      </w:r>
    </w:p>
    <w:p>
      <w:pPr>
        <w:spacing w:after="0" w:line="73"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On September 1, 2005, the Company acquired Texit AS (“Texit”), a wire-marker manufacturer headquartered in Odense, Denmark, with operations in Alesund, Norway. Texit had sales of approximately $9,000,000 in calendar 2004.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240" w:firstLine="267"/>
        <w:spacing w:after="0" w:line="257" w:lineRule="auto"/>
        <w:rPr>
          <w:sz w:val="20"/>
          <w:szCs w:val="20"/>
          <w:color w:val="auto"/>
        </w:rPr>
      </w:pPr>
      <w:r>
        <w:rPr>
          <w:rFonts w:ascii="Arial" w:cs="Arial" w:eastAsia="Arial" w:hAnsi="Arial"/>
          <w:sz w:val="18"/>
          <w:szCs w:val="18"/>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80" w:lineRule="exact"/>
        <w:rPr>
          <w:sz w:val="20"/>
          <w:szCs w:val="20"/>
          <w:color w:val="auto"/>
        </w:rPr>
      </w:pPr>
    </w:p>
    <w:p>
      <w:pPr>
        <w:ind w:right="260" w:firstLine="267"/>
        <w:spacing w:after="0" w:line="259" w:lineRule="auto"/>
        <w:rPr>
          <w:sz w:val="20"/>
          <w:szCs w:val="20"/>
          <w:color w:val="auto"/>
        </w:rPr>
      </w:pPr>
      <w:r>
        <w:rPr>
          <w:rFonts w:ascii="Arial" w:cs="Arial" w:eastAsia="Arial" w:hAnsi="Arial"/>
          <w:sz w:val="18"/>
          <w:szCs w:val="18"/>
          <w:color w:val="auto"/>
        </w:rPr>
        <w:t>The Company accounts for postretirement benefits other than pensions in accordance with SFAS No. 106, “Employers’ Accounting for Postretirement Benefits Other than Pensions.” The Company funds benefit costs on a pay-as-you-go basis. During fiscal 2004, there was a change in the Plan relating to deductibles and co-payment amounts and is reported under plan amendments. The change reduced the accumulated benefits obligation by $552,000 during the year ended July 31, 2004.</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a reconciliation of the changes in the Plan’s accumulated benefit obligations during the years ended July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r>
      <w:tr>
        <w:trPr>
          <w:trHeight w:val="156"/>
        </w:trPr>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12,606</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11,413</w:t>
            </w:r>
          </w:p>
        </w:tc>
        <w:tc>
          <w:tcPr>
            <w:tcW w:w="32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719</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797</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Other Events (Medicare Part 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(2,227)</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w:t>
            </w: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Obligation at end of fiscal year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12,606</w:t>
            </w:r>
          </w:p>
        </w:tc>
        <w:tc>
          <w:tcPr>
            <w:tcW w:w="320" w:type="dxa"/>
            <w:vAlign w:val="bottom"/>
          </w:tcPr>
          <w:p>
            <w:pPr>
              <w:spacing w:after="0"/>
              <w:rPr>
                <w:sz w:val="19"/>
                <w:szCs w:val="19"/>
                <w:color w:val="auto"/>
              </w:rPr>
            </w:pPr>
          </w:p>
        </w:tc>
      </w:tr>
      <w:tr>
        <w:trPr>
          <w:trHeight w:val="21"/>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outlines the unfunded status of the Plan recorded as a long-term liability in the accompanying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July 31, 2005 and 2004: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r>
      <w:tr>
        <w:trPr>
          <w:trHeight w:val="156"/>
        </w:trPr>
        <w:tc>
          <w:tcPr>
            <w:tcW w:w="47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Unfunded status at July 31</w:t>
            </w:r>
          </w:p>
        </w:tc>
        <w:tc>
          <w:tcPr>
            <w:tcW w:w="3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12,606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Unrecognized net actuarial gain</w:t>
            </w: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3,470</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gain</w:t>
            </w:r>
          </w:p>
        </w:tc>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Accumulated postretirement benefit obligation liability</w:t>
            </w:r>
          </w:p>
        </w:tc>
        <w:tc>
          <w:tcPr>
            <w:tcW w:w="37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7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13,979</w:t>
            </w:r>
          </w:p>
        </w:tc>
        <w:tc>
          <w:tcPr>
            <w:tcW w:w="320" w:type="dxa"/>
            <w:vAlign w:val="bottom"/>
          </w:tcPr>
          <w:p>
            <w:pPr>
              <w:spacing w:after="0"/>
              <w:rPr>
                <w:sz w:val="19"/>
                <w:szCs w:val="19"/>
                <w:color w:val="auto"/>
              </w:rPr>
            </w:pPr>
          </w:p>
        </w:tc>
      </w:tr>
      <w:tr>
        <w:trPr>
          <w:trHeight w:val="21"/>
        </w:trPr>
        <w:tc>
          <w:tcPr>
            <w:tcW w:w="47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4760" w:type="dxa"/>
            <w:vAlign w:val="bottom"/>
          </w:tcPr>
          <w:p>
            <w:pPr>
              <w:spacing w:after="0"/>
              <w:rPr>
                <w:sz w:val="24"/>
                <w:szCs w:val="24"/>
                <w:color w:val="auto"/>
              </w:rPr>
            </w:pPr>
          </w:p>
        </w:tc>
        <w:tc>
          <w:tcPr>
            <w:tcW w:w="3940" w:type="dxa"/>
            <w:vAlign w:val="bottom"/>
            <w:gridSpan w:val="2"/>
          </w:tcPr>
          <w:p>
            <w:pPr>
              <w:jc w:val="right"/>
              <w:ind w:right="2710"/>
              <w:spacing w:after="0"/>
              <w:rPr>
                <w:sz w:val="20"/>
                <w:szCs w:val="20"/>
                <w:color w:val="auto"/>
              </w:rPr>
            </w:pPr>
            <w:r>
              <w:rPr>
                <w:rFonts w:ascii="Arial" w:cs="Arial" w:eastAsia="Arial" w:hAnsi="Arial"/>
                <w:sz w:val="18"/>
                <w:szCs w:val="18"/>
                <w:color w:val="auto"/>
              </w:rPr>
              <w:t>II-29</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6"/>
        </w:trPr>
        <w:tc>
          <w:tcPr>
            <w:tcW w:w="47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periodic benefit cost for the Plan for fiscal years 2005, 2004 and 2003 includes the following components: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Years Ended July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periodic postretirement benefit cost included the following components: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Service cost — benefits attributed to service during the period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895</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c>
          <w:tcPr>
            <w:tcW w:w="6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 service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Arial" w:cs="Arial" w:eastAsia="Arial" w:hAnsi="Arial"/>
                <w:sz w:val="18"/>
                <w:szCs w:val="18"/>
                <w:color w:val="auto"/>
              </w:rPr>
              <w:t>Interest cost on accumulated postretirement benefit obligation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unrecognized gain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Periodic postretirement benefit cost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vMerge w:val="restart"/>
          </w:tcPr>
          <w:p>
            <w:pPr>
              <w:ind w:left="260"/>
              <w:spacing w:after="0"/>
              <w:rPr>
                <w:sz w:val="20"/>
                <w:szCs w:val="20"/>
                <w:color w:val="auto"/>
              </w:rPr>
            </w:pPr>
            <w:r>
              <w:rPr>
                <w:rFonts w:ascii="Arial" w:cs="Arial" w:eastAsia="Arial" w:hAnsi="Arial"/>
                <w:sz w:val="18"/>
                <w:szCs w:val="18"/>
                <w:color w:val="auto"/>
              </w:rPr>
              <w:t>The following assumptions were used in accounting for the plan:</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discount rate used in determining accumulated postretirement benefit obligation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Weighted average discount rate used in determining net periodic benefit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Rate to which cost trend rate is assumed to decline (the ultimate trend 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67"/>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One-Percentage</w:t>
            </w:r>
          </w:p>
        </w:tc>
        <w:tc>
          <w:tcPr>
            <w:tcW w:w="1040" w:type="dxa"/>
            <w:vAlign w:val="bottom"/>
          </w:tcPr>
          <w:p>
            <w:pPr>
              <w:spacing w:after="0"/>
              <w:rPr>
                <w:sz w:val="14"/>
                <w:szCs w:val="1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One-Percentage</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Point Increase</w:t>
            </w:r>
          </w:p>
        </w:tc>
        <w:tc>
          <w:tcPr>
            <w:tcW w:w="10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Point Decrease</w:t>
            </w:r>
          </w:p>
        </w:tc>
        <w:tc>
          <w:tcPr>
            <w:tcW w:w="0" w:type="dxa"/>
            <w:vAlign w:val="bottom"/>
          </w:tcPr>
          <w:p>
            <w:pPr>
              <w:spacing w:after="0"/>
              <w:rPr>
                <w:sz w:val="1"/>
                <w:szCs w:val="1"/>
                <w:color w:val="auto"/>
              </w:rPr>
            </w:pPr>
          </w:p>
        </w:tc>
      </w:tr>
      <w:tr>
        <w:trPr>
          <w:trHeight w:val="141"/>
        </w:trPr>
        <w:tc>
          <w:tcPr>
            <w:tcW w:w="7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Effect on future service and interest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2005</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The mortality tables used in the valuation reports were changed to the RP 2000 tables in order to reflect the most up-to-date tables available. The effect of this change on the valuation was insignificant.</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benefit payments, which reflect expected future service, as appropriate, are expected to be paid during the years ending July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6"/>
              </w:rPr>
              <w:t>Prior to</w:t>
            </w:r>
          </w:p>
        </w:tc>
        <w:tc>
          <w:tcPr>
            <w:tcW w:w="120" w:type="dxa"/>
            <w:vAlign w:val="bottom"/>
          </w:tcPr>
          <w:p>
            <w:pPr>
              <w:spacing w:after="0"/>
              <w:rPr>
                <w:sz w:val="14"/>
                <w:szCs w:val="14"/>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After</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Impact of</w:t>
            </w:r>
          </w:p>
        </w:tc>
      </w:tr>
      <w:tr>
        <w:trPr>
          <w:trHeight w:val="171"/>
        </w:trPr>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8"/>
              </w:rPr>
              <w:t>Medicare Part D</w:t>
            </w:r>
          </w:p>
        </w:tc>
        <w:tc>
          <w:tcPr>
            <w:tcW w:w="120" w:type="dxa"/>
            <w:vAlign w:val="bottom"/>
          </w:tcPr>
          <w:p>
            <w:pPr>
              <w:spacing w:after="0"/>
              <w:rPr>
                <w:sz w:val="14"/>
                <w:szCs w:val="14"/>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Medicare Part 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6"/>
              </w:rPr>
              <w:t>Medicare Part D</w:t>
            </w:r>
          </w:p>
        </w:tc>
      </w:tr>
      <w:tr>
        <w:trPr>
          <w:trHeight w:val="156"/>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2007</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591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(116)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2009</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666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(138)</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(152)</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2011 through 2015</w:t>
            </w: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2"/>
          </w:tcPr>
          <w:p>
            <w:pPr>
              <w:jc w:val="right"/>
              <w:ind w:right="980"/>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color w:val="auto"/>
              </w:rPr>
              <w:t>4,079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color w:val="auto"/>
              </w:rPr>
              <w:t>(950)</w:t>
            </w:r>
          </w:p>
        </w:tc>
      </w:tr>
    </w:tbl>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expects to fund approximately $603,000 in fiscal 2006, which is equivalent to total expected payments in fiscal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 December 2003, the United States enacted into law the Medicare Prescription Drug, Improvement and Modernization Act of 2003 (the “Act”). The Act establishes a prescription drug benefit under Medicare (Medicare Part D) as well as a federal subsidy to sponsors of retiree health care benefit plans that provide a benefit that is at least actuarially equivalent to Medicare Part D.</w:t>
      </w:r>
    </w:p>
    <w:p>
      <w:pPr>
        <w:spacing w:after="0" w:line="73"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In May 2004, the Financial Accounting Standards Board issued FSP 106-2, “Accounting and Disclosure Requirements Related to the Medicare Prescription Drug, Improvement and Modernization Act of 2003”. FSP 106-2 requires companies to account for the effect of the subsidy on benefits attributable to past service as an actuarial experience gain and as a reduction of the service cost component of net postretirement health care costs for amounts attributable to current service, if the benefit provided is at least actuarially equivalent to Medicare Part D.</w:t>
      </w:r>
    </w:p>
    <w:p>
      <w:pPr>
        <w:spacing w:after="0" w:line="63" w:lineRule="exact"/>
        <w:rPr>
          <w:sz w:val="20"/>
          <w:szCs w:val="20"/>
          <w:color w:val="auto"/>
        </w:rPr>
      </w:pPr>
    </w:p>
    <w:p>
      <w:pPr>
        <w:ind w:right="20" w:firstLine="267"/>
        <w:spacing w:after="0" w:line="279" w:lineRule="auto"/>
        <w:rPr>
          <w:sz w:val="20"/>
          <w:szCs w:val="20"/>
          <w:color w:val="auto"/>
        </w:rPr>
      </w:pPr>
      <w:r>
        <w:rPr>
          <w:rFonts w:ascii="Arial" w:cs="Arial" w:eastAsia="Arial" w:hAnsi="Arial"/>
          <w:sz w:val="17"/>
          <w:szCs w:val="17"/>
          <w:color w:val="auto"/>
        </w:rPr>
        <w:t>The Company elected to adopt FSP 106-2 effective with the fiscal year beginning August 1, 2004. The Company determined that benefits provided to certain participants are expected to be at least actuarially equivalent to Medicare Part D, and, accordingly, the Company will be entitled to a subsidy. The expected subsidy reduced the accumulated postretirement benefit obligation at August 1, 2004 by approximately $2,200,000 and net periodic cost for the year ended July 31, 2005 by $463,000 as compared with the amount calculated without considering the effects of the subsidy.</w:t>
      </w:r>
    </w:p>
    <w:p>
      <w:pPr>
        <w:spacing w:after="0" w:line="63" w:lineRule="exact"/>
        <w:rPr>
          <w:sz w:val="20"/>
          <w:szCs w:val="20"/>
          <w:color w:val="auto"/>
        </w:rPr>
      </w:pPr>
    </w:p>
    <w:p>
      <w:pPr>
        <w:ind w:right="780" w:firstLine="260"/>
        <w:spacing w:after="0" w:line="342" w:lineRule="auto"/>
        <w:rPr>
          <w:sz w:val="20"/>
          <w:szCs w:val="20"/>
          <w:color w:val="auto"/>
        </w:rPr>
      </w:pPr>
      <w:r>
        <w:rPr>
          <w:rFonts w:ascii="Arial" w:cs="Arial" w:eastAsia="Arial" w:hAnsi="Arial"/>
          <w:sz w:val="16"/>
          <w:szCs w:val="16"/>
          <w:color w:val="auto"/>
        </w:rPr>
        <w:t>Assumptions used to develop these reductions include those used in the determination of the annual expense under SFAS No. 106, “Employers’ Accounting for Postretirement Benefits other than Pensions,” and also include expectations of how the federal program would ultimately operate.</w:t>
      </w:r>
    </w:p>
    <w:p>
      <w:pPr>
        <w:spacing w:after="0" w:line="16" w:lineRule="exact"/>
        <w:rPr>
          <w:sz w:val="20"/>
          <w:szCs w:val="20"/>
          <w:color w:val="auto"/>
        </w:rPr>
      </w:pPr>
    </w:p>
    <w:p>
      <w:pPr>
        <w:ind w:right="160" w:firstLine="267"/>
        <w:spacing w:after="0" w:line="259"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2005 and 2004, $5,048,000 and $4,701,000, respectively, of accrued profit-sharing contributions were included in other current liabilities in the accompanying consolidated balance sheet.</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also has deferred compensation plans for directors, officers and key executives which are discussed below. At July 31, 2005 and 2004,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$7,999,000 and $5,683,000, respectively, of deferred compensation was included in current and other long-term liabilities on the accompanying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sheet.</w:t>
      </w:r>
    </w:p>
    <w:p>
      <w:pPr>
        <w:spacing w:after="0" w:line="10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372,728 (745,456 subsequent to two-for-one stock split in the form of a 100% stock dividend, effective December 31, 2004)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85"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w:t>
      </w:r>
    </w:p>
    <w:p>
      <w:pPr>
        <w:spacing w:after="0" w:line="80"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amounts charged to expense for the retirement, profit sharing and deferred compensation plans described above were $10,980,000, $9,373,000, and $8,506,000 during the years ended July 31, 2005, 2004 and 2003,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4940" w:type="dxa"/>
            <w:vAlign w:val="bottom"/>
          </w:tcPr>
          <w:p>
            <w:pPr>
              <w:ind w:left="240"/>
              <w:spacing w:after="0"/>
              <w:rPr>
                <w:sz w:val="20"/>
                <w:szCs w:val="20"/>
                <w:color w:val="auto"/>
              </w:rPr>
            </w:pPr>
            <w:r>
              <w:rPr>
                <w:rFonts w:ascii="Arial" w:cs="Arial" w:eastAsia="Arial" w:hAnsi="Arial"/>
                <w:sz w:val="18"/>
                <w:szCs w:val="18"/>
                <w:b w:val="1"/>
                <w:bCs w:val="1"/>
                <w:color w:val="auto"/>
              </w:rPr>
              <w:t>Income Taxes</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Income taxes consist of the following:</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Years Ended July 31,</w:t>
            </w: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jc w:val="center"/>
              <w:ind w:right="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10,002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2,645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1,556</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1,065</w:t>
            </w: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36,124</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12,950</w:t>
            </w:r>
          </w:p>
        </w:tc>
      </w:tr>
      <w:tr>
        <w:trPr>
          <w:trHeight w:val="223"/>
        </w:trPr>
        <w:tc>
          <w:tcPr>
            <w:tcW w:w="5160" w:type="dxa"/>
            <w:vAlign w:val="bottom"/>
            <w:gridSpan w:val="3"/>
          </w:tcPr>
          <w:p>
            <w:pPr>
              <w:spacing w:after="0"/>
              <w:rPr>
                <w:sz w:val="20"/>
                <w:szCs w:val="20"/>
                <w:color w:val="auto"/>
              </w:rPr>
            </w:pPr>
            <w:r>
              <w:rPr>
                <w:rFonts w:ascii="Arial" w:cs="Arial" w:eastAsia="Arial" w:hAnsi="Arial"/>
                <w:sz w:val="18"/>
                <w:szCs w:val="18"/>
                <w:color w:val="auto"/>
              </w:rPr>
              <w:t>Deferred provision (credit):</w:t>
            </w:r>
          </w:p>
        </w:tc>
        <w:tc>
          <w:tcPr>
            <w:tcW w:w="2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3,558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851</w:t>
            </w: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(762)</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5,172</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33,471</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19,456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11,035</w:t>
            </w: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income taxes result from temporary differences in the recognition of revenues and expenses for financial statement and income tax purposes.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Income before income taxes consists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Years Ended July 31,</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3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6"/>
              </w:rPr>
              <w:t>(Dollars in thousands)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36,985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15,911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3,371</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78,433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54,416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29,084</w:t>
            </w:r>
          </w:p>
        </w:tc>
      </w:tr>
      <w:tr>
        <w:trPr>
          <w:trHeight w:val="27"/>
        </w:trPr>
        <w:tc>
          <w:tcPr>
            <w:tcW w:w="31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115,418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70,327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32,455</w:t>
            </w:r>
          </w:p>
        </w:tc>
      </w:tr>
      <w:tr>
        <w:trPr>
          <w:trHeight w:val="21"/>
        </w:trPr>
        <w:tc>
          <w:tcPr>
            <w:tcW w:w="31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3120" w:type="dxa"/>
            <w:vAlign w:val="bottom"/>
          </w:tcPr>
          <w:p>
            <w:pPr>
              <w:spacing w:after="0"/>
              <w:rPr>
                <w:sz w:val="24"/>
                <w:szCs w:val="24"/>
                <w:color w:val="auto"/>
              </w:rPr>
            </w:pPr>
          </w:p>
        </w:tc>
        <w:tc>
          <w:tcPr>
            <w:tcW w:w="4180" w:type="dxa"/>
            <w:vAlign w:val="bottom"/>
            <w:gridSpan w:val="2"/>
          </w:tcPr>
          <w:p>
            <w:pPr>
              <w:jc w:val="right"/>
              <w:ind w:right="1400"/>
              <w:spacing w:after="0"/>
              <w:rPr>
                <w:sz w:val="20"/>
                <w:szCs w:val="20"/>
                <w:color w:val="auto"/>
              </w:rPr>
            </w:pPr>
            <w:r>
              <w:rPr>
                <w:rFonts w:ascii="Arial" w:cs="Arial" w:eastAsia="Arial" w:hAnsi="Arial"/>
                <w:sz w:val="18"/>
                <w:szCs w:val="18"/>
                <w:color w:val="auto"/>
              </w:rPr>
              <w:t>II-32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6"/>
        </w:trPr>
        <w:tc>
          <w:tcPr>
            <w:tcW w:w="312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approximate tax effects of temporary differences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92"/>
              </w:rPr>
              <w:t>July 31, 2005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Assets</w:t>
            </w:r>
          </w:p>
        </w:tc>
        <w:tc>
          <w:tcPr>
            <w:tcW w:w="3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Liabilities</w:t>
            </w:r>
          </w:p>
        </w:tc>
        <w:tc>
          <w:tcPr>
            <w:tcW w:w="82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4"/>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Prepaid catalog costs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760"/>
              <w:spacing w:after="0"/>
              <w:rPr>
                <w:sz w:val="20"/>
                <w:szCs w:val="20"/>
                <w:color w:val="auto"/>
              </w:rPr>
            </w:pPr>
            <w:r>
              <w:rPr>
                <w:rFonts w:ascii="Arial" w:cs="Arial" w:eastAsia="Arial" w:hAnsi="Arial"/>
                <w:sz w:val="18"/>
                <w:szCs w:val="18"/>
                <w:color w:val="auto"/>
              </w:rPr>
              <w:t>(2,130)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(2,130)</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1,675</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3,016</w:t>
            </w:r>
          </w:p>
        </w:tc>
      </w:tr>
      <w:tr>
        <w:trPr>
          <w:trHeight w:val="230"/>
        </w:trPr>
        <w:tc>
          <w:tcPr>
            <w:tcW w:w="20" w:type="dxa"/>
            <w:vAlign w:val="bottom"/>
          </w:tcPr>
          <w:p>
            <w:pPr>
              <w:spacing w:after="0"/>
              <w:rPr>
                <w:sz w:val="20"/>
                <w:szCs w:val="20"/>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7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(16,873)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(16,873)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Intangibles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23,568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23,568</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3,266</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compensation</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11,205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11,205</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7,232</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76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5,038</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(4,877)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(4,877)</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w:t>
            </w:r>
          </w:p>
        </w:tc>
      </w:tr>
      <w:tr>
        <w:trPr>
          <w:trHeight w:val="230"/>
        </w:trPr>
        <w:tc>
          <w:tcPr>
            <w:tcW w:w="20" w:type="dxa"/>
            <w:vAlign w:val="bottom"/>
          </w:tcPr>
          <w:p>
            <w:pPr>
              <w:spacing w:after="0"/>
              <w:rPr>
                <w:sz w:val="20"/>
                <w:szCs w:val="20"/>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Noncurrent</w:t>
            </w:r>
          </w:p>
        </w:tc>
        <w:tc>
          <w:tcPr>
            <w:tcW w:w="276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(17,722)</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27,710</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7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(19,852)</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33,865</w:t>
            </w: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92"/>
              </w:rPr>
              <w:t>July 31, 2004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5"/>
              </w:rPr>
              <w:t>Assets</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Liabilities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4"/>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2,675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2,675</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Prepaid catalog costs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740"/>
              <w:spacing w:after="0"/>
              <w:rPr>
                <w:sz w:val="20"/>
                <w:szCs w:val="20"/>
                <w:color w:val="auto"/>
              </w:rPr>
            </w:pPr>
            <w:r>
              <w:rPr>
                <w:rFonts w:ascii="Arial" w:cs="Arial" w:eastAsia="Arial" w:hAnsi="Arial"/>
                <w:sz w:val="18"/>
                <w:szCs w:val="18"/>
                <w:color w:val="auto"/>
              </w:rPr>
              <w:t>(1,559)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(1,559)</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490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2,469</w:t>
            </w:r>
          </w:p>
        </w:tc>
      </w:tr>
      <w:tr>
        <w:trPr>
          <w:trHeight w:val="230"/>
        </w:trPr>
        <w:tc>
          <w:tcPr>
            <w:tcW w:w="20" w:type="dxa"/>
            <w:vAlign w:val="bottom"/>
          </w:tcPr>
          <w:p>
            <w:pPr>
              <w:spacing w:after="0"/>
              <w:rPr>
                <w:sz w:val="20"/>
                <w:szCs w:val="20"/>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7,668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(1,559)</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(11,717)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(11,717)</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Intangibles</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26,433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26,433</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R&amp;D expenditures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compensation</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7,214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7,214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6,233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6,233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740"/>
              <w:spacing w:after="0"/>
              <w:rPr>
                <w:sz w:val="20"/>
                <w:szCs w:val="20"/>
                <w:color w:val="auto"/>
              </w:rPr>
            </w:pPr>
            <w:r>
              <w:rPr>
                <w:rFonts w:ascii="Arial" w:cs="Arial" w:eastAsia="Arial" w:hAnsi="Arial"/>
                <w:sz w:val="18"/>
                <w:szCs w:val="18"/>
                <w:color w:val="auto"/>
              </w:rPr>
              <w:t>(4,432)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(4,432)</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5,534</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(5,534)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(5,534)</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1,373</w:t>
            </w:r>
          </w:p>
        </w:tc>
      </w:tr>
      <w:tr>
        <w:trPr>
          <w:trHeight w:val="230"/>
        </w:trPr>
        <w:tc>
          <w:tcPr>
            <w:tcW w:w="20" w:type="dxa"/>
            <w:vAlign w:val="bottom"/>
          </w:tcPr>
          <w:p>
            <w:pPr>
              <w:spacing w:after="0"/>
              <w:rPr>
                <w:sz w:val="20"/>
                <w:szCs w:val="20"/>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Noncurrent</w:t>
            </w: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44,986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(16,149)</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28,837</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52,654</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(17,708)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34,946</w:t>
            </w:r>
          </w:p>
        </w:tc>
      </w:tr>
      <w:tr>
        <w:trPr>
          <w:trHeight w:val="21"/>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20" w:type="dxa"/>
            <w:vAlign w:val="bottom"/>
            <w:gridSpan w:val="3"/>
          </w:tcPr>
          <w:p>
            <w:pPr>
              <w:jc w:val="right"/>
              <w:ind w:right="980"/>
              <w:spacing w:after="0"/>
              <w:rPr>
                <w:sz w:val="20"/>
                <w:szCs w:val="20"/>
                <w:color w:val="auto"/>
              </w:rPr>
            </w:pPr>
            <w:r>
              <w:rPr>
                <w:rFonts w:ascii="Arial" w:cs="Arial" w:eastAsia="Arial" w:hAnsi="Arial"/>
                <w:sz w:val="18"/>
                <w:szCs w:val="18"/>
                <w:color w:val="auto"/>
              </w:rPr>
              <w:t>II-33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valuation allowance decreased $657,000 and $740,000 during the fiscal years ended July 31, 2005 and 2004, respectively and increased $1,627,000 during the fiscal year ended July 31, 2003.</w:t>
      </w:r>
    </w:p>
    <w:p>
      <w:pPr>
        <w:spacing w:after="0" w:line="62" w:lineRule="exact"/>
        <w:rPr>
          <w:sz w:val="20"/>
          <w:szCs w:val="20"/>
          <w:color w:val="auto"/>
        </w:rPr>
      </w:pPr>
    </w:p>
    <w:p>
      <w:pPr>
        <w:jc w:val="both"/>
        <w:ind w:right="380" w:firstLine="267"/>
        <w:spacing w:after="0" w:line="264" w:lineRule="auto"/>
        <w:rPr>
          <w:sz w:val="20"/>
          <w:szCs w:val="20"/>
          <w:color w:val="auto"/>
        </w:rPr>
      </w:pPr>
      <w:r>
        <w:rPr>
          <w:rFonts w:ascii="Arial" w:cs="Arial" w:eastAsia="Arial" w:hAnsi="Arial"/>
          <w:sz w:val="18"/>
          <w:szCs w:val="18"/>
          <w:color w:val="auto"/>
        </w:rPr>
        <w:t>Tax loss carryforwards are comprised of foreign net operating losses of approximately $10,000,000 of which $9,500,000 never expire. The remaining balance relates to state net operating losses of $31,250,000 and state credits of $1,400,000. The Company expects to utilize all credits, however state net operating losses will begin to expire in the fiscal year ending July 31, 2006.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effective tax rate differed from the statutory federal income tax rate of 35% as described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5"/>
              </w:rPr>
              <w:t>Years Ended July 31,</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7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4"/>
                <w:szCs w:val="14"/>
                <w:color w:val="auto"/>
              </w:rPr>
            </w:pPr>
          </w:p>
        </w:tc>
        <w:tc>
          <w:tcPr>
            <w:tcW w:w="640" w:type="dxa"/>
            <w:vAlign w:val="bottom"/>
            <w:tcBorders>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losses with no related tax benefits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International rate differential</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Resolution of prior period tax matters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400" w:type="dxa"/>
            <w:vAlign w:val="bottom"/>
            <w:vMerge w:val="continue"/>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27.7%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17" w:lineRule="exact"/>
        <w:rPr>
          <w:sz w:val="20"/>
          <w:szCs w:val="20"/>
          <w:color w:val="auto"/>
        </w:rPr>
      </w:pPr>
    </w:p>
    <w:p>
      <w:pPr>
        <w:ind w:right="260" w:firstLine="267"/>
        <w:spacing w:after="0" w:line="259" w:lineRule="auto"/>
        <w:rPr>
          <w:sz w:val="20"/>
          <w:szCs w:val="20"/>
          <w:color w:val="auto"/>
        </w:rPr>
      </w:pPr>
      <w:r>
        <w:rPr>
          <w:rFonts w:ascii="Arial" w:cs="Arial" w:eastAsia="Arial" w:hAnsi="Arial"/>
          <w:sz w:val="18"/>
          <w:szCs w:val="18"/>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 The cumulative undistributed earnings of such subsidiaries at July 31, 2005 amounted to approximately $183,650,000.</w:t>
      </w:r>
    </w:p>
    <w:p>
      <w:pPr>
        <w:spacing w:after="0" w:line="18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Obligations</w:t>
      </w:r>
    </w:p>
    <w:p>
      <w:pPr>
        <w:spacing w:after="0" w:line="121" w:lineRule="exact"/>
        <w:rPr>
          <w:sz w:val="20"/>
          <w:szCs w:val="20"/>
          <w:color w:val="auto"/>
        </w:rPr>
      </w:pPr>
    </w:p>
    <w:p>
      <w:pPr>
        <w:ind w:right="80" w:firstLine="270"/>
        <w:spacing w:after="0" w:line="270" w:lineRule="auto"/>
        <w:rPr>
          <w:sz w:val="20"/>
          <w:szCs w:val="20"/>
          <w:color w:val="auto"/>
        </w:rPr>
      </w:pPr>
      <w:r>
        <w:rPr>
          <w:rFonts w:ascii="Arial" w:cs="Arial" w:eastAsia="Arial" w:hAnsi="Arial"/>
          <w:sz w:val="17"/>
          <w:szCs w:val="17"/>
          <w:color w:val="auto"/>
        </w:rPr>
        <w:t>On March 31, 2004, the Company entered into an unsecured $215,000,000 multicurrency revolving loan agreement with a group of five banks. The $215,000,000 was divided between a 5-year credit facility for $125,000,000 and a 364-day credit facility for $90,000,000. On July 6, 2004, the Company permanently reduced the borrowings on the 364-day facility to $0 and closed the facility. Under the 5-year agreement, which has a final maturity date of March 31, 2009, the Company has the option to have interest rates determined based upon the prime rate at Bank of America plus margin or a LIBOR rate plus margin. A commitment fee is payable on the unused amount of credit. The agreement requires the Company to maintain certain financial covenants. The Company is in compliance with the covenants of the agreement. The agreement restricts the amount of certain types of payments, including dividends, which can be made annually to $25 million plus 50% of the consolidated net income for the prior year, totaling approximately $50 million in 2005. The Company believes that based on its historic dividend practice, this restriction will not impede it from following a similar dividend practice in the future. As of July 31, 2005, there were no outstanding borrowings on the 5-year revolving loan agreement.</w:t>
      </w:r>
    </w:p>
    <w:p>
      <w:pPr>
        <w:spacing w:after="0" w:line="74" w:lineRule="exact"/>
        <w:rPr>
          <w:sz w:val="20"/>
          <w:szCs w:val="20"/>
          <w:color w:val="auto"/>
        </w:rPr>
      </w:pPr>
    </w:p>
    <w:p>
      <w:pPr>
        <w:jc w:val="both"/>
        <w:ind w:right="200" w:firstLine="270"/>
        <w:spacing w:after="0" w:line="264" w:lineRule="auto"/>
        <w:rPr>
          <w:sz w:val="20"/>
          <w:szCs w:val="20"/>
          <w:color w:val="auto"/>
        </w:rPr>
      </w:pPr>
      <w:r>
        <w:rPr>
          <w:rFonts w:ascii="Arial" w:cs="Arial" w:eastAsia="Arial" w:hAnsi="Arial"/>
          <w:sz w:val="18"/>
          <w:szCs w:val="18"/>
          <w:color w:val="auto"/>
        </w:rPr>
        <w:t>On June 30, 2004, the Company finalized a debt offering of $150,000,000 of 5.14% fixed rate unsecured senior notes due in 2014 in an offering exempt from the registration requirements of the Securities Act of 1933. The debt offering was in conjunction with the Company’s acquisition of EMED. The notes will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repaid over 7 years beginning in 2008 with interest payable on the notes semiannually on June 28 and December 28 beginning in December 2004. Interest payments were made on December 28, 2004 and June 28, 2005. The Company used the proceeds of the offering to reduce outstanding indebtedness under the Company’s revolving credit facilities. The debt has certain prepayment penalties for repaying the debt prior to its maturity date. The agreement also requires the Company to maintain a financial covenant. As of July 31, 2005, the Company was in compliance with this covenant.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obligations consist of the following as of July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4"/>
          </w:tcPr>
          <w:p>
            <w:pPr>
              <w:jc w:val="right"/>
              <w:ind w:right="130"/>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Various Bank loans</w:t>
            </w: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Fixed Debt</w:t>
            </w:r>
          </w:p>
        </w:tc>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150,051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Less Current maturities</w:t>
            </w:r>
          </w:p>
        </w:tc>
        <w:tc>
          <w:tcPr>
            <w:tcW w:w="3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320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150,026</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150,019</w:t>
            </w: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40" w:firstLine="267"/>
        <w:spacing w:after="0" w:line="277" w:lineRule="auto"/>
        <w:rPr>
          <w:sz w:val="20"/>
          <w:szCs w:val="20"/>
          <w:color w:val="auto"/>
        </w:rPr>
      </w:pPr>
      <w:r>
        <w:rPr>
          <w:rFonts w:ascii="Arial" w:cs="Arial" w:eastAsia="Arial" w:hAnsi="Arial"/>
          <w:sz w:val="18"/>
          <w:szCs w:val="18"/>
          <w:color w:val="auto"/>
        </w:rPr>
        <w:t>The fair value of the Company’s long-term obligations approximates $150,674,000. The fair value of the Company’s long-term obligations is estimated based on quoted market prices for the same or similar issue and on the current rates offered for debt of the same maturities.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Maturities on long-term debt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gridSpan w:val="2"/>
          </w:tcPr>
          <w:p>
            <w:pPr>
              <w:spacing w:after="0"/>
              <w:rPr>
                <w:sz w:val="20"/>
                <w:szCs w:val="20"/>
                <w:color w:val="auto"/>
              </w:rPr>
            </w:pPr>
            <w:r>
              <w:rPr>
                <w:rFonts w:ascii="Arial" w:cs="Arial" w:eastAsia="Arial" w:hAnsi="Arial"/>
                <w:sz w:val="14"/>
                <w:szCs w:val="14"/>
                <w:b w:val="1"/>
                <w:bCs w:val="1"/>
                <w:color w:val="auto"/>
              </w:rPr>
              <w:t>Years Ending July 31,</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right"/>
              <w:ind w:right="980"/>
              <w:spacing w:after="0"/>
              <w:rPr>
                <w:sz w:val="20"/>
                <w:szCs w:val="20"/>
                <w:color w:val="auto"/>
              </w:rPr>
            </w:pPr>
            <w:r>
              <w:rPr>
                <w:rFonts w:ascii="Arial" w:cs="Arial" w:eastAsia="Arial" w:hAnsi="Arial"/>
                <w:sz w:val="18"/>
                <w:szCs w:val="18"/>
                <w:color w:val="auto"/>
              </w:rPr>
              <w:t>21,432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150,030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had outstanding letters of credit of $2,114,000 and $2,072,000 at July 31, 2005 and 2004,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Investment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Information as to the Company’s capital stock at July 31, 2005 and 2004 is as follows(1):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July 31, 2005</w:t>
            </w: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July 31, 2004</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2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2"/>
              </w:rPr>
              <w:t>Shares</w:t>
            </w:r>
          </w:p>
        </w:tc>
        <w:tc>
          <w:tcPr>
            <w:tcW w:w="220" w:type="dxa"/>
            <w:vAlign w:val="bottom"/>
          </w:tcPr>
          <w:p>
            <w:pPr>
              <w:spacing w:after="0"/>
              <w:rPr>
                <w:sz w:val="10"/>
                <w:szCs w:val="10"/>
                <w:color w:val="auto"/>
              </w:rPr>
            </w:pPr>
          </w:p>
        </w:tc>
        <w:tc>
          <w:tcPr>
            <w:tcW w:w="1460" w:type="dxa"/>
            <w:vAlign w:val="bottom"/>
            <w:gridSpan w:val="2"/>
          </w:tcPr>
          <w:p>
            <w:pPr>
              <w:ind w:left="340"/>
              <w:spacing w:after="0" w:line="124"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60" w:type="dxa"/>
            <w:vAlign w:val="bottom"/>
            <w:gridSpan w:val="2"/>
          </w:tcPr>
          <w:p>
            <w:pPr>
              <w:jc w:val="right"/>
              <w:ind w:right="600"/>
              <w:spacing w:after="0" w:line="124"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0"/>
                <w:szCs w:val="10"/>
                <w:color w:val="auto"/>
              </w:rPr>
            </w:pPr>
          </w:p>
        </w:tc>
        <w:tc>
          <w:tcPr>
            <w:tcW w:w="1280" w:type="dxa"/>
            <w:vAlign w:val="bottom"/>
            <w:gridSpan w:val="2"/>
          </w:tcPr>
          <w:p>
            <w:pPr>
              <w:jc w:val="right"/>
              <w:ind w:right="580"/>
              <w:spacing w:after="0" w:line="124"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Authorized</w:t>
            </w:r>
          </w:p>
        </w:tc>
        <w:tc>
          <w:tcPr>
            <w:tcW w:w="220" w:type="dxa"/>
            <w:vAlign w:val="bottom"/>
          </w:tcPr>
          <w:p>
            <w:pPr>
              <w:spacing w:after="0"/>
              <w:rPr>
                <w:sz w:val="13"/>
                <w:szCs w:val="13"/>
                <w:color w:val="auto"/>
              </w:rPr>
            </w:pPr>
          </w:p>
        </w:tc>
        <w:tc>
          <w:tcPr>
            <w:tcW w:w="1460" w:type="dxa"/>
            <w:vAlign w:val="bottom"/>
            <w:gridSpan w:val="2"/>
          </w:tcPr>
          <w:p>
            <w:pPr>
              <w:ind w:left="34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3"/>
                <w:szCs w:val="13"/>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9"/>
              </w:rPr>
              <w:t>Amount</w:t>
            </w:r>
          </w:p>
        </w:tc>
        <w:tc>
          <w:tcPr>
            <w:tcW w:w="13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Authorized</w:t>
            </w:r>
          </w:p>
        </w:tc>
        <w:tc>
          <w:tcPr>
            <w:tcW w:w="24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Issued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Amount</w:t>
            </w: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8"/>
              </w:rPr>
              <w:t>(Dollars in</w:t>
            </w:r>
          </w:p>
        </w:tc>
        <w:tc>
          <w:tcPr>
            <w:tcW w:w="46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91"/>
              </w:rPr>
              <w:t>(Dollars in</w:t>
            </w:r>
          </w:p>
        </w:tc>
        <w:tc>
          <w:tcPr>
            <w:tcW w:w="300" w:type="dxa"/>
            <w:vAlign w:val="bottom"/>
          </w:tcPr>
          <w:p>
            <w:pPr>
              <w:spacing w:after="0"/>
              <w:rPr>
                <w:sz w:val="10"/>
                <w:szCs w:val="10"/>
                <w:color w:val="auto"/>
              </w:rPr>
            </w:pPr>
          </w:p>
        </w:tc>
      </w:tr>
      <w:tr>
        <w:trPr>
          <w:trHeight w:val="160"/>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5"/>
              </w:rPr>
              <w:t>thousands)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2"/>
              </w:rPr>
              <w:t>thousands)</w:t>
            </w: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$.01 par value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Cumulative Preferred Stock:</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 Cumulative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1972 Series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1979 Series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Common Stock, $.01 par value:</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A Nonvoting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45,792,199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100,000,000</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44,690,798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3060" w:type="dxa"/>
            <w:vAlign w:val="bottom"/>
            <w:gridSpan w:val="2"/>
          </w:tcPr>
          <w:p>
            <w:pPr>
              <w:ind w:left="200"/>
              <w:spacing w:after="0"/>
              <w:rPr>
                <w:sz w:val="20"/>
                <w:szCs w:val="20"/>
                <w:color w:val="auto"/>
              </w:rPr>
            </w:pPr>
            <w:r>
              <w:rPr>
                <w:rFonts w:ascii="Arial" w:cs="Arial" w:eastAsia="Arial" w:hAnsi="Arial"/>
                <w:sz w:val="18"/>
                <w:szCs w:val="18"/>
                <w:color w:val="auto"/>
              </w:rPr>
              <w:t>Class B Voting</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3,538,628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493</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r>
    </w:tbl>
    <w:p>
      <w:pPr>
        <w:spacing w:after="0" w:line="6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for two-for-one stock split in the form of a 100% stock dividend, effective December 31, 2004.</w:t>
      </w:r>
    </w:p>
    <w:p>
      <w:pPr>
        <w:spacing w:after="0" w:line="117"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On August 1, 2002, all Cumulative Preferred Stock was redeemed at a 6% premium for approximately $3,026,000. Each share of $100 par value Cumulative Preferred Stock was entitled to receive cumulative cash dividends and could be redeemed, under certain circumstances, by the Company at par value plus accrued dividends plus a premium of 6% of the par value. Such shares, which were held by the initial holder thereof, were subject to redemption only if the holder consented thereto.</w:t>
      </w:r>
    </w:p>
    <w:p>
      <w:pPr>
        <w:spacing w:after="0" w:line="79"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73"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auto"/>
        </w:rPr>
        <w:t>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79"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46" w:lineRule="exact"/>
        <w:rPr>
          <w:sz w:val="20"/>
          <w:szCs w:val="20"/>
          <w:color w:val="auto"/>
        </w:rPr>
      </w:pPr>
    </w:p>
    <w:p>
      <w:pPr>
        <w:ind w:right="380" w:firstLine="267"/>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is a summary of other activity in stockholders’ investment for the years ended July 31, 2003, 2004 and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Unearned</w:t>
            </w:r>
          </w:p>
        </w:tc>
        <w:tc>
          <w:tcPr>
            <w:tcW w:w="160" w:type="dxa"/>
            <w:vAlign w:val="bottom"/>
          </w:tcPr>
          <w:p>
            <w:pPr>
              <w:spacing w:after="0"/>
              <w:rPr>
                <w:sz w:val="14"/>
                <w:szCs w:val="14"/>
                <w:color w:val="auto"/>
              </w:rPr>
            </w:pPr>
          </w:p>
        </w:tc>
        <w:tc>
          <w:tcPr>
            <w:tcW w:w="1580" w:type="dxa"/>
            <w:vAlign w:val="bottom"/>
            <w:gridSpan w:val="3"/>
            <w:vMerge w:val="restart"/>
          </w:tcPr>
          <w:p>
            <w:pPr>
              <w:jc w:val="right"/>
              <w:ind w:right="800"/>
              <w:spacing w:after="0"/>
              <w:rPr>
                <w:sz w:val="20"/>
                <w:szCs w:val="20"/>
                <w:color w:val="auto"/>
              </w:rPr>
            </w:pPr>
            <w:r>
              <w:rPr>
                <w:rFonts w:ascii="Arial" w:cs="Arial" w:eastAsia="Arial" w:hAnsi="Arial"/>
                <w:sz w:val="14"/>
                <w:szCs w:val="14"/>
                <w:b w:val="1"/>
                <w:bCs w:val="1"/>
                <w:color w:val="auto"/>
              </w:rPr>
              <w:t>Deferred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Shares Held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 Rabbi</w:t>
            </w:r>
          </w:p>
        </w:tc>
        <w:tc>
          <w:tcPr>
            <w:tcW w:w="18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2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Compensation</w:t>
            </w:r>
          </w:p>
        </w:tc>
        <w:tc>
          <w:tcPr>
            <w:tcW w:w="40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Trust, at cost</w:t>
            </w: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140" w:type="dxa"/>
            <w:vAlign w:val="bottom"/>
            <w:gridSpan w:val="7"/>
          </w:tcPr>
          <w:p>
            <w:pPr>
              <w:jc w:val="right"/>
              <w:ind w:right="18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Balances July 31, 2002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14,332</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(14,332)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Sale of shares at cost</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Balances July 31, 2003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(14,725)</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Adjusted for two-for-one stock split in the form of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w w:val="98"/>
              </w:rPr>
              <w:t>100% stock dividend, effective December 31, 2004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969,058</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969,058</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Balances July 31, 2004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(15,194)</w:t>
            </w:r>
          </w:p>
        </w:tc>
        <w:tc>
          <w:tcPr>
            <w:tcW w:w="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rPr>
              <w:t>Adjusted for two-for-one stock split in the form of a</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w w:val="98"/>
              </w:rPr>
              <w:t>100% stock dividend, effective December 31, 2004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988,534</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988,534</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516</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(437)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14,775</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(15,825)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Shares at July 31, 2005</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950,222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997,034</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Prior to 2002, all Brady Corporation deferred compensation was invested in Brady stock. In 2002, the Company adopted a new deferred compensation plan which allowed investing in other investment funds in addition to Brady stock. The deferred compensation balance in stockholders’ investment represents the investment at cost of shares held in Brady stock for the deferred compensation plan prior to 2002. The balance of shares held in the Rabbi Trust represents the investment in Brady stock at cost of all Brady stock held in deferred compensation plans.</w:t>
      </w:r>
    </w:p>
    <w:p>
      <w:pPr>
        <w:spacing w:after="0" w:line="9" w:lineRule="exact"/>
        <w:rPr>
          <w:sz w:val="20"/>
          <w:szCs w:val="20"/>
          <w:color w:val="auto"/>
        </w:rPr>
      </w:pPr>
    </w:p>
    <w:p>
      <w:pPr>
        <w:jc w:val="both"/>
        <w:ind w:right="220" w:firstLine="267"/>
        <w:spacing w:after="0" w:line="286" w:lineRule="auto"/>
        <w:rPr>
          <w:sz w:val="20"/>
          <w:szCs w:val="20"/>
          <w:color w:val="auto"/>
        </w:rPr>
      </w:pPr>
      <w:r>
        <w:rPr>
          <w:rFonts w:ascii="Arial" w:cs="Arial" w:eastAsia="Arial" w:hAnsi="Arial"/>
          <w:sz w:val="17"/>
          <w:szCs w:val="17"/>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Brady stock at the market price. As part of the Plan, Brady pays all brokerage fees for stock purchases and dividend reinvestments.</w:t>
      </w:r>
    </w:p>
    <w:p>
      <w:pPr>
        <w:spacing w:after="0" w:line="3" w:lineRule="exact"/>
        <w:rPr>
          <w:sz w:val="20"/>
          <w:szCs w:val="20"/>
          <w:color w:val="auto"/>
        </w:rPr>
      </w:pPr>
    </w:p>
    <w:p>
      <w:pPr>
        <w:jc w:val="both"/>
        <w:ind w:right="40" w:firstLine="267"/>
        <w:spacing w:after="0" w:line="264" w:lineRule="auto"/>
        <w:rPr>
          <w:sz w:val="20"/>
          <w:szCs w:val="20"/>
          <w:color w:val="auto"/>
        </w:rPr>
      </w:pPr>
      <w:r>
        <w:rPr>
          <w:rFonts w:ascii="Arial" w:cs="Arial" w:eastAsia="Arial" w:hAnsi="Arial"/>
          <w:sz w:val="18"/>
          <w:szCs w:val="18"/>
          <w:color w:val="auto"/>
        </w:rPr>
        <w:t>The Company’s Nonqualified Stock Option Plans allow the granting of stock options to various officers, directors and other employees of the Company at prices equal to fair market value at the date of grant. The Company has reserved 3,000,000, 4,250,000, 1,000,000, 1,500,000, and 1,500,000 shares of Class A Nonvoting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Common Stock for issuance under the 1989, 1997, 2001, 2003, and 2004 Plans, respectively, adjusted for a two-for-one stock split in the form of a 100% stock dividend, effective December 31, 2004. Generally, options will not be exercisable until one year after the date of grant, and will be exercisable thereafter, to the extent of one-third per year and have a maximum term of ten years.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Changes in the options are as follows(1):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20" w:type="dxa"/>
            <w:vAlign w:val="bottom"/>
            <w:gridSpan w:val="2"/>
            <w:vMerge w:val="restart"/>
          </w:tcPr>
          <w:p>
            <w:pPr>
              <w:jc w:val="right"/>
              <w:ind w:right="11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Option Price</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2002</w:t>
            </w:r>
          </w:p>
        </w:tc>
        <w:tc>
          <w:tcPr>
            <w:tcW w:w="268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$ 6.08 - $17.00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4,317,964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13.31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w w:val="93"/>
              </w:rPr>
              <w:t>16.39</w:t>
            </w: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15.64</w:t>
            </w: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816,600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3"/>
              </w:rPr>
              <w:t>16.44</w:t>
            </w: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(390,748)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40"/>
              <w:spacing w:after="0"/>
              <w:rPr>
                <w:sz w:val="20"/>
                <w:szCs w:val="20"/>
                <w:color w:val="auto"/>
              </w:rPr>
            </w:pPr>
            <w:r>
              <w:rPr>
                <w:rFonts w:ascii="Arial" w:cs="Arial" w:eastAsia="Arial" w:hAnsi="Arial"/>
                <w:sz w:val="18"/>
                <w:szCs w:val="18"/>
                <w:color w:val="auto"/>
                <w:w w:val="93"/>
              </w:rPr>
              <w:t>17.00</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(48,934)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2003</w:t>
            </w:r>
          </w:p>
        </w:tc>
        <w:tc>
          <w:tcPr>
            <w:tcW w:w="268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$6.08 - $17.00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4,694,882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17.02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w w:val="93"/>
              </w:rPr>
              <w:t>20.15</w:t>
            </w: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17.29</w:t>
            </w: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942,000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3"/>
              </w:rPr>
              <w:t>16.44</w:t>
            </w: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(1,607,058)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40"/>
              <w:spacing w:after="0"/>
              <w:rPr>
                <w:sz w:val="20"/>
                <w:szCs w:val="20"/>
                <w:color w:val="auto"/>
              </w:rPr>
            </w:pPr>
            <w:r>
              <w:rPr>
                <w:rFonts w:ascii="Arial" w:cs="Arial" w:eastAsia="Arial" w:hAnsi="Arial"/>
                <w:sz w:val="18"/>
                <w:szCs w:val="18"/>
                <w:color w:val="auto"/>
                <w:w w:val="93"/>
              </w:rPr>
              <w:t>17.33</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(157,340)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2004</w:t>
            </w:r>
          </w:p>
        </w:tc>
        <w:tc>
          <w:tcPr>
            <w:tcW w:w="268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$ 6.08 - $20.15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3,872,484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Options granted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22.63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w w:val="93"/>
              </w:rPr>
              <w:t>31.54</w:t>
            </w: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27.27</w:t>
            </w: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888,000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3"/>
              </w:rPr>
              <w:t>17.33</w:t>
            </w: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(1,117,431)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Options Cancelled</w:t>
            </w: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40"/>
              <w:spacing w:after="0"/>
              <w:rPr>
                <w:sz w:val="20"/>
                <w:szCs w:val="20"/>
                <w:color w:val="auto"/>
              </w:rPr>
            </w:pPr>
            <w:r>
              <w:rPr>
                <w:rFonts w:ascii="Arial" w:cs="Arial" w:eastAsia="Arial" w:hAnsi="Arial"/>
                <w:sz w:val="18"/>
                <w:szCs w:val="18"/>
                <w:color w:val="auto"/>
                <w:w w:val="93"/>
              </w:rPr>
              <w:t>17.33</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(113,722)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2005</w:t>
            </w:r>
          </w:p>
        </w:tc>
        <w:tc>
          <w:tcPr>
            <w:tcW w:w="2680" w:type="dxa"/>
            <w:vAlign w:val="bottom"/>
            <w:gridSpan w:val="4"/>
            <w:shd w:val="clear" w:color="auto" w:fill="CCEEFF"/>
          </w:tcPr>
          <w:p>
            <w:pPr>
              <w:jc w:val="right"/>
              <w:ind w:right="940"/>
              <w:spacing w:after="0"/>
              <w:rPr>
                <w:sz w:val="20"/>
                <w:szCs w:val="20"/>
                <w:color w:val="auto"/>
              </w:rPr>
            </w:pPr>
            <w:r>
              <w:rPr>
                <w:rFonts w:ascii="Arial" w:cs="Arial" w:eastAsia="Arial" w:hAnsi="Arial"/>
                <w:sz w:val="18"/>
                <w:szCs w:val="18"/>
                <w:color w:val="auto"/>
              </w:rPr>
              <w:t>$ 9.59 - $31.54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3,529,331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Available for grant after July 31, 2005</w:t>
            </w: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55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1,307,334</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117" w:lineRule="exact"/>
        <w:rPr>
          <w:sz w:val="20"/>
          <w:szCs w:val="20"/>
          <w:color w:val="auto"/>
        </w:rPr>
      </w:pPr>
    </w:p>
    <w:p>
      <w:pPr>
        <w:ind w:right="420" w:firstLine="267"/>
        <w:spacing w:after="0" w:line="277" w:lineRule="auto"/>
        <w:rPr>
          <w:sz w:val="20"/>
          <w:szCs w:val="20"/>
          <w:color w:val="auto"/>
        </w:rPr>
      </w:pPr>
      <w:r>
        <w:rPr>
          <w:rFonts w:ascii="Arial" w:cs="Arial" w:eastAsia="Arial" w:hAnsi="Arial"/>
          <w:sz w:val="18"/>
          <w:szCs w:val="18"/>
          <w:color w:val="auto"/>
        </w:rPr>
        <w:t>There were 1,772,930, 2,142,578 and 3,010,184 options exercisable with a weighted average exercise price of $14.84, $13.94, and $12.79 at July 31, 2005, 2004 and 2003, respectively.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information about stock options outstanding at July 31,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3"/>
            <w:vMerge w:val="restart"/>
          </w:tcPr>
          <w:p>
            <w:pPr>
              <w:jc w:val="right"/>
              <w:ind w:right="1060"/>
              <w:spacing w:after="0"/>
              <w:rPr>
                <w:sz w:val="20"/>
                <w:szCs w:val="20"/>
                <w:color w:val="auto"/>
              </w:rPr>
            </w:pPr>
            <w:r>
              <w:rPr>
                <w:rFonts w:ascii="Arial" w:cs="Arial" w:eastAsia="Arial" w:hAnsi="Arial"/>
                <w:sz w:val="14"/>
                <w:szCs w:val="14"/>
                <w:b w:val="1"/>
                <w:bCs w:val="1"/>
                <w:color w:val="auto"/>
              </w:rPr>
              <w:t>Options Outstanding</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Options Outstanding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60" w:type="dxa"/>
            <w:vAlign w:val="bottom"/>
            <w:tcBorders>
              <w:bottom w:val="single" w:sz="8" w:color="auto"/>
            </w:tcBorders>
            <w:gridSpan w:val="2"/>
          </w:tcPr>
          <w:p>
            <w:pPr>
              <w:jc w:val="center"/>
              <w:ind w:left="761"/>
              <w:spacing w:after="0"/>
              <w:rPr>
                <w:sz w:val="20"/>
                <w:szCs w:val="20"/>
                <w:color w:val="auto"/>
              </w:rPr>
            </w:pPr>
            <w:r>
              <w:rPr>
                <w:rFonts w:ascii="Arial" w:cs="Arial" w:eastAsia="Arial" w:hAnsi="Arial"/>
                <w:sz w:val="14"/>
                <w:szCs w:val="14"/>
                <w:b w:val="1"/>
                <w:bCs w:val="1"/>
                <w:color w:val="auto"/>
                <w:w w:val="89"/>
              </w:rPr>
              <w:t>Exercisable</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860" w:type="dxa"/>
            <w:vAlign w:val="bottom"/>
          </w:tcPr>
          <w:p>
            <w:pPr>
              <w:spacing w:after="0"/>
              <w:rPr>
                <w:sz w:val="11"/>
                <w:szCs w:val="11"/>
                <w:color w:val="auto"/>
              </w:rPr>
            </w:pPr>
          </w:p>
        </w:tc>
        <w:tc>
          <w:tcPr>
            <w:tcW w:w="1880" w:type="dxa"/>
            <w:vAlign w:val="bottom"/>
            <w:gridSpan w:val="2"/>
          </w:tcPr>
          <w:p>
            <w:pPr>
              <w:jc w:val="center"/>
              <w:ind w:right="76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1"/>
                <w:szCs w:val="11"/>
                <w:color w:val="auto"/>
              </w:rPr>
            </w:pPr>
          </w:p>
        </w:tc>
        <w:tc>
          <w:tcPr>
            <w:tcW w:w="1860" w:type="dxa"/>
            <w:vAlign w:val="bottom"/>
            <w:gridSpan w:val="2"/>
          </w:tcPr>
          <w:p>
            <w:pPr>
              <w:jc w:val="center"/>
              <w:ind w:right="720"/>
              <w:spacing w:after="0" w:line="133"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50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800" w:type="dxa"/>
            <w:vAlign w:val="bottom"/>
            <w:gridSpan w:val="3"/>
            <w:vMerge w:val="continue"/>
          </w:tcPr>
          <w:p>
            <w:pPr>
              <w:spacing w:after="0"/>
              <w:rPr>
                <w:sz w:val="12"/>
                <w:szCs w:val="12"/>
                <w:color w:val="auto"/>
              </w:rPr>
            </w:pPr>
          </w:p>
        </w:tc>
        <w:tc>
          <w:tcPr>
            <w:tcW w:w="15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86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at July 31,</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Exercise Prices</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2005</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7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2005</w:t>
            </w:r>
          </w:p>
        </w:tc>
        <w:tc>
          <w:tcPr>
            <w:tcW w:w="7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$15.49</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1,083,234</w:t>
            </w:r>
          </w:p>
        </w:tc>
        <w:tc>
          <w:tcPr>
            <w:tcW w:w="27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4.6</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13.38</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936,567</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$15.50 - $19.99</w:t>
            </w:r>
          </w:p>
        </w:tc>
        <w:tc>
          <w:tcPr>
            <w:tcW w:w="2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1,522,097</w:t>
            </w:r>
          </w:p>
        </w:tc>
        <w:tc>
          <w:tcPr>
            <w:tcW w:w="2740" w:type="dxa"/>
            <w:vAlign w:val="bottom"/>
            <w:gridSpan w:val="3"/>
          </w:tcPr>
          <w:p>
            <w:pPr>
              <w:jc w:val="right"/>
              <w:ind w:right="780"/>
              <w:spacing w:after="0"/>
              <w:rPr>
                <w:sz w:val="20"/>
                <w:szCs w:val="20"/>
                <w:color w:val="auto"/>
              </w:rPr>
            </w:pPr>
            <w:r>
              <w:rPr>
                <w:rFonts w:ascii="Arial" w:cs="Arial" w:eastAsia="Arial" w:hAnsi="Arial"/>
                <w:sz w:val="18"/>
                <w:szCs w:val="18"/>
                <w:color w:val="auto"/>
              </w:rPr>
              <w:t>6.2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16.78</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rPr>
              <w:t>824,363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and up</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924,000</w:t>
            </w:r>
          </w:p>
        </w:tc>
        <w:tc>
          <w:tcPr>
            <w:tcW w:w="27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9.0</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26.99</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12,000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3,529,331</w:t>
            </w:r>
          </w:p>
        </w:tc>
        <w:tc>
          <w:tcPr>
            <w:tcW w:w="20" w:type="dxa"/>
            <w:vAlign w:val="bottom"/>
            <w:tcBorders>
              <w:bottom w:val="single" w:sz="8" w:color="auto"/>
            </w:tcBorders>
          </w:tcPr>
          <w:p>
            <w:pPr>
              <w:spacing w:after="0"/>
              <w:rPr>
                <w:sz w:val="19"/>
                <w:szCs w:val="19"/>
                <w:color w:val="auto"/>
              </w:rPr>
            </w:pPr>
          </w:p>
        </w:tc>
        <w:tc>
          <w:tcPr>
            <w:tcW w:w="2740" w:type="dxa"/>
            <w:vAlign w:val="bottom"/>
            <w:gridSpan w:val="3"/>
          </w:tcPr>
          <w:p>
            <w:pPr>
              <w:jc w:val="right"/>
              <w:ind w:right="780"/>
              <w:spacing w:after="0"/>
              <w:rPr>
                <w:sz w:val="20"/>
                <w:szCs w:val="20"/>
                <w:color w:val="auto"/>
              </w:rPr>
            </w:pPr>
            <w:r>
              <w:rPr>
                <w:rFonts w:ascii="Arial" w:cs="Arial" w:eastAsia="Arial" w:hAnsi="Arial"/>
                <w:sz w:val="18"/>
                <w:szCs w:val="18"/>
                <w:color w:val="auto"/>
              </w:rPr>
              <w:t>6.4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18.41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1,772,930</w:t>
            </w:r>
          </w:p>
        </w:tc>
        <w:tc>
          <w:tcPr>
            <w:tcW w:w="7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67" w:lineRule="exact"/>
        <w:rPr>
          <w:sz w:val="20"/>
          <w:szCs w:val="20"/>
          <w:color w:val="auto"/>
        </w:rPr>
      </w:pPr>
    </w:p>
    <w:p>
      <w:pPr>
        <w:ind w:right="600" w:firstLine="267"/>
        <w:spacing w:after="0" w:line="264" w:lineRule="auto"/>
        <w:rPr>
          <w:sz w:val="20"/>
          <w:szCs w:val="20"/>
          <w:color w:val="auto"/>
        </w:rPr>
      </w:pPr>
      <w:r>
        <w:rPr>
          <w:rFonts w:ascii="Arial" w:cs="Arial" w:eastAsia="Arial" w:hAnsi="Arial"/>
          <w:sz w:val="18"/>
          <w:szCs w:val="18"/>
          <w:color w:val="auto"/>
        </w:rPr>
        <w:t>The Company evaluates short-term regional performance based on segment profit or loss and customer sales. Corporate short-term performance is evaluated based on shareholder value enhancement (“SVE”), which incorporates the cost of capital (11% in fiscal 2005) as a hurdle rate for capital expenditures, new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product development, acquisitions, and long-term lines of business. Segment profit or loss does not include certain administrative costs, interest, foreign exchange gain or loss, restructuring charges, other expenses not allocated to a segment, and income taxes. The accounting policies of the reportable segments are the same as those described in the summary of significant accounting policies.</w:t>
      </w:r>
    </w:p>
    <w:p>
      <w:pPr>
        <w:spacing w:after="0" w:line="19" w:lineRule="exact"/>
        <w:rPr>
          <w:sz w:val="20"/>
          <w:szCs w:val="20"/>
          <w:color w:val="auto"/>
        </w:rPr>
      </w:pPr>
    </w:p>
    <w:p>
      <w:pPr>
        <w:ind w:right="140" w:firstLine="267"/>
        <w:spacing w:after="0" w:line="259" w:lineRule="auto"/>
        <w:rPr>
          <w:sz w:val="20"/>
          <w:szCs w:val="20"/>
          <w:color w:val="auto"/>
        </w:rPr>
      </w:pPr>
      <w:r>
        <w:rPr>
          <w:rFonts w:ascii="Arial" w:cs="Arial" w:eastAsia="Arial" w:hAnsi="Arial"/>
          <w:sz w:val="18"/>
          <w:szCs w:val="18"/>
          <w:color w:val="auto"/>
        </w:rPr>
        <w:t>The Company’s reportable segments are geographical regions that are each managed separately. Due to the change to a regional management structure at the beginning of fiscal 2004, in 2004 the Company restated the corresponding segment information from its previous group-based structure for fiscal 2003. The Company has three reportable segments: Americas, Europe and Asia. Each reportable segment derives its revenue from the same types of products and services.</w:t>
      </w:r>
    </w:p>
    <w:p>
      <w:pPr>
        <w:spacing w:after="0" w:line="79"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5"/>
              </w:rPr>
              <w:t>Corporate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1"/>
              </w:rPr>
              <w:t>Americas</w:t>
            </w:r>
          </w:p>
        </w:tc>
        <w:tc>
          <w:tcPr>
            <w:tcW w:w="4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1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4"/>
              </w:rPr>
              <w:t>Asia</w:t>
            </w:r>
          </w:p>
        </w:tc>
        <w:tc>
          <w:tcPr>
            <w:tcW w:w="2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Subtotals</w:t>
            </w:r>
          </w:p>
        </w:tc>
        <w:tc>
          <w:tcPr>
            <w:tcW w:w="5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96"/>
              </w:rPr>
              <w:t>and</w:t>
            </w:r>
          </w:p>
        </w:tc>
        <w:tc>
          <w:tcPr>
            <w:tcW w:w="6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Totals</w:t>
            </w:r>
          </w:p>
        </w:tc>
        <w:tc>
          <w:tcPr>
            <w:tcW w:w="2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Eliminations</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w w:val="93"/>
              </w:rPr>
              <w:t>Revenues from external customers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417,780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274,691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123,976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816,447</w:t>
            </w:r>
          </w:p>
        </w:tc>
        <w:tc>
          <w:tcPr>
            <w:tcW w:w="160" w:type="dxa"/>
            <w:vAlign w:val="bottom"/>
          </w:tcPr>
          <w:p>
            <w:pPr>
              <w:spacing w:after="0"/>
              <w:rPr>
                <w:sz w:val="18"/>
                <w:szCs w:val="18"/>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816,447</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45,284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4,402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17,428</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25,891</w:t>
            </w:r>
          </w:p>
        </w:tc>
        <w:tc>
          <w:tcPr>
            <w:tcW w:w="160" w:type="dxa"/>
            <w:vAlign w:val="bottom"/>
          </w:tcPr>
          <w:p>
            <w:pPr>
              <w:spacing w:after="0"/>
              <w:rPr>
                <w:sz w:val="20"/>
                <w:szCs w:val="20"/>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98,193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34,228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212,213</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207,368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446,829</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171,536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w w:val="89"/>
              </w:rPr>
              <w:t>111,048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729,413</w:t>
            </w:r>
          </w:p>
        </w:tc>
        <w:tc>
          <w:tcPr>
            <w:tcW w:w="16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120,734</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850,147</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 plant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equipment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11,858</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6,050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19,392</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21,920</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Year ended July 31, 2004: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Revenues from external customers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341,975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248,255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80,989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671,219</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671,219</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rPr>
              <w:t>Intersegment revenues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40,764</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2,199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4,165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47,128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(47,128)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14,112</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3,686</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18,934</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rPr>
              <w:t>Segment profit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60,132</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66,404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22,768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149,304</w:t>
            </w:r>
          </w:p>
        </w:tc>
        <w:tc>
          <w:tcPr>
            <w:tcW w:w="16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(4,696)</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144,608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408,558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138,678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37,348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584,584</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113,316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697,900</w:t>
            </w: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Expenditures for property, plant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and equipment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3,004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3,298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12,981</w:t>
            </w:r>
          </w:p>
        </w:tc>
        <w:tc>
          <w:tcPr>
            <w:tcW w:w="160" w:type="dxa"/>
            <w:vAlign w:val="bottom"/>
          </w:tcPr>
          <w:p>
            <w:pPr>
              <w:spacing w:after="0"/>
              <w:rPr>
                <w:sz w:val="20"/>
                <w:szCs w:val="20"/>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1,911</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w w:val="93"/>
              </w:rPr>
              <w:t>Revenues from external customers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298,844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198,353</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57,669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554,866</w:t>
            </w:r>
          </w:p>
        </w:tc>
        <w:tc>
          <w:tcPr>
            <w:tcW w:w="160" w:type="dxa"/>
            <w:vAlign w:val="bottom"/>
          </w:tcPr>
          <w:p>
            <w:pPr>
              <w:spacing w:after="0"/>
              <w:rPr>
                <w:sz w:val="18"/>
                <w:szCs w:val="18"/>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554,866</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Intersegment revenues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33,580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(36,270)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tcPr>
          <w:p>
            <w:pPr>
              <w:ind w:left="220"/>
              <w:spacing w:after="0" w:line="201"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10,398</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14,418</w:t>
            </w:r>
          </w:p>
        </w:tc>
        <w:tc>
          <w:tcPr>
            <w:tcW w:w="160" w:type="dxa"/>
            <w:vAlign w:val="bottom"/>
          </w:tcPr>
          <w:p>
            <w:pPr>
              <w:spacing w:after="0"/>
              <w:rPr>
                <w:sz w:val="20"/>
                <w:szCs w:val="20"/>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17,771</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profit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42,079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47,469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14,142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103,690</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100,878</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202,236</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112,870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26,627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341,733</w:t>
            </w:r>
          </w:p>
        </w:tc>
        <w:tc>
          <w:tcPr>
            <w:tcW w:w="16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109,853</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451,586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Expenditures for property, plant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equipment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3,188</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2,663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7,868</w:t>
            </w: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6,570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14,438</w:t>
            </w:r>
          </w:p>
        </w:tc>
        <w:tc>
          <w:tcPr>
            <w:tcW w:w="0" w:type="dxa"/>
            <w:vAlign w:val="bottom"/>
          </w:tcPr>
          <w:p>
            <w:pPr>
              <w:spacing w:after="0"/>
              <w:rPr>
                <w:sz w:val="1"/>
                <w:szCs w:val="1"/>
                <w:color w:val="auto"/>
              </w:rPr>
            </w:pPr>
          </w:p>
        </w:tc>
      </w:tr>
      <w:tr>
        <w:trPr>
          <w:trHeight w:val="405"/>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II-39</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2"/>
              </w:rPr>
              <w:t>Years Ended July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center"/>
              <w:ind w:left="12"/>
              <w:spacing w:after="0" w:line="155" w:lineRule="exact"/>
              <w:rPr>
                <w:sz w:val="20"/>
                <w:szCs w:val="20"/>
                <w:color w:val="auto"/>
              </w:rPr>
            </w:pPr>
            <w:r>
              <w:rPr>
                <w:rFonts w:ascii="Arial" w:cs="Arial" w:eastAsia="Arial" w:hAnsi="Arial"/>
                <w:sz w:val="14"/>
                <w:szCs w:val="14"/>
                <w:b w:val="1"/>
                <w:bCs w:val="1"/>
                <w:color w:val="auto"/>
                <w:w w:val="89"/>
              </w:rPr>
              <w:t>2005</w:t>
            </w:r>
          </w:p>
        </w:tc>
        <w:tc>
          <w:tcPr>
            <w:tcW w:w="3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3"/>
                <w:szCs w:val="13"/>
                <w:color w:val="auto"/>
              </w:rPr>
            </w:pPr>
          </w:p>
        </w:tc>
      </w:tr>
      <w:tr>
        <w:trPr>
          <w:trHeight w:val="156"/>
        </w:trPr>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6"/>
          </w:tcPr>
          <w:p>
            <w:pPr>
              <w:jc w:val="center"/>
              <w:ind w:right="44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reconciliation: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Total profit for reportable segments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0"/>
              <w:spacing w:after="0"/>
              <w:rPr>
                <w:sz w:val="20"/>
                <w:szCs w:val="20"/>
                <w:color w:val="auto"/>
              </w:rPr>
            </w:pPr>
            <w:r>
              <w:rPr>
                <w:rFonts w:ascii="Arial" w:cs="Arial" w:eastAsia="Arial" w:hAnsi="Arial"/>
                <w:sz w:val="18"/>
                <w:szCs w:val="18"/>
                <w:color w:val="auto"/>
              </w:rPr>
              <w:t>212,213</w:t>
            </w:r>
          </w:p>
        </w:tc>
        <w:tc>
          <w:tcPr>
            <w:tcW w:w="40" w:type="dxa"/>
            <w:vAlign w:val="bottom"/>
          </w:tcPr>
          <w:p>
            <w:pPr>
              <w:spacing w:after="0"/>
              <w:rPr>
                <w:sz w:val="18"/>
                <w:szCs w:val="18"/>
                <w:color w:val="auto"/>
              </w:rPr>
            </w:pPr>
          </w:p>
        </w:tc>
        <w:tc>
          <w:tcPr>
            <w:tcW w:w="52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149,304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103,690</w:t>
            </w:r>
          </w:p>
        </w:tc>
        <w:tc>
          <w:tcPr>
            <w:tcW w:w="24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Corporate and eliminations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(4,845)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(2,812)</w:t>
            </w:r>
          </w:p>
        </w:tc>
      </w:tr>
      <w:tr>
        <w:trPr>
          <w:trHeight w:val="216"/>
        </w:trPr>
        <w:tc>
          <w:tcPr>
            <w:tcW w:w="2800" w:type="dxa"/>
            <w:vAlign w:val="bottom"/>
            <w:gridSpan w:val="2"/>
          </w:tcPr>
          <w:p>
            <w:pPr>
              <w:ind w:left="300"/>
              <w:spacing w:after="0"/>
              <w:rPr>
                <w:sz w:val="20"/>
                <w:szCs w:val="20"/>
                <w:color w:val="auto"/>
              </w:rPr>
            </w:pPr>
            <w:r>
              <w:rPr>
                <w:rFonts w:ascii="Arial" w:cs="Arial" w:eastAsia="Arial" w:hAnsi="Arial"/>
                <w:sz w:val="18"/>
                <w:szCs w:val="18"/>
                <w:color w:val="auto"/>
              </w:rPr>
              <w:t>Unallocated amounts:</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Administrative costs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(77,836)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(66,114)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(56,365)</w:t>
            </w:r>
          </w:p>
        </w:tc>
      </w:tr>
      <w:tr>
        <w:trPr>
          <w:trHeight w:val="216"/>
        </w:trPr>
        <w:tc>
          <w:tcPr>
            <w:tcW w:w="3020" w:type="dxa"/>
            <w:vAlign w:val="bottom"/>
            <w:gridSpan w:val="3"/>
          </w:tcPr>
          <w:p>
            <w:pPr>
              <w:ind w:left="580"/>
              <w:spacing w:after="0"/>
              <w:rPr>
                <w:sz w:val="20"/>
                <w:szCs w:val="20"/>
                <w:color w:val="auto"/>
              </w:rPr>
            </w:pPr>
            <w:r>
              <w:rPr>
                <w:rFonts w:ascii="Arial" w:cs="Arial" w:eastAsia="Arial" w:hAnsi="Arial"/>
                <w:sz w:val="18"/>
                <w:szCs w:val="18"/>
                <w:color w:val="auto"/>
                <w:w w:val="92"/>
              </w:rPr>
              <w:t>Interest (expense) income — net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jc w:val="right"/>
              <w:ind w:right="340"/>
              <w:spacing w:after="0"/>
              <w:rPr>
                <w:sz w:val="20"/>
                <w:szCs w:val="20"/>
                <w:color w:val="auto"/>
              </w:rPr>
            </w:pPr>
            <w:r>
              <w:rPr>
                <w:rFonts w:ascii="Arial" w:cs="Arial" w:eastAsia="Arial" w:hAnsi="Arial"/>
                <w:sz w:val="18"/>
                <w:szCs w:val="18"/>
                <w:color w:val="auto"/>
              </w:rPr>
              <w:t>(7,103)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136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4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ind w:left="580"/>
              <w:spacing w:after="0"/>
              <w:rPr>
                <w:sz w:val="20"/>
                <w:szCs w:val="20"/>
                <w:color w:val="auto"/>
              </w:rPr>
            </w:pPr>
            <w:r>
              <w:rPr>
                <w:rFonts w:ascii="Arial" w:cs="Arial" w:eastAsia="Arial" w:hAnsi="Arial"/>
                <w:sz w:val="18"/>
                <w:szCs w:val="18"/>
                <w:color w:val="auto"/>
              </w:rPr>
              <w:t>Restructuring charge, net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(3,181)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(9,589)</w:t>
            </w:r>
          </w:p>
        </w:tc>
      </w:tr>
      <w:tr>
        <w:trPr>
          <w:trHeight w:val="216"/>
        </w:trPr>
        <w:tc>
          <w:tcPr>
            <w:tcW w:w="2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(7,147)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(4,097)</w:t>
            </w:r>
          </w:p>
        </w:tc>
      </w:tr>
      <w:tr>
        <w:trPr>
          <w:trHeight w:val="223"/>
        </w:trPr>
        <w:tc>
          <w:tcPr>
            <w:tcW w:w="3020" w:type="dxa"/>
            <w:vAlign w:val="bottom"/>
            <w:gridSpan w:val="3"/>
          </w:tcPr>
          <w:p>
            <w:pPr>
              <w:ind w:left="880"/>
              <w:spacing w:after="0"/>
              <w:rPr>
                <w:sz w:val="20"/>
                <w:szCs w:val="20"/>
                <w:color w:val="auto"/>
              </w:rPr>
            </w:pPr>
            <w:r>
              <w:rPr>
                <w:rFonts w:ascii="Arial" w:cs="Arial" w:eastAsia="Arial" w:hAnsi="Arial"/>
                <w:sz w:val="18"/>
                <w:szCs w:val="18"/>
                <w:color w:val="auto"/>
                <w:w w:val="93"/>
              </w:rPr>
              <w:t>Income before income taxes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115,418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87"/>
              </w:rPr>
              <w:t>70,327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32,455</w:t>
            </w:r>
          </w:p>
        </w:tc>
        <w:tc>
          <w:tcPr>
            <w:tcW w:w="240" w:type="dxa"/>
            <w:vAlign w:val="bottom"/>
          </w:tcPr>
          <w:p>
            <w:pPr>
              <w:spacing w:after="0"/>
              <w:rPr>
                <w:sz w:val="19"/>
                <w:szCs w:val="19"/>
                <w:color w:val="auto"/>
              </w:rPr>
            </w:pPr>
          </w:p>
        </w:tc>
      </w:tr>
      <w:tr>
        <w:trPr>
          <w:trHeight w:val="216"/>
        </w:trPr>
        <w:tc>
          <w:tcPr>
            <w:tcW w:w="28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(33,471)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(19,456)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(11,035)</w:t>
            </w:r>
          </w:p>
        </w:tc>
      </w:tr>
      <w:tr>
        <w:trPr>
          <w:trHeight w:val="223"/>
        </w:trPr>
        <w:tc>
          <w:tcPr>
            <w:tcW w:w="2800" w:type="dxa"/>
            <w:vAlign w:val="bottom"/>
            <w:gridSpan w:val="2"/>
          </w:tcPr>
          <w:p>
            <w:pPr>
              <w:ind w:left="1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81,947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ind w:left="31"/>
              <w:spacing w:after="0"/>
              <w:rPr>
                <w:sz w:val="20"/>
                <w:szCs w:val="20"/>
                <w:color w:val="auto"/>
              </w:rPr>
            </w:pPr>
            <w:r>
              <w:rPr>
                <w:rFonts w:ascii="Arial" w:cs="Arial" w:eastAsia="Arial" w:hAnsi="Arial"/>
                <w:sz w:val="18"/>
                <w:szCs w:val="18"/>
                <w:color w:val="auto"/>
                <w:w w:val="87"/>
              </w:rPr>
              <w:t>50,871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21,420</w:t>
            </w:r>
          </w:p>
        </w:tc>
        <w:tc>
          <w:tcPr>
            <w:tcW w:w="240" w:type="dxa"/>
            <w:vAlign w:val="bottom"/>
          </w:tcPr>
          <w:p>
            <w:pPr>
              <w:spacing w:after="0"/>
              <w:rPr>
                <w:sz w:val="19"/>
                <w:szCs w:val="19"/>
                <w:color w:val="auto"/>
              </w:rPr>
            </w:pPr>
          </w:p>
        </w:tc>
      </w:tr>
      <w:tr>
        <w:trPr>
          <w:trHeight w:val="21"/>
        </w:trPr>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2"/>
        </w:trPr>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Revenues*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Long-Lived 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1"/>
        </w:trPr>
        <w:tc>
          <w:tcPr>
            <w:tcW w:w="2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Years Ended July 31,</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Years Ended July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2004</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left="51"/>
              <w:spacing w:after="0" w:line="155" w:lineRule="exact"/>
              <w:rPr>
                <w:sz w:val="20"/>
                <w:szCs w:val="20"/>
                <w:color w:val="auto"/>
              </w:rPr>
            </w:pPr>
            <w:r>
              <w:rPr>
                <w:rFonts w:ascii="Arial" w:cs="Arial" w:eastAsia="Arial" w:hAnsi="Arial"/>
                <w:sz w:val="14"/>
                <w:szCs w:val="14"/>
                <w:b w:val="1"/>
                <w:bCs w:val="1"/>
                <w:color w:val="auto"/>
                <w:w w:val="96"/>
              </w:rPr>
              <w:t>2004</w:t>
            </w:r>
          </w:p>
        </w:tc>
        <w:tc>
          <w:tcPr>
            <w:tcW w:w="2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3"/>
                <w:szCs w:val="13"/>
                <w:color w:val="auto"/>
              </w:rPr>
            </w:pPr>
          </w:p>
        </w:tc>
      </w:tr>
      <w:tr>
        <w:trPr>
          <w:trHeight w:val="156"/>
        </w:trPr>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(Dollars</w:t>
            </w:r>
          </w:p>
        </w:tc>
        <w:tc>
          <w:tcPr>
            <w:tcW w:w="1500" w:type="dxa"/>
            <w:vAlign w:val="bottom"/>
            <w:gridSpan w:val="6"/>
          </w:tcPr>
          <w:p>
            <w:pPr>
              <w:jc w:val="right"/>
              <w:ind w:right="52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411,614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343,879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303,849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center"/>
              <w:ind w:left="32"/>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321,482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310,838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143,342</w:t>
            </w:r>
          </w:p>
        </w:tc>
      </w:tr>
      <w:tr>
        <w:trPr>
          <w:trHeight w:val="216"/>
        </w:trPr>
        <w:tc>
          <w:tcPr>
            <w:tcW w:w="28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379,188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180,945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97,043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75,401</w:t>
            </w:r>
          </w:p>
        </w:tc>
      </w:tr>
      <w:tr>
        <w:trPr>
          <w:trHeight w:val="216"/>
        </w:trPr>
        <w:tc>
          <w:tcPr>
            <w:tcW w:w="2800" w:type="dxa"/>
            <w:vAlign w:val="bottom"/>
            <w:gridSpan w:val="2"/>
          </w:tcPr>
          <w:p>
            <w:pPr>
              <w:ind w:left="240"/>
              <w:spacing w:after="0"/>
              <w:rPr>
                <w:sz w:val="20"/>
                <w:szCs w:val="20"/>
                <w:color w:val="auto"/>
              </w:rPr>
            </w:pPr>
            <w:r>
              <w:rPr>
                <w:rFonts w:ascii="Arial" w:cs="Arial" w:eastAsia="Arial" w:hAnsi="Arial"/>
                <w:sz w:val="18"/>
                <w:szCs w:val="18"/>
                <w:color w:val="auto"/>
              </w:rPr>
              <w:t>Eliminations</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(59,709)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(51,848)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(41,783)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7"/>
        </w:trPr>
        <w:tc>
          <w:tcPr>
            <w:tcW w:w="2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2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Consolidated total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816,447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671,219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502,427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407,881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218,743</w:t>
            </w:r>
          </w:p>
        </w:tc>
      </w:tr>
      <w:tr>
        <w:trPr>
          <w:trHeight w:val="21"/>
        </w:trPr>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r>
    </w:tbl>
    <w:p>
      <w:pPr>
        <w:spacing w:after="0" w:line="67" w:lineRule="exact"/>
        <w:rPr>
          <w:sz w:val="20"/>
          <w:szCs w:val="20"/>
          <w:color w:val="auto"/>
        </w:rPr>
      </w:pPr>
    </w:p>
    <w:p>
      <w:pPr>
        <w:ind w:left="360" w:hanging="230"/>
        <w:spacing w:after="0"/>
        <w:tabs>
          <w:tab w:leader="none" w:pos="3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63"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other intangible assets and goodwill.</w:t>
      </w:r>
    </w:p>
    <w:p>
      <w:pPr>
        <w:spacing w:after="0" w:line="22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121"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Net income per Common Share is computed by dividing net income (after deducting the applicable Preferred Stock dividends and preferential Class A Common Stock dividends) by the weighted average Common Shares outstanding of 48,967,160 for 2005, 47,298,454 for 2004 and 46,355,482 for 2003. The preferential dividend on the Class A Common Stock of $.01665 per share has been added to the net income per Class A Common Share for all years presented.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Years ended July 31,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3"/>
                <w:szCs w:val="13"/>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5"/>
              </w:rPr>
              <w:t>(In thousands,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2004</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8"/>
              </w:rPr>
              <w:t>amounts)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except per share</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81,947</w:t>
            </w:r>
          </w:p>
        </w:tc>
        <w:tc>
          <w:tcPr>
            <w:tcW w:w="10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50,871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3"/>
              </w:rPr>
              <w:t>Less: Preferred Stock dividends and Premium on redemption of preferred</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Numerator for basic and diluted Class A net income per share</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Preferential dividends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628"/>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Preferential dividends on dilutive stock options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Numerator for basic and diluted Class B net income per share</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81,173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48,967</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47,298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Plus: Effect of dilutive stock options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Treasury Shares — Deferred Compensation Plan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Denominator for diluted net income per share for both Class A and B</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47,813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vMerge w:val="restart"/>
          </w:tcPr>
          <w:p>
            <w:pPr>
              <w:ind w:left="280"/>
              <w:spacing w:after="0"/>
              <w:rPr>
                <w:sz w:val="20"/>
                <w:szCs w:val="20"/>
                <w:color w:val="auto"/>
              </w:rPr>
            </w:pPr>
            <w:r>
              <w:rPr>
                <w:rFonts w:ascii="Arial" w:cs="Arial" w:eastAsia="Arial" w:hAnsi="Arial"/>
                <w:sz w:val="18"/>
                <w:szCs w:val="18"/>
                <w:color w:val="auto"/>
              </w:rPr>
              <w:t>Class A common stock net income per share calculation:</w:t>
            </w: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c>
          <w:tcPr>
            <w:tcW w:w="104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10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Class B common stock net income per share calculation: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8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c>
          <w:tcPr>
            <w:tcW w:w="10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rPr>
              <w:t>1.06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auto"/>
        </w:rPr>
        <w:t>Options to purchase 38,000, 36,000 and 1,557,368 shares of Class A common stock were excluded from the computations of diluted net income per share for years ended July 31, 2005, 2004 and 2003, respectively, because the option exercise prices were greater than the average market price of the common shares and, therefore, the effect would be antidilutive.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November 2004, the Company announced a two-for-one stock split in the form of a 100% stock dividend, effective December 31, 2004.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The Company has entered into various noncancellable operating lease agreements. Rental expense charged to operations was $14,020,000, $12,583,000, and $10,800,000 for the years ended July 31, 2005, 2004, and 2003, respectively. Future minimum lease payments required under such leases in effect at July 31, 2005 are as follows, for the years ending July 31: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12,810,000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2007</w:t>
            </w: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7,901,000</w:t>
            </w:r>
          </w:p>
        </w:tc>
        <w:tc>
          <w:tcPr>
            <w:tcW w:w="6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5,783,000</w:t>
            </w:r>
          </w:p>
        </w:tc>
        <w:tc>
          <w:tcPr>
            <w:tcW w:w="6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2009</w:t>
            </w:r>
          </w:p>
        </w:tc>
        <w:tc>
          <w:tcPr>
            <w:tcW w:w="4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5,006,000</w:t>
            </w:r>
          </w:p>
        </w:tc>
        <w:tc>
          <w:tcPr>
            <w:tcW w:w="6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4,012,000</w:t>
            </w:r>
          </w:p>
        </w:tc>
        <w:tc>
          <w:tcPr>
            <w:tcW w:w="640" w:type="dxa"/>
            <w:vAlign w:val="bottom"/>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8,963,000</w:t>
            </w:r>
          </w:p>
        </w:tc>
        <w:tc>
          <w:tcPr>
            <w:tcW w:w="640" w:type="dxa"/>
            <w:vAlign w:val="bottom"/>
          </w:tcPr>
          <w:p>
            <w:pPr>
              <w:spacing w:after="0"/>
              <w:rPr>
                <w:sz w:val="19"/>
                <w:szCs w:val="19"/>
                <w:color w:val="auto"/>
              </w:rPr>
            </w:pPr>
          </w:p>
        </w:tc>
      </w:tr>
      <w:tr>
        <w:trPr>
          <w:trHeight w:val="216"/>
        </w:trPr>
        <w:tc>
          <w:tcPr>
            <w:tcW w:w="49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44,475,000</w:t>
            </w:r>
          </w:p>
        </w:tc>
      </w:tr>
      <w:tr>
        <w:trPr>
          <w:trHeight w:val="21"/>
        </w:trPr>
        <w:tc>
          <w:tcPr>
            <w:tcW w:w="49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77"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ind w:right="200" w:firstLine="270"/>
        <w:spacing w:after="0" w:line="279" w:lineRule="auto"/>
        <w:rPr>
          <w:sz w:val="20"/>
          <w:szCs w:val="20"/>
          <w:color w:val="auto"/>
        </w:rPr>
      </w:pPr>
      <w:r>
        <w:rPr>
          <w:rFonts w:ascii="Arial" w:cs="Arial" w:eastAsia="Arial" w:hAnsi="Arial"/>
          <w:sz w:val="17"/>
          <w:szCs w:val="17"/>
          <w:color w:val="auto"/>
        </w:rPr>
        <w:t>During fiscal 2004 and 2003 the Company recorded restructuring charges of $3,181,000 and $10,215,000, respectively. This combined total of $13,396,000 was part of the restructuring program announced in the fourth quarter of fiscal 2003 related primarily to combining sales and marketing resources and consolidating facilities throughout North America and Europe resulting in a workforce reduction of approximately 300 employees. The fiscal 2004 restructuring charges by reportable segment were $1,262,000 in Americas, $1,521,000 in Europe, and $398,000 in Asia.</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2004 restructuring charge of $3,181,000 includes a provision for severance of approximately $2,900,000 and write-off of assets and other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$281,000. In 2003 the $10,215,000 charge includes a provision for severance of approximately $8,220,000 and write-off of assets and other of $1,995,000.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cash expenditures in connection with these actions were approximately $12,000,000, of which approximately $2,300,000 was paid in fiscal 2003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$8,300,000 was paid in fiscal 2004. The remaining balance was paid in fiscal 2005. The restructuring charge for 2004 was $2,166,000 after tax, or $.05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 Class A Common Share.</w:t>
      </w:r>
    </w:p>
    <w:p>
      <w:pPr>
        <w:spacing w:after="0" w:line="103" w:lineRule="exact"/>
        <w:rPr>
          <w:sz w:val="20"/>
          <w:szCs w:val="20"/>
          <w:color w:val="auto"/>
        </w:rPr>
      </w:pPr>
    </w:p>
    <w:p>
      <w:pPr>
        <w:jc w:val="both"/>
        <w:ind w:right="20" w:firstLine="267"/>
        <w:spacing w:after="0" w:line="286" w:lineRule="auto"/>
        <w:rPr>
          <w:sz w:val="20"/>
          <w:szCs w:val="20"/>
          <w:color w:val="auto"/>
        </w:rPr>
      </w:pPr>
      <w:r>
        <w:rPr>
          <w:rFonts w:ascii="Arial" w:cs="Arial" w:eastAsia="Arial" w:hAnsi="Arial"/>
          <w:sz w:val="17"/>
          <w:szCs w:val="17"/>
          <w:color w:val="auto"/>
        </w:rPr>
        <w:t>The cost savings resulting from this restructuring began in fiscal 2003 and continued in fiscal 2004 and fiscal 2005. The $10,215,000 charge in fiscal 2003 was partially offset by a credit of $626,000 related to adjustments in lease termination costs associated with the Company’s fiscal 2002 and 2001 restructuring activities. The net restructuring charge in fiscal 2003 was $9,589,000 ($6,329,000 after tax, or $0.13 per diluted Class A Common Share).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ectPr>
          <w:pgSz w:w="11900" w:h="16838" w:orient="portrait"/>
          <w:cols w:equalWidth="0" w:num="1">
            <w:col w:w="11420"/>
          </w:cols>
          <w:pgMar w:left="240" w:top="419" w:right="239" w:bottom="1440" w:gutter="0" w:footer="0" w:header="0"/>
        </w:sectPr>
      </w:pPr>
    </w:p>
    <w:p>
      <w:pPr>
        <w:spacing w:after="0" w:line="3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activity with respect to the Company’s 2003 and 2004 restructuring is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April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Restructuring charge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Non-cash asset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Cash payments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Ending balance, July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 charges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Non-cash asset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Cash payments associated with severance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
        <w:spacing w:after="0"/>
        <w:tabs>
          <w:tab w:leader="none" w:pos="146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w:t>
      </w:r>
    </w:p>
    <w:p>
      <w:pPr>
        <w:spacing w:after="0" w:line="23"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10,215,000</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(948,000)</w:t>
      </w:r>
    </w:p>
    <w:p>
      <w:pPr>
        <w:spacing w:after="0" w:line="9"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(2,341,000)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950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 w:lineRule="exact"/>
        <w:rPr>
          <w:sz w:val="20"/>
          <w:szCs w:val="20"/>
          <w:color w:val="auto"/>
        </w:rPr>
      </w:pPr>
    </w:p>
    <w:p>
      <w:pPr>
        <w:ind w:left="841" w:hanging="841"/>
        <w:spacing w:after="0"/>
        <w:tabs>
          <w:tab w:leader="none" w:pos="8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6,926,000</w:t>
      </w:r>
    </w:p>
    <w:p>
      <w:pPr>
        <w:spacing w:after="0" w:line="88" w:lineRule="exact"/>
        <w:rPr>
          <w:rFonts w:ascii="Arial" w:cs="Arial" w:eastAsia="Arial" w:hAnsi="Arial"/>
          <w:sz w:val="17"/>
          <w:szCs w:val="17"/>
          <w:color w:val="auto"/>
        </w:rPr>
      </w:pPr>
    </w:p>
    <w:p>
      <w:pPr>
        <w:ind w:left="841"/>
        <w:spacing w:after="0"/>
        <w:rPr>
          <w:rFonts w:ascii="Arial" w:cs="Arial" w:eastAsia="Arial" w:hAnsi="Arial"/>
          <w:sz w:val="17"/>
          <w:szCs w:val="17"/>
          <w:color w:val="auto"/>
        </w:rPr>
      </w:pPr>
      <w:r>
        <w:rPr>
          <w:rFonts w:ascii="Arial" w:cs="Arial" w:eastAsia="Arial" w:hAnsi="Arial"/>
          <w:sz w:val="17"/>
          <w:szCs w:val="17"/>
          <w:color w:val="auto"/>
        </w:rPr>
        <w:t>3,181,000</w:t>
      </w:r>
    </w:p>
    <w:p>
      <w:pPr>
        <w:spacing w:after="0" w:line="34" w:lineRule="exact"/>
        <w:rPr>
          <w:rFonts w:ascii="Arial" w:cs="Arial" w:eastAsia="Arial" w:hAnsi="Arial"/>
          <w:sz w:val="17"/>
          <w:szCs w:val="17"/>
          <w:color w:val="auto"/>
        </w:rPr>
      </w:pPr>
    </w:p>
    <w:p>
      <w:pPr>
        <w:ind w:left="1021"/>
        <w:spacing w:after="0"/>
        <w:rPr>
          <w:rFonts w:ascii="Arial" w:cs="Arial" w:eastAsia="Arial" w:hAnsi="Arial"/>
          <w:sz w:val="17"/>
          <w:szCs w:val="17"/>
          <w:color w:val="auto"/>
        </w:rPr>
      </w:pPr>
      <w:r>
        <w:rPr>
          <w:rFonts w:ascii="Arial" w:cs="Arial" w:eastAsia="Arial" w:hAnsi="Arial"/>
          <w:sz w:val="16"/>
          <w:szCs w:val="16"/>
          <w:color w:val="auto"/>
        </w:rPr>
        <w:t>(76,000)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9950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9950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2"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(8,340,000)</w:t>
      </w:r>
    </w:p>
    <w:p>
      <w:pPr>
        <w:spacing w:after="0" w:line="29" w:lineRule="exact"/>
        <w:rPr>
          <w:sz w:val="20"/>
          <w:szCs w:val="20"/>
          <w:color w:val="auto"/>
        </w:rPr>
      </w:pPr>
    </w:p>
    <w:p>
      <w:pPr>
        <w:sectPr>
          <w:pgSz w:w="11900" w:h="16838" w:orient="portrait"/>
          <w:cols w:equalWidth="0" w:num="2">
            <w:col w:w="8499" w:space="720"/>
            <w:col w:w="2201"/>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Ending balance, July 31, 2004</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1,691,000</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20" w:type="dxa"/>
            <w:vAlign w:val="bottom"/>
            <w:vMerge w:val="restart"/>
          </w:tcPr>
          <w:p>
            <w:pPr>
              <w:ind w:left="320"/>
              <w:spacing w:after="0"/>
              <w:rPr>
                <w:sz w:val="20"/>
                <w:szCs w:val="20"/>
                <w:color w:val="auto"/>
              </w:rPr>
            </w:pPr>
            <w:r>
              <w:rPr>
                <w:rFonts w:ascii="Arial" w:cs="Arial" w:eastAsia="Arial" w:hAnsi="Arial"/>
                <w:sz w:val="18"/>
                <w:szCs w:val="18"/>
                <w:color w:val="auto"/>
              </w:rPr>
              <w:t>Non-cash asset write-offs</w:t>
            </w: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payments associated with severance and other</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(1,368,000)</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Ending balance, July 31, 2005</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60" w:firstLine="267"/>
        <w:spacing w:after="0" w:line="274" w:lineRule="auto"/>
        <w:rPr>
          <w:sz w:val="20"/>
          <w:szCs w:val="20"/>
          <w:color w:val="auto"/>
        </w:rPr>
      </w:pPr>
      <w:r>
        <w:rPr>
          <w:rFonts w:ascii="Arial" w:cs="Arial" w:eastAsia="Arial" w:hAnsi="Arial"/>
          <w:sz w:val="17"/>
          <w:szCs w:val="17"/>
          <w:color w:val="auto"/>
        </w:rPr>
        <w:t>The Company recorded a restructuring charge of $3,030,000 in fiscal 2002 related primarily to consolidation of facilities in Asia/ Pacific, United States and Europe and a workforce reduction of approximately three percent. The $3,030,000 charge includes a provision for severance of</w:t>
      </w:r>
    </w:p>
    <w:p>
      <w:pPr>
        <w:ind w:right="380"/>
        <w:spacing w:after="0" w:line="261" w:lineRule="auto"/>
        <w:rPr>
          <w:sz w:val="20"/>
          <w:szCs w:val="20"/>
          <w:color w:val="auto"/>
        </w:rPr>
      </w:pPr>
      <w:r>
        <w:rPr>
          <w:rFonts w:ascii="Arial" w:cs="Arial" w:eastAsia="Arial" w:hAnsi="Arial"/>
          <w:sz w:val="18"/>
          <w:szCs w:val="18"/>
          <w:color w:val="auto"/>
        </w:rPr>
        <w:t>approximately $1,720,000, a provision for lease cancellation costs associated with the facilities consolidation of $940,000 and write-off or impairment of assets and other of $370,000.</w:t>
      </w:r>
    </w:p>
    <w:p>
      <w:pPr>
        <w:spacing w:after="0" w:line="76"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workforce reduction of approximately 100 people was essentially completed in July 2002. Total cash expenditures in connection with these actions were approximately $2,400,000 of which approximately $800,000 was paid prior to July 31, 2002. The cost savings resulting from this plan began in fiscal 2003. The $3,030,000 charge in fiscal 2002 was partially offset by a credit of $310,000 related to adjustments in severance costs associated with the Company’s fiscal 2001 restructuring activities. The net restructuring charge in fiscal 2002 was $2,720,000 ($1,782,000 after tax, or $0.04 per diluted Class A Common Share).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activity with respect to the Company’s 2002 restructuring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2002</w:t>
            </w:r>
          </w:p>
        </w:tc>
        <w:tc>
          <w:tcPr>
            <w:tcW w:w="4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2,239,000</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Cash payments associated with severance and other</w:t>
            </w:r>
          </w:p>
        </w:tc>
        <w:tc>
          <w:tcPr>
            <w:tcW w:w="4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(1,461,000)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Non-cash asset write-offs</w:t>
            </w:r>
          </w:p>
        </w:tc>
        <w:tc>
          <w:tcPr>
            <w:tcW w:w="4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Adjustment to lease accrual</w:t>
            </w:r>
          </w:p>
        </w:tc>
        <w:tc>
          <w:tcPr>
            <w:tcW w:w="4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8"/>
                <w:szCs w:val="18"/>
                <w:color w:val="auto"/>
              </w:rPr>
              <w:t>(453,000)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2003</w:t>
            </w:r>
          </w:p>
        </w:tc>
        <w:tc>
          <w:tcPr>
            <w:tcW w:w="4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vMerge w:val="restart"/>
          </w:tcPr>
          <w:p>
            <w:pPr>
              <w:ind w:left="300"/>
              <w:spacing w:after="0"/>
              <w:rPr>
                <w:sz w:val="20"/>
                <w:szCs w:val="20"/>
                <w:color w:val="auto"/>
              </w:rPr>
            </w:pPr>
            <w:r>
              <w:rPr>
                <w:rFonts w:ascii="Arial" w:cs="Arial" w:eastAsia="Arial" w:hAnsi="Arial"/>
                <w:sz w:val="18"/>
                <w:szCs w:val="18"/>
                <w:color w:val="auto"/>
              </w:rPr>
              <w:t>Cash payments associated with severance and other</w:t>
            </w:r>
          </w:p>
        </w:tc>
        <w:tc>
          <w:tcPr>
            <w:tcW w:w="4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(130,000)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2004</w:t>
            </w:r>
          </w:p>
        </w:tc>
        <w:tc>
          <w:tcPr>
            <w:tcW w:w="4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760" w:type="dxa"/>
            <w:vAlign w:val="bottom"/>
            <w:gridSpan w:val="2"/>
          </w:tcPr>
          <w:p>
            <w:pPr>
              <w:jc w:val="right"/>
              <w:ind w:right="3550"/>
              <w:spacing w:after="0"/>
              <w:rPr>
                <w:sz w:val="20"/>
                <w:szCs w:val="20"/>
                <w:color w:val="auto"/>
              </w:rPr>
            </w:pPr>
            <w:r>
              <w:rPr>
                <w:rFonts w:ascii="Arial" w:cs="Arial" w:eastAsia="Arial" w:hAnsi="Arial"/>
                <w:sz w:val="18"/>
                <w:szCs w:val="18"/>
                <w:color w:val="auto"/>
              </w:rPr>
              <w:t>II-43</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Financial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5"/>
              </w:rPr>
              <w:t>Quarters</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8"/>
              </w:rPr>
              <w:t>Second</w:t>
            </w:r>
          </w:p>
        </w:tc>
        <w:tc>
          <w:tcPr>
            <w:tcW w:w="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Fourth</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00" w:type="dxa"/>
            <w:vAlign w:val="bottom"/>
            <w:gridSpan w:val="9"/>
          </w:tcPr>
          <w:p>
            <w:pPr>
              <w:jc w:val="center"/>
              <w:ind w:right="480"/>
              <w:spacing w:after="0" w:line="155" w:lineRule="exact"/>
              <w:rPr>
                <w:sz w:val="20"/>
                <w:szCs w:val="20"/>
                <w:color w:val="auto"/>
              </w:rPr>
            </w:pPr>
            <w:r>
              <w:rPr>
                <w:rFonts w:ascii="Arial" w:cs="Arial" w:eastAsia="Arial" w:hAnsi="Arial"/>
                <w:sz w:val="14"/>
                <w:szCs w:val="14"/>
                <w:b w:val="1"/>
                <w:bCs w:val="1"/>
                <w:color w:val="auto"/>
                <w:w w:val="91"/>
              </w:rPr>
              <w:t>(Dollars in thousands, except per share data)</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196,216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209,766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200,419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210,046</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816,447</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104,956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113,868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108,927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443,276</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30,934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35,543</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24,182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122,452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24,956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81,947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r>
      <w:tr>
        <w:trPr>
          <w:trHeight w:val="216"/>
        </w:trPr>
        <w:tc>
          <w:tcPr>
            <w:tcW w:w="41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151,906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152,948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180,854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185,511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671,219</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77,874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94,539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94,185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345,361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11,644*</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23,325*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20,254</w:t>
            </w: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70,981</w:t>
            </w:r>
            <w:r>
              <w:rPr>
                <w:rFonts w:ascii="Arial" w:cs="Arial" w:eastAsia="Arial" w:hAnsi="Arial"/>
                <w:sz w:val="18"/>
                <w:szCs w:val="18"/>
                <w:b w:val="1"/>
                <w:bCs w:val="1"/>
                <w:color w:val="auto"/>
              </w:rPr>
              <w:t>*</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16,086</w:t>
            </w: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Net Income Per Class A Common Share:*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036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4" w:lineRule="exact"/>
        <w:rPr>
          <w:sz w:val="20"/>
          <w:szCs w:val="20"/>
          <w:color w:val="auto"/>
        </w:rPr>
      </w:pPr>
    </w:p>
    <w:p>
      <w:pPr>
        <w:ind w:left="240" w:right="80" w:hanging="232"/>
        <w:spacing w:after="0" w:line="277" w:lineRule="auto"/>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Earnings per share for the first quarter of fiscal 2005 and all four quarters for fiscal 2004 has been adjusted to reflect the effect of a two-for-one stock split in the form of a 100% stock dividend, effective December 31, 2004.</w:t>
      </w:r>
    </w:p>
    <w:p>
      <w:pPr>
        <w:spacing w:after="0" w:line="8" w:lineRule="exact"/>
        <w:rPr>
          <w:sz w:val="20"/>
          <w:szCs w:val="20"/>
          <w:color w:val="auto"/>
        </w:rPr>
      </w:pPr>
    </w:p>
    <w:p>
      <w:pPr>
        <w:ind w:left="120" w:right="140"/>
        <w:spacing w:after="0" w:line="306" w:lineRule="auto"/>
        <w:rPr>
          <w:sz w:val="20"/>
          <w:szCs w:val="20"/>
          <w:color w:val="auto"/>
        </w:rPr>
      </w:pPr>
      <w:r>
        <w:rPr>
          <w:rFonts w:ascii="Arial" w:cs="Arial" w:eastAsia="Arial" w:hAnsi="Arial"/>
          <w:sz w:val="17"/>
          <w:szCs w:val="17"/>
          <w:color w:val="auto"/>
        </w:rPr>
        <w:t>Fiscal 2004 included a net before tax restructuring charge by quarter of $1,753,000, $67,000, $455,000 and $906,000 for a total of $3,181,000. Fiscal 2004 included a net after tax restructuring charge by quarter of $1,166,000, $44,000, $319,000 and $637,000 for a total of $2,166,000.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fourth quarter of fiscal 2004 includes a tax benefit of $3,000,000.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40" w:firstLine="267"/>
        <w:spacing w:after="0" w:line="279" w:lineRule="auto"/>
        <w:rPr>
          <w:sz w:val="20"/>
          <w:szCs w:val="20"/>
          <w:color w:val="auto"/>
        </w:rPr>
      </w:pPr>
      <w:r>
        <w:rPr>
          <w:rFonts w:ascii="Arial" w:cs="Arial" w:eastAsia="Arial" w:hAnsi="Arial"/>
          <w:sz w:val="17"/>
          <w:szCs w:val="17"/>
          <w:color w:val="auto"/>
        </w:rPr>
        <w:t>The Company carried out an evaluation, under the supervision and with the participation of its management, including the Chief Executive Officer and Chief Financial Officer, of the effectiveness of the design and operation of the Company’s “disclosure controls and procedures” (as defined in the Exchange Act Rule 13a — 15(e)) as of the end of the period covered by this report. Based on that evaluation, the Company’s Chief Executive Officer and Chief Financial Officer concluded that the Company’s disclosure controls and procedures are effective as of July 31, 2005.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management of Brady Corporation and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79"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With the participation of the Chief Executive Officer and the Chief Financial Officer, our management conducted an evaluation of the effectiveness of our internal control over financial reporting as of July 31, 2005, based on the framework and criteria established in Internal Control — Integrated Framework, issued by the Committee of Sponsoring Organizations of the Treadway Commission in Internal Control — Integrated Framework. Based on the assessment, management concluded that, as of July 31, 2005, the Company’s internal control over financial reporting is effective based on those criteria. Management’s assessment of the effectiveness of the Company’s internal control over financial reporting, as of July 31, 2005, has been audited by Deloitte &amp; Touche LLP, an independent registered public accounting firm, as stated in their report, which is included herein.</w:t>
      </w:r>
    </w:p>
    <w:p>
      <w:pPr>
        <w:spacing w:after="0" w:line="70" w:lineRule="exact"/>
        <w:rPr>
          <w:sz w:val="20"/>
          <w:szCs w:val="20"/>
          <w:color w:val="auto"/>
        </w:rPr>
      </w:pPr>
    </w:p>
    <w:p>
      <w:pPr>
        <w:ind w:right="220" w:firstLine="270"/>
        <w:spacing w:after="0" w:line="312" w:lineRule="auto"/>
        <w:rPr>
          <w:sz w:val="20"/>
          <w:szCs w:val="20"/>
          <w:color w:val="auto"/>
        </w:rPr>
      </w:pPr>
      <w:r>
        <w:rPr>
          <w:rFonts w:ascii="Arial" w:cs="Arial" w:eastAsia="Arial" w:hAnsi="Arial"/>
          <w:sz w:val="16"/>
          <w:szCs w:val="16"/>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firstLine="267"/>
        <w:spacing w:after="0" w:line="308" w:lineRule="auto"/>
        <w:rPr>
          <w:sz w:val="20"/>
          <w:szCs w:val="20"/>
          <w:color w:val="auto"/>
        </w:rPr>
      </w:pPr>
      <w:r>
        <w:rPr>
          <w:rFonts w:ascii="Arial" w:cs="Arial" w:eastAsia="Arial" w:hAnsi="Arial"/>
          <w:sz w:val="17"/>
          <w:szCs w:val="17"/>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49"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Management’s Report on Internal Control Over Financial Reporting, that Brady Corporation and subsidiaries (the “Company”) maintained effective internal control over financial reporting as of July 31,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31"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26" w:lineRule="exact"/>
        <w:rPr>
          <w:sz w:val="20"/>
          <w:szCs w:val="20"/>
          <w:color w:val="auto"/>
        </w:rPr>
      </w:pPr>
    </w:p>
    <w:p>
      <w:pPr>
        <w:ind w:right="20" w:firstLine="2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5" w:lineRule="exact"/>
        <w:rPr>
          <w:sz w:val="20"/>
          <w:szCs w:val="20"/>
          <w:color w:val="auto"/>
        </w:rPr>
      </w:pPr>
    </w:p>
    <w:p>
      <w:pPr>
        <w:ind w:right="200" w:firstLine="270"/>
        <w:spacing w:after="0" w:line="257"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July 31, 2005, is fairly stated, in all material respects,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July 31, 2005,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6" w:lineRule="exact"/>
        <w:rPr>
          <w:sz w:val="20"/>
          <w:szCs w:val="20"/>
          <w:color w:val="auto"/>
        </w:rPr>
      </w:pPr>
    </w:p>
    <w:p>
      <w:pPr>
        <w:ind w:right="20" w:firstLine="267"/>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July 31, 2005 of the Company and our report dated September 29, 2005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ELOITTE</w:t>
      </w:r>
      <w:r>
        <w:rPr>
          <w:rFonts w:ascii="Arial" w:cs="Arial" w:eastAsia="Arial" w:hAnsi="Arial"/>
          <w:sz w:val="18"/>
          <w:szCs w:val="18"/>
          <w:color w:val="auto"/>
        </w:rPr>
        <w:t xml:space="preserve"> &amp; T</w:t>
      </w:r>
      <w:r>
        <w:rPr>
          <w:rFonts w:ascii="Arial" w:cs="Arial" w:eastAsia="Arial" w:hAnsi="Arial"/>
          <w:sz w:val="12"/>
          <w:szCs w:val="12"/>
          <w:color w:val="auto"/>
        </w:rPr>
        <w:t>OUCHE</w:t>
      </w:r>
      <w:r>
        <w:rPr>
          <w:rFonts w:ascii="Arial" w:cs="Arial" w:eastAsia="Arial" w:hAnsi="Arial"/>
          <w:sz w:val="18"/>
          <w:szCs w:val="18"/>
          <w:color w:val="auto"/>
        </w:rPr>
        <w:t xml:space="preserv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29, 2005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PART III</w:t>
            </w:r>
          </w:p>
        </w:tc>
        <w:tc>
          <w:tcPr>
            <w:tcW w:w="490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220" w:type="dxa"/>
            <w:vAlign w:val="bottom"/>
          </w:tcPr>
          <w:p>
            <w:pPr>
              <w:spacing w:after="0"/>
              <w:rPr>
                <w:sz w:val="20"/>
                <w:szCs w:val="20"/>
                <w:color w:val="auto"/>
              </w:rPr>
            </w:pPr>
            <w:r>
              <w:rPr>
                <w:rFonts w:ascii="Arial" w:cs="Arial" w:eastAsia="Arial" w:hAnsi="Arial"/>
                <w:sz w:val="18"/>
                <w:szCs w:val="18"/>
                <w:b w:val="1"/>
                <w:bCs w:val="1"/>
                <w:i w:val="1"/>
                <w:iCs w:val="1"/>
                <w:color w:val="auto"/>
                <w:w w:val="98"/>
              </w:rPr>
              <w:t>Directors and Executive Officers of the Registrant</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4900" w:type="dxa"/>
            <w:vAlign w:val="bottom"/>
          </w:tcPr>
          <w:p>
            <w:pPr>
              <w:ind w:left="2300"/>
              <w:spacing w:after="0"/>
              <w:rPr>
                <w:sz w:val="20"/>
                <w:szCs w:val="20"/>
                <w:color w:val="auto"/>
              </w:rPr>
            </w:pPr>
            <w:r>
              <w:rPr>
                <w:rFonts w:ascii="Arial" w:cs="Arial" w:eastAsia="Arial" w:hAnsi="Arial"/>
                <w:sz w:val="14"/>
                <w:szCs w:val="14"/>
                <w:b w:val="1"/>
                <w:bCs w:val="1"/>
                <w:color w:val="auto"/>
              </w:rPr>
              <w:t>Title</w:t>
            </w:r>
          </w:p>
        </w:tc>
      </w:tr>
      <w:tr>
        <w:trPr>
          <w:trHeight w:val="209"/>
        </w:trPr>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Frank M. Jaehnert</w:t>
            </w:r>
          </w:p>
        </w:tc>
        <w:tc>
          <w:tcPr>
            <w:tcW w:w="3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CEO and 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David Mathieson</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51</w:t>
            </w:r>
          </w:p>
        </w:tc>
        <w:tc>
          <w:tcPr>
            <w:tcW w:w="4900" w:type="dxa"/>
            <w:vAlign w:val="bottom"/>
          </w:tcPr>
          <w:p>
            <w:pPr>
              <w:spacing w:after="0"/>
              <w:rPr>
                <w:sz w:val="20"/>
                <w:szCs w:val="20"/>
                <w:color w:val="auto"/>
              </w:rPr>
            </w:pPr>
            <w:r>
              <w:rPr>
                <w:rFonts w:ascii="Arial" w:cs="Arial" w:eastAsia="Arial" w:hAnsi="Arial"/>
                <w:sz w:val="18"/>
                <w:szCs w:val="18"/>
                <w:color w:val="auto"/>
              </w:rPr>
              <w:t>V.P., CFO</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David R. Hawke</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51</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Michael O. Oliver</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52</w:t>
            </w:r>
          </w:p>
        </w:tc>
        <w:tc>
          <w:tcPr>
            <w:tcW w:w="4900" w:type="dxa"/>
            <w:vAlign w:val="bottom"/>
          </w:tcPr>
          <w:p>
            <w:pPr>
              <w:spacing w:after="0"/>
              <w:rPr>
                <w:sz w:val="20"/>
                <w:szCs w:val="20"/>
                <w:color w:val="auto"/>
              </w:rPr>
            </w:pPr>
            <w:r>
              <w:rPr>
                <w:rFonts w:ascii="Arial" w:cs="Arial" w:eastAsia="Arial" w:hAnsi="Arial"/>
                <w:sz w:val="18"/>
                <w:szCs w:val="18"/>
                <w:color w:val="auto"/>
              </w:rPr>
              <w:t>Sr. V.P., Human Resources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Donald E. Rearic</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65</w:t>
            </w:r>
          </w:p>
        </w:tc>
        <w:tc>
          <w:tcPr>
            <w:tcW w:w="4900" w:type="dxa"/>
            <w:vAlign w:val="bottom"/>
          </w:tcPr>
          <w:p>
            <w:pPr>
              <w:spacing w:after="0"/>
              <w:rPr>
                <w:sz w:val="20"/>
                <w:szCs w:val="20"/>
                <w:color w:val="auto"/>
              </w:rPr>
            </w:pPr>
            <w:r>
              <w:rPr>
                <w:rFonts w:ascii="Arial" w:cs="Arial" w:eastAsia="Arial" w:hAnsi="Arial"/>
                <w:sz w:val="18"/>
                <w:szCs w:val="18"/>
                <w:color w:val="auto"/>
              </w:rPr>
              <w:t>Sr. V.P. — Finance, &amp; Assistant Secretary</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Barbara Bolens</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44</w:t>
            </w:r>
          </w:p>
        </w:tc>
        <w:tc>
          <w:tcPr>
            <w:tcW w:w="4900" w:type="dxa"/>
            <w:vAlign w:val="bottom"/>
          </w:tcPr>
          <w:p>
            <w:pPr>
              <w:spacing w:after="0"/>
              <w:rPr>
                <w:sz w:val="20"/>
                <w:szCs w:val="20"/>
                <w:color w:val="auto"/>
              </w:rPr>
            </w:pPr>
            <w:r>
              <w:rPr>
                <w:rFonts w:ascii="Arial" w:cs="Arial" w:eastAsia="Arial" w:hAnsi="Arial"/>
                <w:sz w:val="18"/>
                <w:szCs w:val="18"/>
                <w:color w:val="auto"/>
              </w:rPr>
              <w:t>V.P., Treasurer, Director of Investor Relations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Allan J. Klotsche</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4900" w:type="dxa"/>
            <w:vAlign w:val="bottom"/>
          </w:tcPr>
          <w:p>
            <w:pPr>
              <w:spacing w:after="0"/>
              <w:rPr>
                <w:sz w:val="20"/>
                <w:szCs w:val="20"/>
                <w:color w:val="auto"/>
              </w:rPr>
            </w:pPr>
            <w:r>
              <w:rPr>
                <w:rFonts w:ascii="Arial" w:cs="Arial" w:eastAsia="Arial" w:hAnsi="Arial"/>
                <w:sz w:val="18"/>
                <w:szCs w:val="18"/>
                <w:color w:val="auto"/>
              </w:rPr>
              <w:t>V.P. — Brady Asia-Pacific, Global Die Cut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Thomas J. Felmer</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43</w:t>
            </w:r>
          </w:p>
        </w:tc>
        <w:tc>
          <w:tcPr>
            <w:tcW w:w="4900" w:type="dxa"/>
            <w:vAlign w:val="bottom"/>
          </w:tcPr>
          <w:p>
            <w:pPr>
              <w:spacing w:after="0"/>
              <w:rPr>
                <w:sz w:val="20"/>
                <w:szCs w:val="20"/>
                <w:color w:val="auto"/>
              </w:rPr>
            </w:pPr>
            <w:r>
              <w:rPr>
                <w:rFonts w:ascii="Arial" w:cs="Arial" w:eastAsia="Arial" w:hAnsi="Arial"/>
                <w:sz w:val="18"/>
                <w:szCs w:val="18"/>
                <w:color w:val="auto"/>
              </w:rPr>
              <w:t>V.P. — Direct Marketing Americas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Peter C. Sephton</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46</w:t>
            </w:r>
          </w:p>
        </w:tc>
        <w:tc>
          <w:tcPr>
            <w:tcW w:w="4900" w:type="dxa"/>
            <w:vAlign w:val="bottom"/>
          </w:tcPr>
          <w:p>
            <w:pPr>
              <w:spacing w:after="0"/>
              <w:rPr>
                <w:sz w:val="20"/>
                <w:szCs w:val="20"/>
                <w:color w:val="auto"/>
              </w:rPr>
            </w:pPr>
            <w:r>
              <w:rPr>
                <w:rFonts w:ascii="Arial" w:cs="Arial" w:eastAsia="Arial" w:hAnsi="Arial"/>
                <w:sz w:val="18"/>
                <w:szCs w:val="18"/>
                <w:color w:val="auto"/>
              </w:rPr>
              <w:t>V.P. — Brady Europe</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Matt O. Williamson</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49</w:t>
            </w:r>
          </w:p>
        </w:tc>
        <w:tc>
          <w:tcPr>
            <w:tcW w:w="4900" w:type="dxa"/>
            <w:vAlign w:val="bottom"/>
          </w:tcPr>
          <w:p>
            <w:pPr>
              <w:spacing w:after="0"/>
              <w:rPr>
                <w:sz w:val="20"/>
                <w:szCs w:val="20"/>
                <w:color w:val="auto"/>
              </w:rPr>
            </w:pPr>
            <w:r>
              <w:rPr>
                <w:rFonts w:ascii="Arial" w:cs="Arial" w:eastAsia="Arial" w:hAnsi="Arial"/>
                <w:sz w:val="18"/>
                <w:szCs w:val="18"/>
                <w:color w:val="auto"/>
              </w:rPr>
              <w:t>V.P. — Brady Americas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61</w:t>
            </w:r>
          </w:p>
        </w:tc>
        <w:tc>
          <w:tcPr>
            <w:tcW w:w="4900" w:type="dxa"/>
            <w:vAlign w:val="bottom"/>
          </w:tcPr>
          <w:p>
            <w:pPr>
              <w:spacing w:after="0"/>
              <w:rPr>
                <w:sz w:val="20"/>
                <w:szCs w:val="20"/>
                <w:color w:val="auto"/>
              </w:rPr>
            </w:pPr>
            <w:r>
              <w:rPr>
                <w:rFonts w:ascii="Arial" w:cs="Arial" w:eastAsia="Arial" w:hAnsi="Arial"/>
                <w:sz w:val="18"/>
                <w:szCs w:val="18"/>
                <w:color w:val="auto"/>
              </w:rPr>
              <w:t>Secretary</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Elizabeth Pungello</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38</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Peter J. Lettenberger</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68</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Robert C. Buchanan</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65</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Roger D. Peirce</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68</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Richard A. Bemis</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64</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Dr. Frank W. Harris</w:t>
            </w: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63</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Gary E. Nei</w:t>
            </w:r>
          </w:p>
        </w:tc>
        <w:tc>
          <w:tcPr>
            <w:tcW w:w="422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61</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94"/>
              </w:rPr>
              <w:t>Mary K. Bush</w:t>
            </w:r>
          </w:p>
        </w:tc>
        <w:tc>
          <w:tcPr>
            <w:tcW w:w="4220" w:type="dxa"/>
            <w:vAlign w:val="bottom"/>
          </w:tcPr>
          <w:p>
            <w:pPr>
              <w:spacing w:after="0"/>
              <w:rPr>
                <w:sz w:val="18"/>
                <w:szCs w:val="18"/>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57</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4"/>
              </w:rPr>
              <w:t>Frank R. Jarc</w:t>
            </w:r>
          </w:p>
        </w:tc>
        <w:tc>
          <w:tcPr>
            <w:tcW w:w="4220" w:type="dxa"/>
            <w:vAlign w:val="bottom"/>
          </w:tcPr>
          <w:p>
            <w:pPr>
              <w:spacing w:after="0"/>
              <w:rPr>
                <w:sz w:val="20"/>
                <w:szCs w:val="20"/>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color w:val="auto"/>
              </w:rPr>
              <w:t>63</w:t>
            </w:r>
          </w:p>
        </w:tc>
        <w:tc>
          <w:tcPr>
            <w:tcW w:w="49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right="120" w:firstLine="270"/>
        <w:spacing w:after="0" w:line="257" w:lineRule="auto"/>
        <w:rPr>
          <w:sz w:val="20"/>
          <w:szCs w:val="20"/>
          <w:color w:val="auto"/>
        </w:rPr>
      </w:pPr>
      <w:r>
        <w:rPr>
          <w:rFonts w:ascii="Arial" w:cs="Arial" w:eastAsia="Arial" w:hAnsi="Arial"/>
          <w:sz w:val="18"/>
          <w:szCs w:val="18"/>
          <w:i w:val="1"/>
          <w:iCs w:val="1"/>
          <w:color w:val="auto"/>
        </w:rPr>
        <w:t xml:space="preserve">Frank M. Jaehnert </w:t>
      </w:r>
      <w:r>
        <w:rPr>
          <w:rFonts w:ascii="Arial" w:cs="Arial" w:eastAsia="Arial" w:hAnsi="Arial"/>
          <w:sz w:val="18"/>
          <w:szCs w:val="18"/>
          <w:color w:val="auto"/>
        </w:rPr>
        <w:t>— Mr. Jaehnert joined the Company in 1995 as Finance Director of the Identification Solutions &amp; Specialty Tapes Group.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Chief Financial Officer 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80"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i w:val="1"/>
          <w:iCs w:val="1"/>
          <w:color w:val="auto"/>
        </w:rPr>
        <w:t xml:space="preserve">David R. Hawke </w:t>
      </w:r>
      <w:r>
        <w:rPr>
          <w:rFonts w:ascii="Arial" w:cs="Arial" w:eastAsia="Arial" w:hAnsi="Arial"/>
          <w:sz w:val="16"/>
          <w:szCs w:val="16"/>
          <w:color w:val="auto"/>
        </w:rPr>
        <w:t>— Mr. Hawke joined the Company in 1979. He served as General Manager of the Industrial Products Division from 1985 to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1991 to February 1995, he served as Managing Director — European Operations. From February 1995 to August 2001, he served as Vice President, Graphics Group. He served as Vice President, Graphics and Workplace Solutions from August 2001 to January 2002. He served as Senior Vice President of the Company and President, Graphics and Workplace Solutions Group from January 2002 to April 2003. In April 2003, he was appointed to his present position.</w:t>
      </w:r>
    </w:p>
    <w:p>
      <w:pPr>
        <w:spacing w:after="0" w:line="46" w:lineRule="exact"/>
        <w:rPr>
          <w:sz w:val="20"/>
          <w:szCs w:val="20"/>
          <w:color w:val="auto"/>
        </w:rPr>
      </w:pPr>
    </w:p>
    <w:p>
      <w:pPr>
        <w:ind w:right="320" w:firstLine="270"/>
        <w:spacing w:after="0" w:line="276" w:lineRule="auto"/>
        <w:rPr>
          <w:sz w:val="20"/>
          <w:szCs w:val="20"/>
          <w:color w:val="auto"/>
        </w:rPr>
      </w:pPr>
      <w:r>
        <w:rPr>
          <w:rFonts w:ascii="Arial" w:cs="Arial" w:eastAsia="Arial" w:hAnsi="Arial"/>
          <w:sz w:val="17"/>
          <w:szCs w:val="17"/>
          <w:i w:val="1"/>
          <w:iCs w:val="1"/>
          <w:color w:val="auto"/>
        </w:rPr>
        <w:t xml:space="preserve">David Mathieson </w:t>
      </w:r>
      <w:r>
        <w:rPr>
          <w:rFonts w:ascii="Arial" w:cs="Arial" w:eastAsia="Arial" w:hAnsi="Arial"/>
          <w:sz w:val="17"/>
          <w:szCs w:val="17"/>
          <w:color w:val="auto"/>
        </w:rPr>
        <w:t>— Mr. Mathieson joined Brady in 2001 as European Finance Director, based in the U.K. In August 2003, he was appointed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Finance for North America, and named Vice President and Chief Financial Officer in December 2003. Prior to joining Brady, he was Vice President and Chief Financial Officer of Honeywell Europe, concluding a 20-year career with Honeywell International, Inc., which included positions in Belgium, Denmark, England and the United States. A native of Scotland, he is a Fellow of the Chartered Management Accountants Institute in the United Kingdom and studied for this qualification at Glasgow College of Commerce and Glasgow Caledonian University.</w:t>
      </w:r>
    </w:p>
    <w:p>
      <w:pPr>
        <w:spacing w:after="0" w:line="64"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i w:val="1"/>
          <w:iCs w:val="1"/>
          <w:color w:val="auto"/>
        </w:rPr>
        <w:t xml:space="preserve">Michael O. Oliver </w:t>
      </w:r>
      <w:r>
        <w:rPr>
          <w:rFonts w:ascii="Arial" w:cs="Arial" w:eastAsia="Arial" w:hAnsi="Arial"/>
          <w:sz w:val="18"/>
          <w:szCs w:val="18"/>
          <w:color w:val="auto"/>
        </w:rPr>
        <w:t>— Mr. Oliver joined the Company in February 1997 as Vice President — Human Resources. He was appointed to his present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2002. Before joining the Company, he held various human resource positions for Unilever from 1990 to 1997.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i w:val="1"/>
          <w:iCs w:val="1"/>
          <w:color w:val="auto"/>
        </w:rPr>
        <w:t xml:space="preserve">Donald E. Rearic </w:t>
      </w:r>
      <w:r>
        <w:rPr>
          <w:rFonts w:ascii="Arial" w:cs="Arial" w:eastAsia="Arial" w:hAnsi="Arial"/>
          <w:sz w:val="17"/>
          <w:szCs w:val="17"/>
          <w:color w:val="auto"/>
        </w:rPr>
        <w:t>— Mr. Rearic joined the Company in 1990. He served in a variety of treasury and finance roles until 2002, when he was appointed to</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 Finance. In 2004, he relinquished his position as Treasurer as part of a succession plan. Before joining Brady, he served as V.P., Treasurer and Assistant Secretary at CSC Industries, Inc., Warren, Ohio, the holding company for Copperweld Steel Company.</w:t>
      </w:r>
    </w:p>
    <w:p>
      <w:pPr>
        <w:spacing w:after="0" w:line="5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i w:val="1"/>
          <w:iCs w:val="1"/>
          <w:color w:val="auto"/>
        </w:rPr>
        <w:t xml:space="preserve">Barbara Bolens </w:t>
      </w:r>
      <w:r>
        <w:rPr>
          <w:rFonts w:ascii="Arial" w:cs="Arial" w:eastAsia="Arial" w:hAnsi="Arial"/>
          <w:sz w:val="18"/>
          <w:szCs w:val="18"/>
          <w:color w:val="auto"/>
        </w:rPr>
        <w:t>— Ms. Bolens joined the Company in 1986 and has held a wide variety of positions beginning in customer service and customer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progressing through product management and new product development. For the past 10 years, she has been the Assistant Treasurer and has held several other positions in the Corporate Finance Team throughout that time. She was appointed to her present position in November 2004. Ms. Bolens also holds the position of Director of Investor Relations.</w:t>
      </w:r>
    </w:p>
    <w:p>
      <w:pPr>
        <w:spacing w:after="0" w:line="79" w:lineRule="exact"/>
        <w:rPr>
          <w:sz w:val="20"/>
          <w:szCs w:val="20"/>
          <w:color w:val="auto"/>
        </w:rPr>
      </w:pPr>
    </w:p>
    <w:p>
      <w:pPr>
        <w:ind w:right="180" w:firstLine="270"/>
        <w:spacing w:after="0" w:line="308" w:lineRule="auto"/>
        <w:rPr>
          <w:sz w:val="20"/>
          <w:szCs w:val="20"/>
          <w:color w:val="auto"/>
        </w:rPr>
      </w:pPr>
      <w:r>
        <w:rPr>
          <w:rFonts w:ascii="Arial" w:cs="Arial" w:eastAsia="Arial" w:hAnsi="Arial"/>
          <w:sz w:val="17"/>
          <w:szCs w:val="17"/>
          <w:i w:val="1"/>
          <w:iCs w:val="1"/>
          <w:color w:val="auto"/>
        </w:rPr>
        <w:t xml:space="preserve">Allan J. Klotsche </w:t>
      </w:r>
      <w:r>
        <w:rPr>
          <w:rFonts w:ascii="Arial" w:cs="Arial" w:eastAsia="Arial" w:hAnsi="Arial"/>
          <w:sz w:val="17"/>
          <w:szCs w:val="17"/>
          <w:color w:val="auto"/>
        </w:rPr>
        <w:t>— Mr. Klotsche joined the Company in 1988. He served in a variety of sales, marketing, technical, and management roles until 1998,</w:t>
      </w:r>
      <w:r>
        <w:rPr>
          <w:rFonts w:ascii="Arial" w:cs="Arial" w:eastAsia="Arial" w:hAnsi="Arial"/>
          <w:sz w:val="17"/>
          <w:szCs w:val="17"/>
          <w:i w:val="1"/>
          <w:iCs w:val="1"/>
          <w:color w:val="auto"/>
        </w:rPr>
        <w:t xml:space="preserve"> </w:t>
      </w:r>
      <w:r>
        <w:rPr>
          <w:rFonts w:ascii="Arial" w:cs="Arial" w:eastAsia="Arial" w:hAnsi="Arial"/>
          <w:sz w:val="17"/>
          <w:szCs w:val="17"/>
          <w:color w:val="auto"/>
        </w:rPr>
        <w:t>when he was appointed V.P. and General Manager of the Precision Tapes Group. He was appointed to his current position in April 2003.</w:t>
      </w:r>
    </w:p>
    <w:p>
      <w:pPr>
        <w:spacing w:after="0" w:line="3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i w:val="1"/>
          <w:iCs w:val="1"/>
          <w:color w:val="auto"/>
        </w:rPr>
        <w:t xml:space="preserve">Peter C. Sephton </w:t>
      </w:r>
      <w:r>
        <w:rPr>
          <w:rFonts w:ascii="Arial" w:cs="Arial" w:eastAsia="Arial" w:hAnsi="Arial"/>
          <w:sz w:val="18"/>
          <w:szCs w:val="18"/>
          <w:color w:val="auto"/>
        </w:rPr>
        <w:t>— Mr. Sephton joined the Company in 1997 as Managing Director — Seton-U.K. From 2001 to 2003 he served as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for Brady’s Identification 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79"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i w:val="1"/>
          <w:iCs w:val="1"/>
          <w:color w:val="auto"/>
        </w:rPr>
        <w:t xml:space="preserve">Matthew O. Williamson </w:t>
      </w:r>
      <w:r>
        <w:rPr>
          <w:rFonts w:ascii="Arial" w:cs="Arial" w:eastAsia="Arial" w:hAnsi="Arial"/>
          <w:sz w:val="18"/>
          <w:szCs w:val="18"/>
          <w:color w:val="auto"/>
        </w:rPr>
        <w:t>— Mr. Williamson joined the Company in 1979. From 1979 to 1994 he served in a variety of sales and marketing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roles. In 1995, Mr. Williamson served as the V.P. and General Manager of the Specialty Tape (now Diecut) business.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to his current position.</w:t>
      </w:r>
    </w:p>
    <w:p>
      <w:pPr>
        <w:spacing w:after="0" w:line="80"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Thomas J. Felmer </w:t>
      </w:r>
      <w:r>
        <w:rPr>
          <w:rFonts w:ascii="Arial" w:cs="Arial" w:eastAsia="Arial" w:hAnsi="Arial"/>
          <w:sz w:val="18"/>
          <w:szCs w:val="18"/>
          <w:color w:val="auto"/>
        </w:rPr>
        <w:t>— Mr. Felmer joined Brady in 1989 and held several sales and marketing positions until being named vice president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Brady’s U.S. Signmark Division in 1994. In 1999 Mr. Felmer moved to Europe where he led the European Signmark business for two years, then gained additional responsibility for the combined European Seton and Signmark businesses, which he also held for two years. In 2003 Mr. Felmer returned to Milwaukee where he was responsible for Brady’s global sales and marketing processes, Brady Software businesses, and due diligence/integration of the EMED acquisition. In June 2004, he was appointed to his current position.</w:t>
      </w:r>
    </w:p>
    <w:p>
      <w:pPr>
        <w:spacing w:after="0" w:line="80" w:lineRule="exact"/>
        <w:rPr>
          <w:sz w:val="20"/>
          <w:szCs w:val="20"/>
          <w:color w:val="auto"/>
        </w:rPr>
      </w:pPr>
    </w:p>
    <w:p>
      <w:pPr>
        <w:ind w:right="140" w:firstLine="270"/>
        <w:spacing w:after="0" w:line="308" w:lineRule="auto"/>
        <w:rPr>
          <w:sz w:val="20"/>
          <w:szCs w:val="20"/>
          <w:color w:val="auto"/>
        </w:rPr>
      </w:pPr>
      <w:r>
        <w:rPr>
          <w:rFonts w:ascii="Arial" w:cs="Arial" w:eastAsia="Arial" w:hAnsi="Arial"/>
          <w:sz w:val="17"/>
          <w:szCs w:val="17"/>
          <w:i w:val="1"/>
          <w:iCs w:val="1"/>
          <w:color w:val="auto"/>
        </w:rPr>
        <w:t xml:space="preserve">Conrad G. Goodkind </w:t>
      </w:r>
      <w:r>
        <w:rPr>
          <w:rFonts w:ascii="Arial" w:cs="Arial" w:eastAsia="Arial" w:hAnsi="Arial"/>
          <w:sz w:val="17"/>
          <w:szCs w:val="17"/>
          <w:color w:val="auto"/>
        </w:rPr>
        <w:t>— Mr. Goodkind has served as Secretary of the Company since November 1999. He is a partner of Quarles &amp; Brady LLP,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to the Company. He joined Quarles &amp; Brady in 1979 and has been a member of its Executive Committee since 1983.</w:t>
      </w:r>
    </w:p>
    <w:p>
      <w:pPr>
        <w:spacing w:after="0" w:line="38"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i w:val="1"/>
          <w:iCs w:val="1"/>
          <w:color w:val="auto"/>
        </w:rPr>
        <w:t xml:space="preserve">Peter J. Lettenberger </w:t>
      </w:r>
      <w:r>
        <w:rPr>
          <w:rFonts w:ascii="Arial" w:cs="Arial" w:eastAsia="Arial" w:hAnsi="Arial"/>
          <w:sz w:val="18"/>
          <w:szCs w:val="18"/>
          <w:color w:val="auto"/>
        </w:rPr>
        <w:t>— Mr. Lettenberger has served as a Director of the Company since January 1977. Mr. Lettenberger is chair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Committee, and serves as a member of the Audit and Corporate Governance Committees. He retired as a partner of Quarles &amp; Brady LLP, general counsel to the Company, which he joined in 1964.</w:t>
      </w:r>
    </w:p>
    <w:p>
      <w:pPr>
        <w:spacing w:after="0" w:line="7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i w:val="1"/>
          <w:iCs w:val="1"/>
          <w:color w:val="auto"/>
        </w:rPr>
        <w:t xml:space="preserve">Robert C. Buchanan </w:t>
      </w:r>
      <w:r>
        <w:rPr>
          <w:rFonts w:ascii="Arial" w:cs="Arial" w:eastAsia="Arial" w:hAnsi="Arial"/>
          <w:sz w:val="18"/>
          <w:szCs w:val="18"/>
          <w:color w:val="auto"/>
        </w:rPr>
        <w:t>— Mr. Buchanan has been a Director of the Company since November 1987. Mr. Buchanan is a member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chairs its Corporate Governance Committee. Mr. Buchanan is Chairman of the Board and CEO of Fox Valley Corporation in Appleton, Wisconsin, having assumed that position in November 1980. He is also a trustee of The Northwestern Mutual Life Insurance Company, Milwaukee, Wisconsin.</w:t>
      </w:r>
    </w:p>
    <w:p>
      <w:pPr>
        <w:spacing w:after="0" w:line="79" w:lineRule="exact"/>
        <w:rPr>
          <w:sz w:val="20"/>
          <w:szCs w:val="20"/>
          <w:color w:val="auto"/>
        </w:rPr>
      </w:pPr>
    </w:p>
    <w:p>
      <w:pPr>
        <w:jc w:val="both"/>
        <w:ind w:right="120" w:firstLine="270"/>
        <w:spacing w:after="0" w:line="286" w:lineRule="auto"/>
        <w:rPr>
          <w:sz w:val="20"/>
          <w:szCs w:val="20"/>
          <w:color w:val="auto"/>
        </w:rPr>
      </w:pPr>
      <w:r>
        <w:rPr>
          <w:rFonts w:ascii="Arial" w:cs="Arial" w:eastAsia="Arial" w:hAnsi="Arial"/>
          <w:sz w:val="17"/>
          <w:szCs w:val="17"/>
          <w:i w:val="1"/>
          <w:iCs w:val="1"/>
          <w:color w:val="auto"/>
        </w:rPr>
        <w:t xml:space="preserve">Roger D. Peirce </w:t>
      </w:r>
      <w:r>
        <w:rPr>
          <w:rFonts w:ascii="Arial" w:cs="Arial" w:eastAsia="Arial" w:hAnsi="Arial"/>
          <w:sz w:val="17"/>
          <w:szCs w:val="17"/>
          <w:color w:val="auto"/>
        </w:rPr>
        <w:t>— Mr. Peirce has served as a Director of the Company since September 1988. Mr. Peirce is a member of the Compensation,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and Audit Committees of the Company, and chair of the Retirement Committee. Mr. Peirce is a private investor and consultant and is a director of Journal Communications, Inc. and Allete, Inc. He was the secretary/treasurer of The Jor-Mac Company,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Inc., a metal fabricator in Grafton, Wisconsin, from 1997 through 2002.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73"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i w:val="1"/>
          <w:iCs w:val="1"/>
          <w:color w:val="auto"/>
        </w:rPr>
        <w:t xml:space="preserve">Richard A. Bemis </w:t>
      </w:r>
      <w:r>
        <w:rPr>
          <w:rFonts w:ascii="Arial" w:cs="Arial" w:eastAsia="Arial" w:hAnsi="Arial"/>
          <w:sz w:val="18"/>
          <w:szCs w:val="18"/>
          <w:color w:val="auto"/>
        </w:rPr>
        <w:t>— Mr. Bemis has been a Director of the Company since January 1990 and is a member of its Compensation and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Mr. Bemis is President and CEO of Bemis Manufacturing Company, a manufacturer of molded plastic products in Sheboygan Falls, Wisconsin. He is also a director of the Wisconsin Public Service Corporation, Green Bay, Wisconsin.</w:t>
      </w:r>
    </w:p>
    <w:p>
      <w:pPr>
        <w:spacing w:after="0" w:line="73"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i w:val="1"/>
          <w:iCs w:val="1"/>
          <w:color w:val="auto"/>
        </w:rPr>
        <w:t xml:space="preserve">Frank W. Harris </w:t>
      </w:r>
      <w:r>
        <w:rPr>
          <w:rFonts w:ascii="Arial" w:cs="Arial" w:eastAsia="Arial" w:hAnsi="Arial"/>
          <w:sz w:val="17"/>
          <w:szCs w:val="17"/>
          <w:color w:val="auto"/>
        </w:rPr>
        <w:t>— Dr. Harris has been a Director of the Company since November 1991, a member of its Finance Committee, and chair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Committee. Dr. Harris is a Distinguished Professor and Director of the Maurice Morton Institute of Polymer Science and Biomedical Engineering at the University of Akron, and has been on its faculty since 1983. He is also President and CEO of Akron Polymer Systems.</w:t>
      </w:r>
    </w:p>
    <w:p>
      <w:pPr>
        <w:spacing w:after="0" w:line="5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i w:val="1"/>
          <w:iCs w:val="1"/>
          <w:color w:val="auto"/>
        </w:rPr>
        <w:t xml:space="preserve">Gary E. Nei </w:t>
      </w:r>
      <w:r>
        <w:rPr>
          <w:rFonts w:ascii="Arial" w:cs="Arial" w:eastAsia="Arial" w:hAnsi="Arial"/>
          <w:sz w:val="18"/>
          <w:szCs w:val="18"/>
          <w:color w:val="auto"/>
        </w:rPr>
        <w:t>— Mr. Nei has been a Director of the Company since November 1992. Mr. Nei is a member of the Company’s Finance Committee and Chair</w:t>
      </w:r>
      <w:r>
        <w:rPr>
          <w:rFonts w:ascii="Arial" w:cs="Arial" w:eastAsia="Arial" w:hAnsi="Arial"/>
          <w:sz w:val="18"/>
          <w:szCs w:val="18"/>
          <w:i w:val="1"/>
          <w:iCs w:val="1"/>
          <w:color w:val="auto"/>
        </w:rPr>
        <w:t xml:space="preserve"> </w:t>
      </w:r>
      <w:r>
        <w:rPr>
          <w:rFonts w:ascii="Arial" w:cs="Arial" w:eastAsia="Arial" w:hAnsi="Arial"/>
          <w:sz w:val="18"/>
          <w:szCs w:val="18"/>
          <w:color w:val="auto"/>
        </w:rPr>
        <w:t>of its Compensation Committee. Mr. Nei is Chairman of Nei-Turner Media, a publishing company in Walworth, Wisconsin. He also serves as Chairman of the Beverage Testing Institute, a publishing company in Chicago, Illinois and Chairman of Tastings Imports, an importer of fine wines headquartered in Chicago, Illinois.</w:t>
      </w:r>
    </w:p>
    <w:p>
      <w:pPr>
        <w:spacing w:after="0" w:line="79"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i w:val="1"/>
          <w:iCs w:val="1"/>
          <w:color w:val="auto"/>
        </w:rPr>
        <w:t xml:space="preserve">Mary K. Bush </w:t>
      </w:r>
      <w:r>
        <w:rPr>
          <w:rFonts w:ascii="Arial" w:cs="Arial" w:eastAsia="Arial" w:hAnsi="Arial"/>
          <w:sz w:val="18"/>
          <w:szCs w:val="18"/>
          <w:color w:val="auto"/>
        </w:rPr>
        <w:t>— Ms. Bush has been a Director of the Company since May 2000. Ms. Bush is a member of the Company’s Finance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Ms. Bush has been President of Bush International, LLC, a Washington D.C. firm that advises foreign governments and U.S. companies on international financial markets. Prior to establishing Bush International, Ms. Bush held several positions in financial institutions and has served three Presidents of the United States as Alternate Director of the International Monetary Fund, Managing Director of the Federal Housing Finance Board, a member of the Board of Sally Mae, and a member of the HELP Commission. Ms. Bush also is a member of the boards of directors of Mortgage Guaranty Insurance Corporation and Briggs &amp; Stratton Corporation, a trustee of the Pioneer Funds and a member of the Advisory Boards of Washington Mutual Investors Fund and Stern Stewart.</w:t>
      </w:r>
    </w:p>
    <w:p>
      <w:pPr>
        <w:spacing w:after="0" w:line="81" w:lineRule="exact"/>
        <w:rPr>
          <w:sz w:val="20"/>
          <w:szCs w:val="20"/>
          <w:color w:val="auto"/>
        </w:rPr>
      </w:pPr>
    </w:p>
    <w:p>
      <w:pPr>
        <w:ind w:right="320" w:firstLine="270"/>
        <w:spacing w:after="0" w:line="276" w:lineRule="auto"/>
        <w:rPr>
          <w:sz w:val="20"/>
          <w:szCs w:val="20"/>
          <w:color w:val="auto"/>
        </w:rPr>
      </w:pPr>
      <w:r>
        <w:rPr>
          <w:rFonts w:ascii="Arial" w:cs="Arial" w:eastAsia="Arial" w:hAnsi="Arial"/>
          <w:sz w:val="17"/>
          <w:szCs w:val="17"/>
          <w:i w:val="1"/>
          <w:iCs w:val="1"/>
          <w:color w:val="auto"/>
        </w:rPr>
        <w:t xml:space="preserve">Frank R. Jarc </w:t>
      </w:r>
      <w:r>
        <w:rPr>
          <w:rFonts w:ascii="Arial" w:cs="Arial" w:eastAsia="Arial" w:hAnsi="Arial"/>
          <w:sz w:val="17"/>
          <w:szCs w:val="17"/>
          <w:color w:val="auto"/>
        </w:rPr>
        <w:t>— Mr. Jarc was elected to the Board of Directors in May 2000. Mr. Jarc is a consultant specializing in corporate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acquisitions. From April 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 He is chair of Brady’s Audit Committee and serves on the Technology Committee.</w:t>
      </w:r>
    </w:p>
    <w:p>
      <w:pPr>
        <w:spacing w:after="0" w:line="64"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i w:val="1"/>
          <w:iCs w:val="1"/>
          <w:color w:val="auto"/>
        </w:rPr>
        <w:t xml:space="preserve">Elizabeth Pungello </w:t>
      </w:r>
      <w:r>
        <w:rPr>
          <w:rFonts w:ascii="Arial" w:cs="Arial" w:eastAsia="Arial" w:hAnsi="Arial"/>
          <w:sz w:val="18"/>
          <w:szCs w:val="18"/>
          <w:color w:val="auto"/>
        </w:rPr>
        <w:t>— Dr. Pungello is the great-granddaughter of Brady founder William H. Brady, Sr., and a developmental psychologist at the Frank</w:t>
      </w:r>
      <w:r>
        <w:rPr>
          <w:rFonts w:ascii="Arial" w:cs="Arial" w:eastAsia="Arial" w:hAnsi="Arial"/>
          <w:sz w:val="18"/>
          <w:szCs w:val="18"/>
          <w:i w:val="1"/>
          <w:iCs w:val="1"/>
          <w:color w:val="auto"/>
        </w:rPr>
        <w:t xml:space="preserve"> </w:t>
      </w:r>
      <w:r>
        <w:rPr>
          <w:rFonts w:ascii="Arial" w:cs="Arial" w:eastAsia="Arial" w:hAnsi="Arial"/>
          <w:sz w:val="18"/>
          <w:szCs w:val="18"/>
          <w:color w:val="auto"/>
        </w:rPr>
        <w:t>Porter Graham Child Development Institute at the University of North Carolina at Chapel Hill. She was elected to the Board of Directors in November 2003. She is a member of the Company’s Finance, Governance and Technology Committees. She has served as president of the Brady Education Foundation (formerly the W.H. Brady Foundation) since January 2001.</w:t>
      </w:r>
    </w:p>
    <w:p>
      <w:pPr>
        <w:spacing w:after="0" w:line="79" w:lineRule="exact"/>
        <w:rPr>
          <w:sz w:val="20"/>
          <w:szCs w:val="20"/>
          <w:color w:val="auto"/>
        </w:rPr>
      </w:pPr>
    </w:p>
    <w:p>
      <w:pPr>
        <w:ind w:right="140" w:firstLine="260"/>
        <w:spacing w:after="0" w:line="308" w:lineRule="auto"/>
        <w:rPr>
          <w:sz w:val="20"/>
          <w:szCs w:val="20"/>
          <w:color w:val="auto"/>
        </w:rPr>
      </w:pPr>
      <w:r>
        <w:rPr>
          <w:rFonts w:ascii="Arial" w:cs="Arial" w:eastAsia="Arial" w:hAnsi="Arial"/>
          <w:sz w:val="17"/>
          <w:szCs w:val="17"/>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38"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 financial expert is serving on its</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Mr. Jarc, chair of the audit committee is a financial expert and is independent as that term is used in Item 7(d)(3)(iv) of Schedule 14A under the Exchange Act.</w:t>
      </w:r>
    </w:p>
    <w:p>
      <w:pPr>
        <w:spacing w:after="0" w:line="73"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i w:val="1"/>
          <w:iCs w:val="1"/>
          <w:color w:val="auto"/>
        </w:rPr>
        <w:t xml:space="preserve">Director Independence </w:t>
      </w:r>
      <w:r>
        <w:rPr>
          <w:rFonts w:ascii="Arial" w:cs="Arial" w:eastAsia="Arial" w:hAnsi="Arial"/>
          <w:sz w:val="18"/>
          <w:szCs w:val="18"/>
          <w:color w:val="auto"/>
        </w:rPr>
        <w:t>— A majority of the directors must meet the criteria for independence established by the Board in accordance with the rules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Stock Exchange. In determining the independence of a director, the Board must find that a director has no relationship that may interfere with the exercise of his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her independence from management and the Company. Based on these guidelines all directors, with the exception of Frank Jaehnert, President and CEO, and Elizabeth Pungello, 50% beneficial owner of the Class B Voting Common Stock, are deemed independent.</w:t>
      </w:r>
    </w:p>
    <w:p>
      <w:pPr>
        <w:spacing w:after="0" w:line="62"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i w:val="1"/>
          <w:iCs w:val="1"/>
          <w:color w:val="auto"/>
        </w:rPr>
        <w:t xml:space="preserve">Meetings of Non-management Directors </w:t>
      </w:r>
      <w:r>
        <w:rPr>
          <w:rFonts w:ascii="Arial" w:cs="Arial" w:eastAsia="Arial" w:hAnsi="Arial"/>
          <w:sz w:val="16"/>
          <w:szCs w:val="16"/>
          <w:color w:val="auto"/>
        </w:rPr>
        <w:t>— The non-management directors of the Board regularly meet alone without any members of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Mr. Buchanan, Chairman of the Corporate Governance Committee, is the presiding director at these sessions. In fiscal 2005 there were five executive sessions. Interested parties can raise concerns to be addressed at these meetings by calling the confidential Brady hotline at 1-800-368-3613.</w:t>
      </w:r>
    </w:p>
    <w:p>
      <w:pPr>
        <w:spacing w:after="0" w:line="39" w:lineRule="exact"/>
        <w:rPr>
          <w:sz w:val="20"/>
          <w:szCs w:val="20"/>
          <w:color w:val="auto"/>
        </w:rPr>
      </w:pPr>
    </w:p>
    <w:p>
      <w:pPr>
        <w:ind w:right="160" w:firstLine="270"/>
        <w:spacing w:after="0" w:line="286" w:lineRule="auto"/>
        <w:rPr>
          <w:sz w:val="20"/>
          <w:szCs w:val="20"/>
          <w:color w:val="auto"/>
        </w:rPr>
      </w:pPr>
      <w:r>
        <w:rPr>
          <w:rFonts w:ascii="Arial" w:cs="Arial" w:eastAsia="Arial" w:hAnsi="Arial"/>
          <w:sz w:val="17"/>
          <w:szCs w:val="17"/>
          <w:i w:val="1"/>
          <w:iCs w:val="1"/>
          <w:color w:val="auto"/>
        </w:rPr>
        <w:t xml:space="preserve">Audit Committee Members </w:t>
      </w:r>
      <w:r>
        <w:rPr>
          <w:rFonts w:ascii="Arial" w:cs="Arial" w:eastAsia="Arial" w:hAnsi="Arial"/>
          <w:sz w:val="17"/>
          <w:szCs w:val="17"/>
          <w:color w:val="auto"/>
        </w:rPr>
        <w:t>— The Audit Committee, which is a separately-designated standing committee of the Board of Directors, is composed of</w:t>
      </w:r>
      <w:r>
        <w:rPr>
          <w:rFonts w:ascii="Arial" w:cs="Arial" w:eastAsia="Arial" w:hAnsi="Arial"/>
          <w:sz w:val="17"/>
          <w:szCs w:val="17"/>
          <w:i w:val="1"/>
          <w:iCs w:val="1"/>
          <w:color w:val="auto"/>
        </w:rPr>
        <w:t xml:space="preserve"> </w:t>
      </w:r>
      <w:r>
        <w:rPr>
          <w:rFonts w:ascii="Arial" w:cs="Arial" w:eastAsia="Arial" w:hAnsi="Arial"/>
          <w:sz w:val="17"/>
          <w:szCs w:val="17"/>
          <w:color w:val="auto"/>
        </w:rPr>
        <w:t>Mr. Jarc (Chairman), Mr. Lettenberger and Mr. Peirce. Each member of the Audit Committee has been determined by the Board to be independent under the rules of the SEC and NYSE. The charter for the Audit Committee is available on the Company’s corporate website at www.bradycorp.com.</w:t>
      </w:r>
    </w:p>
    <w:p>
      <w:pPr>
        <w:spacing w:after="0" w:line="57"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 For a number of years, the Company has had a code of ethics for its employees. This code of ethics applies to all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officers and Directors. The code of ethics can be viewed at the Company’s corporate website, www.bradycorp.com, or may be obtained in print by any shareholder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80"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 Committee,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Compensation Committee, are available on the Company’s Corporate website, www.bradycorp.com. Shareholders may request printed copies of these documents from Brady Corporation, Investor Relations, P.O. Box 571, Milwaukee, WI 53201.</w:t>
      </w:r>
    </w:p>
    <w:p>
      <w:pPr>
        <w:spacing w:after="0" w:line="73" w:lineRule="exact"/>
        <w:rPr>
          <w:sz w:val="20"/>
          <w:szCs w:val="20"/>
          <w:color w:val="auto"/>
        </w:rPr>
      </w:pPr>
    </w:p>
    <w:p>
      <w:pPr>
        <w:jc w:val="both"/>
        <w:ind w:right="200" w:firstLine="270"/>
        <w:spacing w:after="0" w:line="312" w:lineRule="auto"/>
        <w:rPr>
          <w:sz w:val="20"/>
          <w:szCs w:val="20"/>
          <w:color w:val="auto"/>
        </w:rPr>
      </w:pPr>
      <w:r>
        <w:rPr>
          <w:rFonts w:ascii="Arial" w:cs="Arial" w:eastAsia="Arial" w:hAnsi="Arial"/>
          <w:sz w:val="16"/>
          <w:szCs w:val="16"/>
          <w:i w:val="1"/>
          <w:iCs w:val="1"/>
          <w:color w:val="auto"/>
        </w:rPr>
        <w:t xml:space="preserve">Certifications </w:t>
      </w:r>
      <w:r>
        <w:rPr>
          <w:rFonts w:ascii="Arial" w:cs="Arial" w:eastAsia="Arial" w:hAnsi="Arial"/>
          <w:sz w:val="16"/>
          <w:szCs w:val="16"/>
          <w:color w:val="auto"/>
        </w:rPr>
        <w:t>— We have attached the required certifications under Section 302 of the Sarbanes-Oxley Act of 2002 regarding the quality of our public</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as Exhibits 31.1 and 31.2 to this report. Additionally, on November 23, 2004, the Company filed with the New York Stock Exchange (“NYSE”) an annual certification regarding our compliance with the NYSE’s corporate governance listing standards as required by NYSE Rule 303A.12(a).</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79" w:lineRule="exact"/>
        <w:rPr>
          <w:sz w:val="20"/>
          <w:szCs w:val="20"/>
          <w:color w:val="auto"/>
        </w:rPr>
      </w:pPr>
    </w:p>
    <w:p>
      <w:pPr>
        <w:ind w:right="180" w:firstLine="267"/>
        <w:spacing w:after="0" w:line="264"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2005, all Section 16(a) filing requirements applicable to its officers, directors and greater than 10 percent beneficial owners were complied with, except with respect to the following:</w:t>
      </w:r>
    </w:p>
    <w:p>
      <w:pPr>
        <w:spacing w:after="0" w:line="73" w:lineRule="exact"/>
        <w:rPr>
          <w:sz w:val="20"/>
          <w:szCs w:val="20"/>
          <w:color w:val="auto"/>
        </w:rPr>
      </w:pPr>
    </w:p>
    <w:p>
      <w:pPr>
        <w:ind w:left="700" w:right="20" w:hanging="341"/>
        <w:spacing w:after="0" w:line="264"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December 13, 2004, Ms. Bolens was granted the right and option to purchase 1,000 shares of the presently authorized Class A Common Stock of the Corporation, $.01 par value, at the price of $30.90 per share, as adjusted for the two-for-one stock split in the form of a 100% stock dividend, effective December 31, 2004. This transaction was reported on a Form 4 filed December 22, 2004.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hanging="341"/>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March 2005, a trust of which Elizabeth Pungello is the beneficiary sold 124,200 shares of Class A Common Stock. The individual stock prices and dates are shown in the table below. These transactions were reported on a Form 4 filed March 30, 2005.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Sale</w:t>
            </w:r>
          </w:p>
        </w:tc>
        <w:tc>
          <w:tcPr>
            <w:tcW w:w="340" w:type="dxa"/>
            <w:vAlign w:val="bottom"/>
          </w:tcPr>
          <w:p>
            <w:pPr>
              <w:spacing w:after="0"/>
              <w:rPr>
                <w:sz w:val="14"/>
                <w:szCs w:val="14"/>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 Price</w:t>
            </w:r>
          </w:p>
        </w:tc>
        <w:tc>
          <w:tcPr>
            <w:tcW w:w="0" w:type="dxa"/>
            <w:vAlign w:val="bottom"/>
          </w:tcPr>
          <w:p>
            <w:pPr>
              <w:spacing w:after="0"/>
              <w:rPr>
                <w:sz w:val="1"/>
                <w:szCs w:val="1"/>
                <w:color w:val="auto"/>
              </w:rPr>
            </w:pPr>
          </w:p>
        </w:tc>
      </w:tr>
      <w:tr>
        <w:trPr>
          <w:trHeight w:val="178"/>
        </w:trPr>
        <w:tc>
          <w:tcPr>
            <w:tcW w:w="6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21, 2005</w:t>
            </w:r>
          </w:p>
        </w:tc>
        <w:tc>
          <w:tcPr>
            <w:tcW w:w="34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32.4317</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March 22, 2005</w:t>
            </w:r>
          </w:p>
        </w:tc>
        <w:tc>
          <w:tcPr>
            <w:tcW w:w="2880" w:type="dxa"/>
            <w:vAlign w:val="bottom"/>
            <w:gridSpan w:val="3"/>
          </w:tcPr>
          <w:p>
            <w:pPr>
              <w:jc w:val="right"/>
              <w:ind w:right="1160"/>
              <w:spacing w:after="0"/>
              <w:rPr>
                <w:sz w:val="20"/>
                <w:szCs w:val="20"/>
                <w:color w:val="auto"/>
              </w:rPr>
            </w:pPr>
            <w:r>
              <w:rPr>
                <w:rFonts w:ascii="Arial" w:cs="Arial" w:eastAsia="Arial" w:hAnsi="Arial"/>
                <w:sz w:val="18"/>
                <w:szCs w:val="18"/>
                <w:color w:val="auto"/>
              </w:rPr>
              <w:t>10,200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March 18, 2005</w:t>
            </w:r>
          </w:p>
        </w:tc>
        <w:tc>
          <w:tcPr>
            <w:tcW w:w="28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10,500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March 17, 2005</w:t>
            </w:r>
          </w:p>
        </w:tc>
        <w:tc>
          <w:tcPr>
            <w:tcW w:w="2880" w:type="dxa"/>
            <w:vAlign w:val="bottom"/>
            <w:gridSpan w:val="3"/>
          </w:tcPr>
          <w:p>
            <w:pPr>
              <w:jc w:val="right"/>
              <w:ind w:right="1160"/>
              <w:spacing w:after="0"/>
              <w:rPr>
                <w:sz w:val="20"/>
                <w:szCs w:val="20"/>
                <w:color w:val="auto"/>
              </w:rPr>
            </w:pPr>
            <w:r>
              <w:rPr>
                <w:rFonts w:ascii="Arial" w:cs="Arial" w:eastAsia="Arial" w:hAnsi="Arial"/>
                <w:sz w:val="18"/>
                <w:szCs w:val="18"/>
                <w:color w:val="auto"/>
              </w:rPr>
              <w:t>21,900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March 16, 2005</w:t>
            </w:r>
          </w:p>
        </w:tc>
        <w:tc>
          <w:tcPr>
            <w:tcW w:w="28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March 15, 2005</w:t>
            </w:r>
          </w:p>
        </w:tc>
        <w:tc>
          <w:tcPr>
            <w:tcW w:w="2880" w:type="dxa"/>
            <w:vAlign w:val="bottom"/>
            <w:gridSpan w:val="3"/>
          </w:tcPr>
          <w:p>
            <w:pPr>
              <w:jc w:val="right"/>
              <w:ind w:right="1160"/>
              <w:spacing w:after="0"/>
              <w:rPr>
                <w:sz w:val="20"/>
                <w:szCs w:val="20"/>
                <w:color w:val="auto"/>
              </w:rPr>
            </w:pPr>
            <w:r>
              <w:rPr>
                <w:rFonts w:ascii="Arial" w:cs="Arial" w:eastAsia="Arial" w:hAnsi="Arial"/>
                <w:sz w:val="18"/>
                <w:szCs w:val="18"/>
                <w:color w:val="auto"/>
              </w:rPr>
              <w:t>13,600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March 14, 2005</w:t>
            </w:r>
          </w:p>
        </w:tc>
        <w:tc>
          <w:tcPr>
            <w:tcW w:w="28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15,300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March 11, 2005</w:t>
            </w:r>
          </w:p>
        </w:tc>
        <w:tc>
          <w:tcPr>
            <w:tcW w:w="2880" w:type="dxa"/>
            <w:vAlign w:val="bottom"/>
            <w:gridSpan w:val="3"/>
          </w:tcPr>
          <w:p>
            <w:pPr>
              <w:jc w:val="right"/>
              <w:ind w:right="1160"/>
              <w:spacing w:after="0"/>
              <w:rPr>
                <w:sz w:val="20"/>
                <w:szCs w:val="20"/>
                <w:color w:val="auto"/>
              </w:rPr>
            </w:pPr>
            <w:r>
              <w:rPr>
                <w:rFonts w:ascii="Arial" w:cs="Arial" w:eastAsia="Arial" w:hAnsi="Arial"/>
                <w:sz w:val="18"/>
                <w:szCs w:val="18"/>
                <w:color w:val="auto"/>
              </w:rPr>
              <w:t>11,000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33.7194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March 10, 2005</w:t>
            </w:r>
          </w:p>
        </w:tc>
        <w:tc>
          <w:tcPr>
            <w:tcW w:w="288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11,200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33.9012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180" w:hanging="341"/>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December 29, 2004, Mr. Sephton acquired 200 shares of Class A Common Stock of the Corporation for $30.36 per share. This transaction was reported on a Form 4 filed September 22, 2005.</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80" w:firstLine="267"/>
        <w:spacing w:after="0" w:line="277" w:lineRule="auto"/>
        <w:rPr>
          <w:sz w:val="20"/>
          <w:szCs w:val="20"/>
          <w:color w:val="auto"/>
        </w:rPr>
      </w:pPr>
      <w:r>
        <w:rPr>
          <w:rFonts w:ascii="Arial" w:cs="Arial" w:eastAsia="Arial" w:hAnsi="Arial"/>
          <w:sz w:val="18"/>
          <w:szCs w:val="18"/>
          <w:color w:val="auto"/>
        </w:rPr>
        <w:t>The following table summarizes the compensation paid or accrued by the Company during the three years ended July 31, 2005, to those persons who, as of the end of fiscal 2005, were the Named Executive Officers.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20" w:type="dxa"/>
            <w:vAlign w:val="bottom"/>
            <w:gridSpan w:val="4"/>
          </w:tcPr>
          <w:p>
            <w:pPr>
              <w:jc w:val="right"/>
              <w:ind w:right="537"/>
              <w:spacing w:after="0"/>
              <w:rPr>
                <w:sz w:val="20"/>
                <w:szCs w:val="20"/>
                <w:color w:val="auto"/>
              </w:rPr>
            </w:pPr>
            <w:r>
              <w:rPr>
                <w:rFonts w:ascii="Arial" w:cs="Arial" w:eastAsia="Arial" w:hAnsi="Arial"/>
                <w:sz w:val="13"/>
                <w:szCs w:val="13"/>
                <w:b w:val="1"/>
                <w:bCs w:val="1"/>
                <w:color w:val="auto"/>
              </w:rPr>
              <w:t>Long-Term Compensation</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Annual Compensation</w:t>
            </w:r>
          </w:p>
        </w:tc>
        <w:tc>
          <w:tcPr>
            <w:tcW w:w="4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1037"/>
              <w:spacing w:after="0"/>
              <w:rPr>
                <w:sz w:val="20"/>
                <w:szCs w:val="20"/>
                <w:color w:val="auto"/>
              </w:rPr>
            </w:pPr>
            <w:r>
              <w:rPr>
                <w:rFonts w:ascii="Arial" w:cs="Arial" w:eastAsia="Arial" w:hAnsi="Arial"/>
                <w:sz w:val="13"/>
                <w:szCs w:val="13"/>
                <w:b w:val="1"/>
                <w:bCs w:val="1"/>
                <w:color w:val="auto"/>
              </w:rPr>
              <w:t>Awards</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Other</w:t>
            </w:r>
          </w:p>
        </w:tc>
        <w:tc>
          <w:tcPr>
            <w:tcW w:w="360" w:type="dxa"/>
            <w:vAlign w:val="bottom"/>
          </w:tcPr>
          <w:p>
            <w:pPr>
              <w:spacing w:after="0"/>
              <w:rPr>
                <w:sz w:val="10"/>
                <w:szCs w:val="10"/>
                <w:color w:val="auto"/>
              </w:rPr>
            </w:pPr>
          </w:p>
        </w:tc>
        <w:tc>
          <w:tcPr>
            <w:tcW w:w="98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88"/>
              </w:rPr>
              <w:t>Restricted</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Annual</w:t>
            </w: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All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6"/>
              </w:rPr>
              <w:t>Fiscal</w:t>
            </w:r>
          </w:p>
        </w:tc>
        <w:tc>
          <w:tcPr>
            <w:tcW w:w="7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Salary</w:t>
            </w:r>
          </w:p>
        </w:tc>
        <w:tc>
          <w:tcPr>
            <w:tcW w:w="380" w:type="dxa"/>
            <w:vAlign w:val="bottom"/>
          </w:tcPr>
          <w:p>
            <w:pPr>
              <w:spacing w:after="0"/>
              <w:rPr>
                <w:sz w:val="11"/>
                <w:szCs w:val="11"/>
                <w:color w:val="auto"/>
              </w:rPr>
            </w:pPr>
          </w:p>
        </w:tc>
        <w:tc>
          <w:tcPr>
            <w:tcW w:w="11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Bonus</w:t>
            </w:r>
          </w:p>
        </w:tc>
        <w:tc>
          <w:tcPr>
            <w:tcW w:w="8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Comp</w:t>
            </w: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Awards</w:t>
            </w:r>
          </w:p>
        </w:tc>
        <w:tc>
          <w:tcPr>
            <w:tcW w:w="380" w:type="dxa"/>
            <w:vAlign w:val="bottom"/>
          </w:tcPr>
          <w:p>
            <w:pPr>
              <w:spacing w:after="0"/>
              <w:rPr>
                <w:sz w:val="11"/>
                <w:szCs w:val="11"/>
                <w:color w:val="auto"/>
              </w:rPr>
            </w:pP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Options/SAR</w:t>
            </w:r>
          </w:p>
        </w:tc>
        <w:tc>
          <w:tcPr>
            <w:tcW w:w="68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Comp</w:t>
            </w:r>
          </w:p>
        </w:tc>
        <w:tc>
          <w:tcPr>
            <w:tcW w:w="0" w:type="dxa"/>
            <w:vAlign w:val="bottom"/>
          </w:tcPr>
          <w:p>
            <w:pPr>
              <w:spacing w:after="0"/>
              <w:rPr>
                <w:sz w:val="1"/>
                <w:szCs w:val="1"/>
                <w:color w:val="auto"/>
              </w:rPr>
            </w:pPr>
          </w:p>
        </w:tc>
      </w:tr>
      <w:tr>
        <w:trPr>
          <w:trHeight w:val="153"/>
        </w:trPr>
        <w:tc>
          <w:tcPr>
            <w:tcW w:w="2980" w:type="dxa"/>
            <w:vAlign w:val="bottom"/>
            <w:gridSpan w:val="3"/>
          </w:tcPr>
          <w:p>
            <w:pPr>
              <w:spacing w:after="0"/>
              <w:rPr>
                <w:sz w:val="20"/>
                <w:szCs w:val="20"/>
                <w:color w:val="auto"/>
              </w:rPr>
            </w:pPr>
            <w:r>
              <w:rPr>
                <w:rFonts w:ascii="Arial" w:cs="Arial" w:eastAsia="Arial" w:hAnsi="Arial"/>
                <w:sz w:val="13"/>
                <w:szCs w:val="13"/>
                <w:b w:val="1"/>
                <w:bCs w:val="1"/>
                <w:color w:val="auto"/>
              </w:rPr>
              <w:t>Name And Principal Position</w:t>
            </w:r>
          </w:p>
        </w:tc>
        <w:tc>
          <w:tcPr>
            <w:tcW w:w="24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Year</w:t>
            </w:r>
          </w:p>
        </w:tc>
        <w:tc>
          <w:tcPr>
            <w:tcW w:w="68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($)(1)</w:t>
            </w:r>
          </w:p>
        </w:tc>
        <w:tc>
          <w:tcPr>
            <w:tcW w:w="4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3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($)(4)</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137"/>
              <w:spacing w:after="0"/>
              <w:rPr>
                <w:sz w:val="20"/>
                <w:szCs w:val="20"/>
                <w:color w:val="auto"/>
              </w:rPr>
            </w:pPr>
            <w:r>
              <w:rPr>
                <w:rFonts w:ascii="Arial" w:cs="Arial" w:eastAsia="Arial" w:hAnsi="Arial"/>
                <w:sz w:val="13"/>
                <w:szCs w:val="13"/>
                <w:b w:val="1"/>
                <w:bCs w:val="1"/>
                <w:color w:val="auto"/>
              </w:rPr>
              <w:t>(# Of Shares)(5)</w:t>
            </w:r>
          </w:p>
        </w:tc>
        <w:tc>
          <w:tcPr>
            <w:tcW w:w="1520" w:type="dxa"/>
            <w:vAlign w:val="bottom"/>
            <w:gridSpan w:val="2"/>
          </w:tcPr>
          <w:p>
            <w:pPr>
              <w:jc w:val="center"/>
              <w:ind w:left="600"/>
              <w:spacing w:after="0"/>
              <w:rPr>
                <w:sz w:val="20"/>
                <w:szCs w:val="20"/>
                <w:color w:val="auto"/>
              </w:rPr>
            </w:pPr>
            <w:r>
              <w:rPr>
                <w:rFonts w:ascii="Arial" w:cs="Arial" w:eastAsia="Arial" w:hAnsi="Arial"/>
                <w:sz w:val="13"/>
                <w:szCs w:val="13"/>
                <w:b w:val="1"/>
                <w:bCs w:val="1"/>
                <w:color w:val="auto"/>
                <w:w w:val="87"/>
              </w:rPr>
              <w:t>($)(3)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F.M. Jaehnert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493,269</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734,902</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107,632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President &amp;</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468,270</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796,800</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72,000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37,529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345,769</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32,371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D.R. Hawke</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362,304</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363,714</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65,080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Executive Vice President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350,000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317,100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31,759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315,673</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83,170</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334,700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28,744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P.C. Sephton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290,714</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281,633</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49,584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Vice President — Brady Europe</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257,279</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240,330</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44,000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41,165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204,212</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31,536</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31,645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D. Mathieson</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2005</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244,616</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248,285</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60,000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33,712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&amp; Chief Financial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200,277</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178,148</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85,390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Officer</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196,736</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24,843</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37,131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 O. Williamson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2005</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237,308</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237,545</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6"/>
                <w:szCs w:val="16"/>
                <w:color w:val="auto"/>
              </w:rPr>
              <w:t>Vice President — Brady Americas</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420" w:type="dxa"/>
            <w:vAlign w:val="bottom"/>
          </w:tcPr>
          <w:p>
            <w:pPr>
              <w:spacing w:after="0"/>
              <w:rPr>
                <w:sz w:val="17"/>
                <w:szCs w:val="17"/>
                <w:color w:val="auto"/>
              </w:rPr>
            </w:pPr>
          </w:p>
        </w:tc>
        <w:tc>
          <w:tcPr>
            <w:tcW w:w="700" w:type="dxa"/>
            <w:vAlign w:val="bottom"/>
            <w:gridSpan w:val="2"/>
          </w:tcPr>
          <w:p>
            <w:pPr>
              <w:ind w:left="160"/>
              <w:spacing w:after="0"/>
              <w:rPr>
                <w:sz w:val="20"/>
                <w:szCs w:val="20"/>
                <w:color w:val="auto"/>
              </w:rPr>
            </w:pPr>
            <w:r>
              <w:rPr>
                <w:rFonts w:ascii="Arial" w:cs="Arial" w:eastAsia="Arial" w:hAnsi="Arial"/>
                <w:sz w:val="16"/>
                <w:szCs w:val="16"/>
                <w:color w:val="auto"/>
                <w:w w:val="89"/>
              </w:rPr>
              <w:t>228,626</w:t>
            </w:r>
          </w:p>
        </w:tc>
        <w:tc>
          <w:tcPr>
            <w:tcW w:w="1480" w:type="dxa"/>
            <w:vAlign w:val="bottom"/>
            <w:gridSpan w:val="3"/>
          </w:tcPr>
          <w:p>
            <w:pPr>
              <w:jc w:val="right"/>
              <w:ind w:right="400"/>
              <w:spacing w:after="0"/>
              <w:rPr>
                <w:sz w:val="20"/>
                <w:szCs w:val="20"/>
                <w:color w:val="auto"/>
              </w:rPr>
            </w:pPr>
            <w:r>
              <w:rPr>
                <w:rFonts w:ascii="Arial" w:cs="Arial" w:eastAsia="Arial" w:hAnsi="Arial"/>
                <w:sz w:val="16"/>
                <w:szCs w:val="16"/>
                <w:color w:val="auto"/>
              </w:rPr>
              <w:t>194,236</w:t>
            </w:r>
          </w:p>
        </w:tc>
        <w:tc>
          <w:tcPr>
            <w:tcW w:w="8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44,000</w:t>
            </w:r>
          </w:p>
        </w:tc>
        <w:tc>
          <w:tcPr>
            <w:tcW w:w="1700" w:type="dxa"/>
            <w:vAlign w:val="bottom"/>
            <w:gridSpan w:val="3"/>
          </w:tcPr>
          <w:p>
            <w:pPr>
              <w:jc w:val="right"/>
              <w:ind w:right="180"/>
              <w:spacing w:after="0"/>
              <w:rPr>
                <w:sz w:val="20"/>
                <w:szCs w:val="20"/>
                <w:color w:val="auto"/>
              </w:rPr>
            </w:pPr>
            <w:r>
              <w:rPr>
                <w:rFonts w:ascii="Arial" w:cs="Arial" w:eastAsia="Arial" w:hAnsi="Arial"/>
                <w:sz w:val="16"/>
                <w:szCs w:val="16"/>
                <w:color w:val="auto"/>
              </w:rPr>
              <w:t>21,778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202,523</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43,684</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7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18,072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bonus earned during the listed fiscal year, which was paid during the next fiscal year.</w:t>
      </w:r>
    </w:p>
    <w:p>
      <w:pPr>
        <w:spacing w:after="0" w:line="76" w:lineRule="exact"/>
        <w:rPr>
          <w:rFonts w:ascii="Arial" w:cs="Arial" w:eastAsia="Arial" w:hAnsi="Arial"/>
          <w:sz w:val="18"/>
          <w:szCs w:val="18"/>
          <w:color w:val="auto"/>
        </w:rPr>
      </w:pPr>
    </w:p>
    <w:p>
      <w:pPr>
        <w:ind w:left="460" w:right="360" w:hanging="452"/>
        <w:spacing w:after="0" w:line="32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Unless otherwise noted, any perquisites or other personal benefits received from the Company by any of the named executives were less than the reporting thresholds established by the Securities and Exchange Commission (the lesser of $50,000 or 10% of the individual’s cash compensation).</w:t>
      </w:r>
    </w:p>
    <w:p>
      <w:pPr>
        <w:spacing w:after="0" w:line="1" w:lineRule="exact"/>
        <w:rPr>
          <w:rFonts w:ascii="Arial" w:cs="Arial" w:eastAsia="Arial" w:hAnsi="Arial"/>
          <w:sz w:val="16"/>
          <w:szCs w:val="16"/>
          <w:color w:val="auto"/>
        </w:rPr>
      </w:pPr>
    </w:p>
    <w:p>
      <w:pPr>
        <w:jc w:val="both"/>
        <w:ind w:left="460" w:right="200" w:hanging="452"/>
        <w:spacing w:after="0" w:line="34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other compensation for fiscal 2005 for Messrs. Jaehnert, Hawke, Mathieson and Williamson, respectively, includes: (i) matching contributions to the Company’s Matched 401(k) Plan, Funded Retirement Plan and Restoration Plan for each named executive officer of $102,706, $61,506, $32,944,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and $34,314, respectively and (ii) the cost of group term life insurance for each named executive officer of $4,926, $3,574, $768 and $736, respectively.</w:t>
      </w:r>
    </w:p>
    <w:p>
      <w:pPr>
        <w:spacing w:after="0" w:line="2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All other compensation for fiscal 2005 for Mr. Sephton includes: (i) matching contributions for the Brady U.K. Pension Plan of $46,514 and (ii) the cost of group term life insurance of $3,070.</w:t>
      </w:r>
    </w:p>
    <w:p>
      <w:pPr>
        <w:spacing w:after="0" w:line="2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All other compensation for fiscal 2004 for Messrs. Jaehnert, Hawke, Mathieson and Williamson, respectively, includes: (i) matching contributions to the Company’s Matched 401(k) Plan, Funded Retirement Plan and Restoration Plan for each named executive officer of $34,191, $27,462, $13,298 and $21,082 respectively and (ii) the cost of group term life insurance for each named executive officer of $3,338, $4,297, $509 and $696 respectively and (iii) costs related to relocation for Mr. Mathieson of $71,583.</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compensation for fiscal 2004 for Mr. Sephton includes matching contributions for the Brady U.K. Pension Plan of $41,165.</w:t>
      </w:r>
    </w:p>
    <w:p>
      <w:pPr>
        <w:spacing w:after="0" w:line="77" w:lineRule="exact"/>
        <w:rPr>
          <w:sz w:val="20"/>
          <w:szCs w:val="20"/>
          <w:color w:val="auto"/>
        </w:rPr>
      </w:pPr>
    </w:p>
    <w:p>
      <w:pPr>
        <w:ind w:left="460"/>
        <w:spacing w:after="0" w:line="311" w:lineRule="auto"/>
        <w:rPr>
          <w:sz w:val="20"/>
          <w:szCs w:val="20"/>
          <w:color w:val="auto"/>
        </w:rPr>
      </w:pPr>
      <w:r>
        <w:rPr>
          <w:rFonts w:ascii="Arial" w:cs="Arial" w:eastAsia="Arial" w:hAnsi="Arial"/>
          <w:sz w:val="16"/>
          <w:szCs w:val="16"/>
          <w:color w:val="auto"/>
        </w:rPr>
        <w:t>All other compensation for fiscal 2003 for Messrs. Jaehnert, Hawke, Mathieson, and Williamson, respectively, includes: (i) matching contributions to the Company’s Matched 401(k) Plan, Funded Retirement Plan and Restoration Plan for each named executive officer of $29,329, $24,485, $36,522 and $17,342 respectively and (ii) the cost of group term life insurance for each named executive officer of $3,042, $4,259, $609 and $730 respectively.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other compensation for fiscal 2003 for Mr. Sephton includes matching contributions for the Brady U.K. Pension Plan of $31,645.</w:t>
      </w:r>
    </w:p>
    <w:p>
      <w:pPr>
        <w:spacing w:after="0" w:line="77" w:lineRule="exact"/>
        <w:rPr>
          <w:sz w:val="20"/>
          <w:szCs w:val="20"/>
          <w:color w:val="auto"/>
        </w:rPr>
      </w:pPr>
    </w:p>
    <w:p>
      <w:pPr>
        <w:ind w:left="460" w:right="140" w:hanging="452"/>
        <w:spacing w:after="0" w:line="297"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June 2003, the Company granted restricted stock awards to certain key executives. Mr. Hawke was awarded 20,000 shares of authorized, but unissued Class A Common Stock (adjusted for the two-for-one stock split in the form of a 100% stock dividend, effective December 31, 2004), which shares he continued to hold as of July 31, 2005. The value of the grants stated in the table is based on the closing price on the date of grant. Using the closing price of $34.20 per share for the Company’s Class A Common Stock on July 29, 2005, the holdings of Mr. Hawke were valued at $684,000. The restricted stock award granted to Mr. Hawke vested 100% on June 18, 2005. Dividends are paid on restricted stock.</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for two-for-one stock split in the form of a 100% stock dividend, effective December 31,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following tables summarize option grants and exercises during fiscal 2005 to or by the executive officers named in the Summary Compensation Table above, and the value of unexercised options held by such persons at July 31, 2005. Stock Appreciation Rights are not available under any of the Company’s plans.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Grants in Fiscal 2005</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Individual Grants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 of Securities</w:t>
            </w: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 of Total</w:t>
            </w: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Options</w:t>
            </w:r>
          </w:p>
        </w:tc>
        <w:tc>
          <w:tcPr>
            <w:tcW w:w="17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Exercise</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Options</w:t>
            </w:r>
          </w:p>
        </w:tc>
        <w:tc>
          <w:tcPr>
            <w:tcW w:w="14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Granted to</w:t>
            </w:r>
          </w:p>
        </w:tc>
        <w:tc>
          <w:tcPr>
            <w:tcW w:w="1720" w:type="dxa"/>
            <w:vAlign w:val="bottom"/>
            <w:gridSpan w:val="2"/>
            <w:vMerge w:val="continue"/>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2"/>
                <w:szCs w:val="12"/>
                <w:color w:val="auto"/>
              </w:rPr>
            </w:pP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Grant Date</w:t>
            </w:r>
          </w:p>
        </w:tc>
        <w:tc>
          <w:tcPr>
            <w:tcW w:w="600" w:type="dxa"/>
            <w:vAlign w:val="bottom"/>
          </w:tcPr>
          <w:p>
            <w:pPr>
              <w:spacing w:after="0"/>
              <w:rPr>
                <w:sz w:val="12"/>
                <w:szCs w:val="12"/>
                <w:color w:val="auto"/>
              </w:rPr>
            </w:pPr>
          </w:p>
        </w:tc>
        <w:tc>
          <w:tcPr>
            <w:tcW w:w="18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Granted</w:t>
            </w: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Employees in</w:t>
            </w:r>
          </w:p>
        </w:tc>
        <w:tc>
          <w:tcPr>
            <w:tcW w:w="17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15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2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74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99"/>
              </w:rPr>
              <w:t>(#)(1)</w:t>
            </w:r>
          </w:p>
        </w:tc>
        <w:tc>
          <w:tcPr>
            <w:tcW w:w="66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Fiscal 2005</w:t>
            </w:r>
          </w:p>
        </w:tc>
        <w:tc>
          <w:tcPr>
            <w:tcW w:w="17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($/Share)(2)</w:t>
            </w: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F.M. Jaehnert</w:t>
            </w:r>
          </w:p>
        </w:tc>
        <w:tc>
          <w:tcPr>
            <w:tcW w:w="240" w:type="dxa"/>
            <w:vAlign w:val="bottom"/>
          </w:tcPr>
          <w:p>
            <w:pPr>
              <w:spacing w:after="0"/>
              <w:rPr>
                <w:sz w:val="18"/>
                <w:szCs w:val="18"/>
                <w:color w:val="auto"/>
              </w:rPr>
            </w:pPr>
          </w:p>
        </w:tc>
        <w:tc>
          <w:tcPr>
            <w:tcW w:w="13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7"/>
              </w:rPr>
              <w:t>Aug. 2, 2004</w:t>
            </w:r>
          </w:p>
        </w:tc>
        <w:tc>
          <w:tcPr>
            <w:tcW w:w="6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6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22.6325</w:t>
            </w:r>
          </w:p>
        </w:tc>
        <w:tc>
          <w:tcPr>
            <w:tcW w:w="5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Aug. 2,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89"/>
              </w:rPr>
              <w:t>Nov. 18,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60,000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7.2%</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28.8425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Nov. 18, 2014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D.R. Hawke</w:t>
            </w: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89"/>
              </w:rPr>
              <w:t>Nov. 18,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28.8425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Nov. 18, 2014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D. Mathieson</w:t>
            </w: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97"/>
              </w:rPr>
              <w:t>Aug. 2,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22.6325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Aug. 2, 2009</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89"/>
              </w:rPr>
              <w:t>Nov. 18,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28.8425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Nov. 18, 2014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P.C. Sephton</w:t>
            </w: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97"/>
              </w:rPr>
              <w:t>Aug. 2,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22.6325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Aug. 2, 2009</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89"/>
              </w:rPr>
              <w:t>Nov. 18,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28.8425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Nov. 18, 2014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M.O. Williamson</w:t>
            </w:r>
          </w:p>
        </w:tc>
        <w:tc>
          <w:tcPr>
            <w:tcW w:w="240" w:type="dxa"/>
            <w:vAlign w:val="bottom"/>
          </w:tcPr>
          <w:p>
            <w:pPr>
              <w:spacing w:after="0"/>
              <w:rPr>
                <w:sz w:val="18"/>
                <w:szCs w:val="18"/>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97"/>
              </w:rPr>
              <w:t>Aug. 2,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22.6325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Aug. 2, 2009</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Arial" w:cs="Arial" w:eastAsia="Arial" w:hAnsi="Arial"/>
                <w:sz w:val="18"/>
                <w:szCs w:val="18"/>
                <w:color w:val="auto"/>
                <w:w w:val="89"/>
              </w:rPr>
              <w:t>Nov. 18, 2004</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30,000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3.6%</w:t>
            </w:r>
          </w:p>
        </w:tc>
        <w:tc>
          <w:tcPr>
            <w:tcW w:w="1720" w:type="dxa"/>
            <w:vAlign w:val="bottom"/>
            <w:gridSpan w:val="2"/>
          </w:tcPr>
          <w:p>
            <w:pPr>
              <w:jc w:val="right"/>
              <w:ind w:right="520"/>
              <w:spacing w:after="0"/>
              <w:rPr>
                <w:sz w:val="20"/>
                <w:szCs w:val="20"/>
                <w:color w:val="auto"/>
              </w:rPr>
            </w:pPr>
            <w:r>
              <w:rPr>
                <w:rFonts w:ascii="Arial" w:cs="Arial" w:eastAsia="Arial" w:hAnsi="Arial"/>
                <w:sz w:val="18"/>
                <w:szCs w:val="18"/>
                <w:color w:val="auto"/>
              </w:rPr>
              <w:t>28.8425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Nov. 18, 2014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2"/>
              </w:rPr>
              <w:t>Potential Realizable Value</w:t>
            </w: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20" w:type="dxa"/>
            <w:vAlign w:val="bottom"/>
            <w:gridSpan w:val="3"/>
          </w:tcPr>
          <w:p>
            <w:pPr>
              <w:jc w:val="center"/>
              <w:ind w:left="337"/>
              <w:spacing w:after="0" w:line="149" w:lineRule="exact"/>
              <w:rPr>
                <w:sz w:val="20"/>
                <w:szCs w:val="20"/>
                <w:color w:val="auto"/>
              </w:rPr>
            </w:pPr>
            <w:r>
              <w:rPr>
                <w:rFonts w:ascii="Arial" w:cs="Arial" w:eastAsia="Arial" w:hAnsi="Arial"/>
                <w:sz w:val="14"/>
                <w:szCs w:val="14"/>
                <w:b w:val="1"/>
                <w:bCs w:val="1"/>
                <w:color w:val="auto"/>
                <w:w w:val="90"/>
              </w:rPr>
              <w:t>at Assumed Rates of</w:t>
            </w: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Stock Price Appreciation(3)</w:t>
            </w:r>
          </w:p>
        </w:tc>
        <w:tc>
          <w:tcPr>
            <w:tcW w:w="13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gridSpan w:val="4"/>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0%($)</w:t>
            </w:r>
          </w:p>
        </w:tc>
        <w:tc>
          <w:tcPr>
            <w:tcW w:w="400" w:type="dxa"/>
            <w:vAlign w:val="bottom"/>
          </w:tcPr>
          <w:p>
            <w:pPr>
              <w:spacing w:after="0"/>
              <w:rPr>
                <w:sz w:val="13"/>
                <w:szCs w:val="13"/>
                <w:color w:val="auto"/>
              </w:rPr>
            </w:pPr>
          </w:p>
        </w:tc>
        <w:tc>
          <w:tcPr>
            <w:tcW w:w="138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5%($)(6)</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10%($)(6)</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 Jaehnert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1,463,510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3,587,093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D.R. Hawke</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00"/>
              <w:spacing w:after="0"/>
              <w:rPr>
                <w:sz w:val="20"/>
                <w:szCs w:val="20"/>
                <w:color w:val="auto"/>
              </w:rPr>
            </w:pPr>
            <w:r>
              <w:rPr>
                <w:rFonts w:ascii="Arial" w:cs="Arial" w:eastAsia="Arial" w:hAnsi="Arial"/>
                <w:sz w:val="18"/>
                <w:szCs w:val="18"/>
                <w:color w:val="auto"/>
              </w:rPr>
              <w:t>544,167</w:t>
            </w:r>
          </w:p>
        </w:tc>
        <w:tc>
          <w:tcPr>
            <w:tcW w:w="34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1,379,026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Mathieson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731,755</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P.C. Sephton</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ind w:right="800"/>
              <w:spacing w:after="0"/>
              <w:rPr>
                <w:sz w:val="20"/>
                <w:szCs w:val="20"/>
                <w:color w:val="auto"/>
              </w:rPr>
            </w:pPr>
            <w:r>
              <w:rPr>
                <w:rFonts w:ascii="Arial" w:cs="Arial" w:eastAsia="Arial" w:hAnsi="Arial"/>
                <w:sz w:val="18"/>
                <w:szCs w:val="18"/>
                <w:color w:val="auto"/>
              </w:rPr>
              <w:t>731,755</w:t>
            </w:r>
          </w:p>
        </w:tc>
        <w:tc>
          <w:tcPr>
            <w:tcW w:w="340" w:type="dxa"/>
            <w:vAlign w:val="bottom"/>
          </w:tcPr>
          <w:p>
            <w:pPr>
              <w:spacing w:after="0"/>
              <w:rPr>
                <w:sz w:val="18"/>
                <w:szCs w:val="18"/>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1,793,547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 O. Williamson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2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731,755</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1,793,547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5"/>
          </w:tcPr>
          <w:p>
            <w:pPr>
              <w:spacing w:after="0" w:line="201" w:lineRule="exact"/>
              <w:rPr>
                <w:sz w:val="20"/>
                <w:szCs w:val="20"/>
                <w:color w:val="auto"/>
              </w:rPr>
            </w:pPr>
            <w:r>
              <w:rPr>
                <w:rFonts w:ascii="Arial" w:cs="Arial" w:eastAsia="Arial" w:hAnsi="Arial"/>
                <w:sz w:val="18"/>
                <w:szCs w:val="18"/>
                <w:color w:val="auto"/>
                <w:w w:val="97"/>
              </w:rPr>
              <w:t>All Stockholders’ Gains (increase in market value of Brady Corporation Common Stock at</w:t>
            </w: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4"/>
          </w:tcPr>
          <w:p>
            <w:pPr>
              <w:spacing w:after="0"/>
              <w:rPr>
                <w:sz w:val="20"/>
                <w:szCs w:val="20"/>
                <w:color w:val="auto"/>
              </w:rPr>
            </w:pPr>
            <w:r>
              <w:rPr>
                <w:rFonts w:ascii="Arial" w:cs="Arial" w:eastAsia="Arial" w:hAnsi="Arial"/>
                <w:sz w:val="18"/>
                <w:szCs w:val="18"/>
                <w:color w:val="auto"/>
              </w:rPr>
              <w:t>assumed rates of stock price appreciation)(4)(6)</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579,161,303</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jc w:val="right"/>
              <w:ind w:right="600"/>
              <w:spacing w:after="0"/>
              <w:rPr>
                <w:sz w:val="20"/>
                <w:szCs w:val="20"/>
                <w:color w:val="auto"/>
              </w:rPr>
            </w:pPr>
            <w:r>
              <w:rPr>
                <w:rFonts w:ascii="Arial" w:cs="Arial" w:eastAsia="Arial" w:hAnsi="Arial"/>
                <w:sz w:val="18"/>
                <w:szCs w:val="18"/>
                <w:color w:val="auto"/>
              </w:rPr>
              <w:t>1,425,773,118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Optionees’ Gains (as a percent of all shareholders’ gains)(5)(6)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1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options granted August 2, 2004 equally vest upon meeting certain financial goals in fiscal 2005, 2006 and 2007. The financial goals in 2005 have been met and one-third of the options have vested. The options have a term of five years.</w:t>
      </w:r>
    </w:p>
    <w:p>
      <w:pPr>
        <w:spacing w:after="0" w:line="21" w:lineRule="exact"/>
        <w:rPr>
          <w:rFonts w:ascii="Arial" w:cs="Arial" w:eastAsia="Arial" w:hAnsi="Arial"/>
          <w:sz w:val="18"/>
          <w:szCs w:val="18"/>
          <w:color w:val="auto"/>
        </w:rPr>
      </w:pPr>
    </w:p>
    <w:p>
      <w:pPr>
        <w:ind w:left="460" w:right="400"/>
        <w:spacing w:after="0" w:line="277" w:lineRule="auto"/>
        <w:rPr>
          <w:rFonts w:ascii="Arial" w:cs="Arial" w:eastAsia="Arial" w:hAnsi="Arial"/>
          <w:sz w:val="18"/>
          <w:szCs w:val="18"/>
          <w:color w:val="auto"/>
        </w:rPr>
      </w:pPr>
      <w:r>
        <w:rPr>
          <w:rFonts w:ascii="Arial" w:cs="Arial" w:eastAsia="Arial" w:hAnsi="Arial"/>
          <w:sz w:val="18"/>
          <w:szCs w:val="18"/>
          <w:color w:val="auto"/>
        </w:rPr>
        <w:t>The options granted November 18, 2004, become exercisable as follows: one-third of the shares on November 18, 2005, one-third of the shares on November 18, 2006 and one-third of the shares on November 18, 2007. These options have a term of ten years.</w:t>
      </w:r>
    </w:p>
    <w:p>
      <w:pPr>
        <w:spacing w:after="0" w:line="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Option grants have been adjusted to reflect a two-for-one stock split in the form of a 100% stock dividend, effective December 31, 2004.</w:t>
      </w:r>
    </w:p>
    <w:p>
      <w:pPr>
        <w:spacing w:after="0" w:line="76" w:lineRule="exact"/>
        <w:rPr>
          <w:rFonts w:ascii="Arial" w:cs="Arial" w:eastAsia="Arial" w:hAnsi="Arial"/>
          <w:sz w:val="18"/>
          <w:szCs w:val="18"/>
          <w:color w:val="auto"/>
        </w:rPr>
      </w:pPr>
    </w:p>
    <w:p>
      <w:pPr>
        <w:ind w:left="460" w:right="300" w:hanging="452"/>
        <w:spacing w:after="0" w:line="325"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exercise price is the average of the highest and lowest sale prices of the Company’s Class A Common Stock as reported by the New York Stock Exchange on the date of the grant, adjusted for a two-for-one stock split in the form of a 100% stock dividend, effective December 31, 2004.</w:t>
      </w:r>
    </w:p>
    <w:p>
      <w:pPr>
        <w:spacing w:after="0" w:line="1" w:lineRule="exact"/>
        <w:rPr>
          <w:rFonts w:ascii="Arial" w:cs="Arial" w:eastAsia="Arial" w:hAnsi="Arial"/>
          <w:sz w:val="16"/>
          <w:szCs w:val="16"/>
          <w:color w:val="auto"/>
        </w:rPr>
      </w:pPr>
    </w:p>
    <w:p>
      <w:pPr>
        <w:ind w:left="460" w:right="2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options with a ten-year life, represents total potential appreciation of approximately 0%, 63% and 159% for assumed annual rates of appreciation of 0%, 5% and 10%, respectively, compounded annually for ten years.</w:t>
      </w:r>
    </w:p>
    <w:p>
      <w:pPr>
        <w:spacing w:after="0" w:line="21"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For options with a five-year life, represents total potential appreciation of approximately 0%, 28% and 61% for assumed annual rates of appreciation of 0%, 5% and 10%, respectively, compounded annually for five years.</w:t>
      </w:r>
    </w:p>
    <w:p>
      <w:pPr>
        <w:spacing w:after="0" w:line="21" w:lineRule="exact"/>
        <w:rPr>
          <w:rFonts w:ascii="Arial" w:cs="Arial" w:eastAsia="Arial" w:hAnsi="Arial"/>
          <w:sz w:val="18"/>
          <w:szCs w:val="18"/>
          <w:color w:val="auto"/>
        </w:rPr>
      </w:pPr>
    </w:p>
    <w:p>
      <w:pPr>
        <w:ind w:left="460" w:right="440" w:hanging="452"/>
        <w:spacing w:after="0" w:line="31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Calculated from the $22.6325 exercise price applicable to the options granted on August 2, 2004 and the $28.8425 exercise price applicable to the options granted on November 18, 2004 based on the fiscal 2005 average of Class A Common Stock outstanding of 45,473,676. Average shares outstanding have been adjusted to reflect a two-for-one stock split in the form of a 100% stock dividend, effective December 31, 2004.</w:t>
      </w:r>
    </w:p>
    <w:p>
      <w:pPr>
        <w:ind w:left="460" w:right="44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potential realizable value for all options granted in fiscal 2005 compared to the increase in market value of Brady Corporation Class A Common Stock at assumed rates of stock price appreciation.</w:t>
      </w:r>
    </w:p>
    <w:p>
      <w:pPr>
        <w:spacing w:after="0" w:line="21" w:lineRule="exact"/>
        <w:rPr>
          <w:rFonts w:ascii="Arial" w:cs="Arial" w:eastAsia="Arial" w:hAnsi="Arial"/>
          <w:sz w:val="18"/>
          <w:szCs w:val="18"/>
          <w:color w:val="auto"/>
        </w:rPr>
      </w:pPr>
    </w:p>
    <w:p>
      <w:pPr>
        <w:ind w:left="460" w:right="340" w:hanging="452"/>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VALUE OF OPTIONS AT END OF FISCAL 2005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Number of Securities Underlying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Unexercised Options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60" w:type="dxa"/>
            <w:vAlign w:val="bottom"/>
            <w:gridSpan w:val="3"/>
          </w:tcPr>
          <w:p>
            <w:pPr>
              <w:jc w:val="center"/>
              <w:ind w:left="1238"/>
              <w:spacing w:after="0" w:line="149" w:lineRule="exact"/>
              <w:rPr>
                <w:sz w:val="20"/>
                <w:szCs w:val="20"/>
                <w:color w:val="auto"/>
              </w:rPr>
            </w:pPr>
            <w:r>
              <w:rPr>
                <w:rFonts w:ascii="Arial" w:cs="Arial" w:eastAsia="Arial" w:hAnsi="Arial"/>
                <w:sz w:val="14"/>
                <w:szCs w:val="14"/>
                <w:b w:val="1"/>
                <w:bCs w:val="1"/>
                <w:color w:val="auto"/>
                <w:w w:val="92"/>
              </w:rPr>
              <w:t>July 31, 2005(2)</w:t>
            </w: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Acquired on</w:t>
            </w:r>
          </w:p>
        </w:tc>
        <w:tc>
          <w:tcPr>
            <w:tcW w:w="17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20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Exercise(#)(2)</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Realized($)</w:t>
            </w:r>
          </w:p>
        </w:tc>
        <w:tc>
          <w:tcPr>
            <w:tcW w:w="2360" w:type="dxa"/>
            <w:vAlign w:val="bottom"/>
            <w:gridSpan w:val="3"/>
          </w:tcPr>
          <w:p>
            <w:pPr>
              <w:ind w:left="260"/>
              <w:spacing w:after="0"/>
              <w:rPr>
                <w:sz w:val="20"/>
                <w:szCs w:val="20"/>
                <w:color w:val="auto"/>
              </w:rPr>
            </w:pPr>
            <w:r>
              <w:rPr>
                <w:rFonts w:ascii="Arial" w:cs="Arial" w:eastAsia="Arial" w:hAnsi="Arial"/>
                <w:sz w:val="14"/>
                <w:szCs w:val="14"/>
                <w:b w:val="1"/>
                <w:bCs w:val="1"/>
                <w:color w:val="auto"/>
              </w:rPr>
              <w:t>Exercisable(#)</w:t>
            </w:r>
          </w:p>
        </w:tc>
        <w:tc>
          <w:tcPr>
            <w:tcW w:w="19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2"/>
              </w:rPr>
              <w:t>Unexercisable(#)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2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49,000</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930,745</w:t>
            </w:r>
          </w:p>
        </w:tc>
        <w:tc>
          <w:tcPr>
            <w:tcW w:w="2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257,200</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D.R. Hawke</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200,000</w:t>
            </w: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2,862,606</w:t>
            </w: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181,133</w:t>
            </w:r>
          </w:p>
        </w:tc>
        <w:tc>
          <w:tcPr>
            <w:tcW w:w="200" w:type="dxa"/>
            <w:vAlign w:val="bottom"/>
          </w:tcPr>
          <w:p>
            <w:pPr>
              <w:spacing w:after="0"/>
              <w:rPr>
                <w:sz w:val="18"/>
                <w:szCs w:val="18"/>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color w:val="auto"/>
              </w:rPr>
              <w:t>126,667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 Mathieson</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23,267</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P.C. Sephton</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160" w:type="dxa"/>
            <w:vAlign w:val="bottom"/>
            <w:gridSpan w:val="2"/>
          </w:tcPr>
          <w:p>
            <w:pPr>
              <w:jc w:val="right"/>
              <w:ind w:right="760"/>
              <w:spacing w:after="0"/>
              <w:rPr>
                <w:sz w:val="20"/>
                <w:szCs w:val="20"/>
                <w:color w:val="auto"/>
              </w:rPr>
            </w:pPr>
            <w:r>
              <w:rPr>
                <w:rFonts w:ascii="Arial" w:cs="Arial" w:eastAsia="Arial" w:hAnsi="Arial"/>
                <w:sz w:val="18"/>
                <w:szCs w:val="18"/>
                <w:color w:val="auto"/>
              </w:rPr>
              <w:t>52,333</w:t>
            </w:r>
          </w:p>
        </w:tc>
        <w:tc>
          <w:tcPr>
            <w:tcW w:w="200" w:type="dxa"/>
            <w:vAlign w:val="bottom"/>
          </w:tcPr>
          <w:p>
            <w:pPr>
              <w:spacing w:after="0"/>
              <w:rPr>
                <w:sz w:val="18"/>
                <w:szCs w:val="18"/>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color w:val="auto"/>
              </w:rPr>
              <w:t>92,667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21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47,333</w:t>
            </w:r>
          </w:p>
        </w:tc>
        <w:tc>
          <w:tcPr>
            <w:tcW w:w="2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92,667</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3"/>
              </w:rPr>
              <w:t>Value of Unexercised In-the-Money</w:t>
            </w:r>
          </w:p>
        </w:tc>
        <w:tc>
          <w:tcPr>
            <w:tcW w:w="0" w:type="dxa"/>
            <w:vAlign w:val="bottom"/>
          </w:tcPr>
          <w:p>
            <w:pPr>
              <w:spacing w:after="0"/>
              <w:rPr>
                <w:sz w:val="1"/>
                <w:szCs w:val="1"/>
                <w:color w:val="auto"/>
              </w:rPr>
            </w:pPr>
          </w:p>
        </w:tc>
      </w:tr>
      <w:tr>
        <w:trPr>
          <w:trHeight w:val="171"/>
        </w:trPr>
        <w:tc>
          <w:tcPr>
            <w:tcW w:w="6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w:t>
            </w:r>
          </w:p>
        </w:tc>
        <w:tc>
          <w:tcPr>
            <w:tcW w:w="49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3"/>
              </w:rPr>
              <w:t>Options at July 31, 2005(1)</w:t>
            </w:r>
          </w:p>
        </w:tc>
        <w:tc>
          <w:tcPr>
            <w:tcW w:w="0" w:type="dxa"/>
            <w:vAlign w:val="bottom"/>
          </w:tcPr>
          <w:p>
            <w:pPr>
              <w:spacing w:after="0"/>
              <w:rPr>
                <w:sz w:val="1"/>
                <w:szCs w:val="1"/>
                <w:color w:val="auto"/>
              </w:rPr>
            </w:pPr>
          </w:p>
        </w:tc>
      </w:tr>
      <w:tr>
        <w:trPr>
          <w:trHeight w:val="163"/>
        </w:trPr>
        <w:tc>
          <w:tcPr>
            <w:tcW w:w="6460" w:type="dxa"/>
            <w:vAlign w:val="bottom"/>
            <w:gridSpan w:val="4"/>
            <w:vMerge w:val="continue"/>
          </w:tcPr>
          <w:p>
            <w:pPr>
              <w:spacing w:after="0"/>
              <w:rPr>
                <w:sz w:val="14"/>
                <w:szCs w:val="14"/>
                <w:color w:val="auto"/>
              </w:rPr>
            </w:pPr>
          </w:p>
        </w:tc>
        <w:tc>
          <w:tcPr>
            <w:tcW w:w="1520" w:type="dxa"/>
            <w:vAlign w:val="bottom"/>
            <w:tcBorders>
              <w:top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Exercisable($)</w:t>
            </w:r>
          </w:p>
        </w:tc>
        <w:tc>
          <w:tcPr>
            <w:tcW w:w="10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Unexercisable($)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F.M. Jaehnert</w:t>
            </w:r>
          </w:p>
        </w:tc>
        <w:tc>
          <w:tcPr>
            <w:tcW w:w="3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5,564,918</w:t>
            </w:r>
          </w:p>
        </w:tc>
        <w:tc>
          <w:tcPr>
            <w:tcW w:w="10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6,181,625</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D.R. Hawke</w:t>
            </w:r>
          </w:p>
        </w:tc>
        <w:tc>
          <w:tcPr>
            <w:tcW w:w="1520" w:type="dxa"/>
            <w:vAlign w:val="bottom"/>
          </w:tcPr>
          <w:p>
            <w:pPr>
              <w:jc w:val="right"/>
              <w:spacing w:after="0"/>
              <w:rPr>
                <w:sz w:val="20"/>
                <w:szCs w:val="20"/>
                <w:color w:val="auto"/>
              </w:rPr>
            </w:pPr>
            <w:r>
              <w:rPr>
                <w:rFonts w:ascii="Arial" w:cs="Arial" w:eastAsia="Arial" w:hAnsi="Arial"/>
                <w:sz w:val="18"/>
                <w:szCs w:val="18"/>
                <w:color w:val="auto"/>
              </w:rPr>
              <w:t>3,475,505</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1,820,100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Mathieson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367,855</w:t>
            </w:r>
          </w:p>
        </w:tc>
        <w:tc>
          <w:tcPr>
            <w:tcW w:w="34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998,508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P.C. Sephton</w:t>
            </w:r>
          </w:p>
        </w:tc>
        <w:tc>
          <w:tcPr>
            <w:tcW w:w="1520" w:type="dxa"/>
            <w:vAlign w:val="bottom"/>
          </w:tcPr>
          <w:p>
            <w:pPr>
              <w:jc w:val="right"/>
              <w:spacing w:after="0"/>
              <w:rPr>
                <w:sz w:val="20"/>
                <w:szCs w:val="20"/>
                <w:color w:val="auto"/>
              </w:rPr>
            </w:pPr>
            <w:r>
              <w:rPr>
                <w:rFonts w:ascii="Arial" w:cs="Arial" w:eastAsia="Arial" w:hAnsi="Arial"/>
                <w:sz w:val="18"/>
                <w:szCs w:val="18"/>
                <w:color w:val="auto"/>
              </w:rPr>
              <w:t>970,160</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1,068,375</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848,825</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1,068,375</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60" w:right="78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closing price for the Company’s Class A Common Stock on July 29, 2005, of $34.20 less the exercise price for all outstanding exercisable and unexercisable options for which the exercise price is less than such closing price.</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 Performance Graph</w:t>
      </w:r>
    </w:p>
    <w:p>
      <w:pPr>
        <w:spacing w:after="0" w:line="121" w:lineRule="exact"/>
        <w:rPr>
          <w:sz w:val="20"/>
          <w:szCs w:val="20"/>
          <w:color w:val="auto"/>
        </w:rPr>
      </w:pPr>
    </w:p>
    <w:p>
      <w:pPr>
        <w:ind w:right="80" w:firstLine="267"/>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2000, in each of Brady Corporation Class A Common Stock, The Standard &amp; Poor’s (S&amp;P) 500 index, the Standard and Poor’s Small Cap 600 index, and the Russell 2000 index.</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142875</wp:posOffset>
            </wp:positionV>
            <wp:extent cx="4751070" cy="2684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5107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7/31/00 in stock or index-including reinvestment of dividends. Fiscal year ended July 31.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Copyright © 2002, Standard &amp; Poor’s, a division of The McGraw-Hill Companies, Inc. All rights reserved. www.researchdatagroup.com/ S&amp;P.htm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20" w:firstLine="270"/>
        <w:spacing w:after="0" w:line="257" w:lineRule="auto"/>
        <w:rPr>
          <w:sz w:val="20"/>
          <w:szCs w:val="20"/>
          <w:color w:val="auto"/>
        </w:rPr>
      </w:pPr>
      <w:r>
        <w:rPr>
          <w:rFonts w:ascii="Arial" w:cs="Arial" w:eastAsia="Arial" w:hAnsi="Arial"/>
          <w:sz w:val="18"/>
          <w:szCs w:val="18"/>
          <w:color w:val="auto"/>
        </w:rPr>
        <w:t>Each director who is also an employee of the Company receives no additional compensation for service on the Board or on any committee of the Board. Effective August 1, 2003, directors who were not also employees of the Company received an annual retainer of $25,000 plus $1,500 for each committee they chaired ($5,500 for the audit committee chair) and $1,250 plus expenses for each meeting of the Board or any committee thereof, which they attended and were a member or $750 for single issue telephonic committee meetings of the Board. Directors also received $750 for each meeting they attended of any committee for which they were not a member.</w:t>
      </w:r>
    </w:p>
    <w:p>
      <w:pPr>
        <w:spacing w:after="0" w:line="80"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Effective August 1, 2004, directors who are not also employees of the Company receive an annual retainer of $30,000 plus $5,000 for each committee they chair ($9,000 for the audit committee chair). The per meeting attendance fees remain the same.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and Change in Control Arrangements</w:t>
      </w:r>
    </w:p>
    <w:p>
      <w:pPr>
        <w:spacing w:after="0" w:line="12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November 18, 2004, the Board of Directors of Brady Corporation approved change of control agreements for certain executive officers of the Company as follows: David Mathieson, Peter Sephton, and Matthew Williamson. The agreements call for payment of an amount equal to two times their annual base salary and two times the average bonus payment received in the two years immediately prior to the date the Change of Control occurs in the event of termination or resignation upon a change of control. The agreements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also call for reimbursement of any excise taxes imposed and up to $25,000 of attorney fees to enforce the executive’s rights under the agreement. Payments under the agreement will be spread over two years.</w:t>
      </w:r>
    </w:p>
    <w:p>
      <w:pPr>
        <w:spacing w:after="0" w:line="62"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In May 2003, the Board approved a Change in Control Agreement for Mr. Jaehnert. The agreement calls for payment of an amount equal to three times the annual salary and bonus for Mr. Jaehnert in the event of termination or resignation upon a change of control. The agreement also calls for reimbursement of any excise taxes imposed and up to $25,000 of attorney fees to enforce the executive’s rights under the agreement. Payments under the agreement will be spread over three years.</w:t>
      </w:r>
    </w:p>
    <w:p>
      <w:pPr>
        <w:spacing w:after="0" w:line="79"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January 2001, the Board approved new Change in Control Agreements for certain of its executive officers, including Messrs. Hawke and Oliver. The agreements call for payment of an amount equal to two times their annual salary and bonus in the event of termination or resignation upon a change in control with payments spread over two years. The agreements also call for reimbursement of any excise taxes imposed and up to $25,000 of attorney fees to enforce the executive’s rights under the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 June 2003, the Company granted restricted stock awards to certain key executives. Mr. Hawke and Mr. Oliver were awarded 10,000 (20,000 subsequent to a two-for-one stock split in the form of a 100% stock dividend, effective December 31, 2004) shares each of authorized, but unissued Class A Common Stock. These restricted stock awards were fully vested on June 18,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380" w:firstLine="270"/>
        <w:spacing w:after="0" w:line="312" w:lineRule="auto"/>
        <w:rPr>
          <w:sz w:val="20"/>
          <w:szCs w:val="20"/>
          <w:color w:val="auto"/>
        </w:rPr>
      </w:pPr>
      <w:r>
        <w:rPr>
          <w:rFonts w:ascii="Arial" w:cs="Arial" w:eastAsia="Arial" w:hAnsi="Arial"/>
          <w:sz w:val="16"/>
          <w:szCs w:val="16"/>
          <w:color w:val="auto"/>
        </w:rPr>
        <w:t>During fiscal 2005, the Board’s Compensation Committee was composed of Messrs. Bemis, Buchanan, Nei and Peirce and Ms. Bush.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Funded Retirement and 401(k) Plans</w:t>
      </w:r>
    </w:p>
    <w:p>
      <w:pPr>
        <w:spacing w:after="0" w:line="12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Substantially all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4% and have the amount of this reduction contributed to the employee 401(k) Plan and matched by an additional, equal contribution by the Company. Participants may also elect to have up to another 21%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 The annual contributions and forfeitures allocated to any participant under all defined contribution plans may not exceed $32,400.</w:t>
      </w:r>
    </w:p>
    <w:p>
      <w:pPr>
        <w:spacing w:after="0" w:line="59" w:lineRule="exact"/>
        <w:rPr>
          <w:sz w:val="20"/>
          <w:szCs w:val="20"/>
          <w:color w:val="auto"/>
        </w:rPr>
      </w:pPr>
    </w:p>
    <w:p>
      <w:pPr>
        <w:ind w:right="180" w:firstLine="270"/>
        <w:spacing w:after="0" w:line="276" w:lineRule="auto"/>
        <w:rPr>
          <w:sz w:val="20"/>
          <w:szCs w:val="20"/>
          <w:color w:val="auto"/>
        </w:rPr>
      </w:pPr>
      <w:r>
        <w:rPr>
          <w:rFonts w:ascii="Arial" w:cs="Arial" w:eastAsia="Arial" w:hAnsi="Arial"/>
          <w:sz w:val="17"/>
          <w:szCs w:val="17"/>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three-year period of continuous service for the employee 401(k) Plan and after five years of continuous service for the Funded Retirement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Arrangements</w:t>
      </w:r>
    </w:p>
    <w:p>
      <w:pPr>
        <w:spacing w:after="0" w:line="12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During fiscal 2002, the Company adopted a deferred compensation plan under which executive officers, corporate staff officers and certain key management employees of the Company are permitted to defer portions of their fees, salary and bonus into a plan account, the value of which is measured by the fair value of the underlying investments. The assets of the Plan are held in a Rabbi Trust and are invested by the trustee of the Plan as directed by the participant in several investment funds as permitted by the Plan.</w:t>
      </w:r>
    </w:p>
    <w:p>
      <w:pPr>
        <w:spacing w:after="0" w:line="79" w:lineRule="exact"/>
        <w:rPr>
          <w:sz w:val="20"/>
          <w:szCs w:val="20"/>
          <w:color w:val="auto"/>
        </w:rPr>
      </w:pPr>
    </w:p>
    <w:p>
      <w:pPr>
        <w:ind w:right="40" w:firstLine="260"/>
        <w:spacing w:after="0" w:line="259" w:lineRule="auto"/>
        <w:rPr>
          <w:sz w:val="20"/>
          <w:szCs w:val="20"/>
          <w:color w:val="auto"/>
        </w:rPr>
      </w:pPr>
      <w:r>
        <w:rPr>
          <w:rFonts w:ascii="Arial" w:cs="Arial" w:eastAsia="Arial" w:hAnsi="Arial"/>
          <w:sz w:val="18"/>
          <w:szCs w:val="18"/>
          <w:color w:val="auto"/>
        </w:rPr>
        <w:t>At least one year prior to termination of employment, the Executive shall elect whether to receive his Account balance following termination of employment in a single lump sum in cash or by means of cash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21" w:lineRule="exact"/>
        <w:rPr>
          <w:sz w:val="20"/>
          <w:szCs w:val="20"/>
          <w:color w:val="auto"/>
        </w:rPr>
      </w:pPr>
    </w:p>
    <w:p>
      <w:pPr>
        <w:ind w:right="100" w:firstLine="267"/>
        <w:spacing w:after="0" w:line="259" w:lineRule="auto"/>
        <w:rPr>
          <w:sz w:val="20"/>
          <w:szCs w:val="20"/>
          <w:color w:val="auto"/>
        </w:rPr>
      </w:pPr>
      <w:r>
        <w:rPr>
          <w:rFonts w:ascii="Arial" w:cs="Arial" w:eastAsia="Arial" w:hAnsi="Arial"/>
          <w:sz w:val="18"/>
          <w:szCs w:val="18"/>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79"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The primary components of the Company’s executive compensation program are (i) base salary, (ii) annual cash incentive plan and (iii) long-term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The base salary compensation and the annual cash incentive compensation plan are reviewed and approved by the Compensation Committee.</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Committee believes that:</w:t>
      </w:r>
    </w:p>
    <w:p>
      <w:pPr>
        <w:spacing w:after="0" w:line="117" w:lineRule="exact"/>
        <w:rPr>
          <w:sz w:val="20"/>
          <w:szCs w:val="20"/>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pay levels are appropriately targeted to attract and retain key executives;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incentive plan provides strong incentives for management to increase shareholder value;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total executive compensation program is a cost-effective strategy to increase shareholder value.</w:t>
      </w:r>
    </w:p>
    <w:p>
      <w:pPr>
        <w:spacing w:after="0" w:line="117"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December 2003 the Committee established stock ownership guidelines for executives. The guidelines allow executives up to five years to achieve the required stock ownership levels.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auto"/>
        </w:rPr>
        <w:t>Consistent with the Committee’s philosophy, base salaries are generally maintained at or modestly above competitive base salary levels. Competitive salary level is defined as the median base salary for similar responsibilities in a group of companies selected by the Committee that the Committee considers to be of comparable size and complexity. In setting base salaries for fiscal 2005, the Committee reviewed compensation survey data and was satisfied that the base salary levels set would achieve the Company’s objectives. Specific increases reflect the Committee’s subjective evaluation of individual performance.</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Annual Bonus Plan</w:t>
      </w:r>
    </w:p>
    <w:p>
      <w:pPr>
        <w:spacing w:after="0" w:line="117" w:lineRule="exact"/>
        <w:rPr>
          <w:sz w:val="20"/>
          <w:szCs w:val="20"/>
          <w:color w:val="auto"/>
        </w:rPr>
      </w:pPr>
    </w:p>
    <w:p>
      <w:pPr>
        <w:ind w:right="500" w:firstLine="267"/>
        <w:spacing w:after="0" w:line="277" w:lineRule="auto"/>
        <w:rPr>
          <w:sz w:val="20"/>
          <w:szCs w:val="20"/>
          <w:color w:val="auto"/>
        </w:rPr>
      </w:pPr>
      <w:r>
        <w:rPr>
          <w:rFonts w:ascii="Arial" w:cs="Arial" w:eastAsia="Arial" w:hAnsi="Arial"/>
          <w:sz w:val="18"/>
          <w:szCs w:val="18"/>
          <w:color w:val="auto"/>
        </w:rPr>
        <w:t>The annual cash incentive compensation plan (the “Bonus Plan”) provides for the annual payment of cash bonuses. When viewed together with the Company’s base salary, the purpose of the Bonus Plan is to</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provide a balance between fixed compensation and variable, results-oriented compensation. The Bonus Plan is 80% objective. It stresses maximization of Company profitability and revenue growth.</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270"/>
        <w:spacing w:after="0" w:line="284" w:lineRule="auto"/>
        <w:rPr>
          <w:sz w:val="20"/>
          <w:szCs w:val="20"/>
          <w:color w:val="auto"/>
        </w:rPr>
      </w:pPr>
      <w:r>
        <w:rPr>
          <w:rFonts w:ascii="Arial" w:cs="Arial" w:eastAsia="Arial" w:hAnsi="Arial"/>
          <w:sz w:val="16"/>
          <w:szCs w:val="16"/>
          <w:color w:val="auto"/>
        </w:rPr>
        <w:t>In November 2004, the holders of the Corporation’s Class B Common Stock of Brady Corporation approved the Brady Corporation 2004 Omnibus Incentive Stock Plan under which 1,500,000 shares of Class A Common Stock were available for grant. In July 2003, the Company’s Class B Voting Common shareholders approved the Brady Corporation 2003 Omnibus Incentive Stock Plan under which 1,500,000 shares of Class A Common Stock were available for grant. In October 2001, the Company approved the Brady Corporation 2001 Omnibus Incentive Stock Plan under which 1,000,000 shares of Class A Common Stock were available for grant. In May 1997, the Company approved the Brady Corporation 1997 Omnibus Incentive Stock Plan and the Brady Corporation 1997 Nonqualified Stock Option Plan for Non-Employee Directors (the “Option Plans”) under which 4,000,000 shares and</w:t>
      </w:r>
    </w:p>
    <w:p>
      <w:pPr>
        <w:spacing w:after="0" w:line="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250,000 shares, respectively, of Class A Common Stock were available for grant. In 1989 the Board approved the Brady Corporation 1989 Non-Qualified Stock Option Plan (the “Option Plan”) under which 3,000,000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In August 2003, 2004, and 2005, certain executives and key management employees were issued stock options that vest upon meeting certain financial performance conditions in addition to the vesting schedule described above and have a term of five years. All grants under the Option Plans are at market price on the date of the grant.</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Compliance with Tax Regulations Regarding Executive Compensation</w:t>
      </w:r>
    </w:p>
    <w:p>
      <w:pPr>
        <w:spacing w:after="0" w:line="117" w:lineRule="exact"/>
        <w:rPr>
          <w:sz w:val="20"/>
          <w:szCs w:val="20"/>
          <w:color w:val="auto"/>
        </w:rPr>
      </w:pPr>
    </w:p>
    <w:p>
      <w:pPr>
        <w:ind w:firstLine="270"/>
        <w:spacing w:after="0" w:line="293" w:lineRule="auto"/>
        <w:rPr>
          <w:sz w:val="20"/>
          <w:szCs w:val="20"/>
          <w:color w:val="auto"/>
        </w:rPr>
      </w:pPr>
      <w:r>
        <w:rPr>
          <w:rFonts w:ascii="Arial" w:cs="Arial" w:eastAsia="Arial" w:hAnsi="Arial"/>
          <w:sz w:val="16"/>
          <w:szCs w:val="16"/>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of the Chief Executive Officer</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Mr. Jaehnert received $493,269 in base salary in fiscal 2005, an increase of 5.3% from the prior year’s base salary. Based on the terms of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objective Bonus Plan, discussed above, Mr. Jaehnert earned a bonus attributable to fiscal 2005 of $734,902. In 2004, Mr. Jaehnert earned a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$700,000. In 2003, Mr. Jaehnert voluntarily elected to waive his right to his bonus, deferring the entire amount to be paid together with any bonus earned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2004, dependent upon certain financial performance in fiscal 2004. Consequently, he was paid a bonus of $96,800 in fiscal 2004 attributable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deferral. Mr. Jaehnert’s compensation reflects:</w:t>
      </w:r>
    </w:p>
    <w:p>
      <w:pPr>
        <w:spacing w:after="0" w:line="103" w:lineRule="exact"/>
        <w:rPr>
          <w:sz w:val="20"/>
          <w:szCs w:val="20"/>
          <w:color w:val="auto"/>
        </w:rPr>
      </w:pPr>
    </w:p>
    <w:p>
      <w:pPr>
        <w:ind w:left="500" w:hanging="22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strong performance as compared to its peers with respect to sales, profits and stock price performance;</w:t>
      </w:r>
    </w:p>
    <w:p>
      <w:pPr>
        <w:spacing w:after="0" w:line="117" w:lineRule="exact"/>
        <w:rPr>
          <w:rFonts w:ascii="Arial" w:cs="Arial" w:eastAsia="Arial" w:hAnsi="Arial"/>
          <w:sz w:val="18"/>
          <w:szCs w:val="18"/>
          <w:color w:val="auto"/>
        </w:rPr>
      </w:pPr>
    </w:p>
    <w:p>
      <w:pPr>
        <w:ind w:right="240" w:firstLine="278"/>
        <w:spacing w:after="0" w:line="277" w:lineRule="auto"/>
        <w:tabs>
          <w:tab w:leader="none" w:pos="5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efforts to focus the Company’s resources on sustainable value-enhancing long-term growth, which includes acquisitions and new product developments;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involvement in management team development and succession planning.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fiscal 2005, Mr. Jaehnert was awarded options to purchase 120,000 shares of Class A Common Stock.</w:t>
      </w:r>
    </w:p>
    <w:p>
      <w:pPr>
        <w:spacing w:after="0" w:line="117"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Committee believes these awards are consistent with the objectives of the various plans and with the overall compensation policy of the Board of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right="540" w:firstLine="267"/>
        <w:spacing w:after="0" w:line="308" w:lineRule="auto"/>
        <w:rPr>
          <w:sz w:val="20"/>
          <w:szCs w:val="20"/>
          <w:color w:val="auto"/>
        </w:rPr>
      </w:pPr>
      <w:r>
        <w:rPr>
          <w:rFonts w:ascii="Arial" w:cs="Arial" w:eastAsia="Arial" w:hAnsi="Arial"/>
          <w:sz w:val="17"/>
          <w:szCs w:val="17"/>
          <w:color w:val="auto"/>
        </w:rPr>
        <w:t>The Compensation Committee believes the executive compensation programs and practices described above are competitive. They are designed to provide increased compensation with improved financial performance and to provide additional opportunity for capital accumulation.</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Gary E. Nei, Chairman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Richard A. Bemis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Mary K. Bush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Roger D. Peirce</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6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17" w:lineRule="exact"/>
        <w:rPr>
          <w:sz w:val="20"/>
          <w:szCs w:val="20"/>
          <w:color w:val="auto"/>
        </w:rPr>
      </w:pPr>
    </w:p>
    <w:p>
      <w:pPr>
        <w:ind w:firstLine="267"/>
        <w:spacing w:after="0" w:line="264"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August 15, 2005. As of that date, nearly all of the voting stock of the Company was held by two trusts controlled by direct descendants of the Company’s founder, William H. Brady,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7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320" w:type="dxa"/>
            <w:vAlign w:val="bottom"/>
          </w:tcPr>
          <w:p>
            <w:pPr>
              <w:spacing w:after="0"/>
              <w:rPr>
                <w:sz w:val="12"/>
                <w:szCs w:val="12"/>
                <w:color w:val="auto"/>
              </w:rPr>
            </w:pPr>
          </w:p>
        </w:tc>
        <w:tc>
          <w:tcPr>
            <w:tcW w:w="542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Name and Address of Beneficial Owner</w:t>
            </w:r>
          </w:p>
        </w:tc>
        <w:tc>
          <w:tcPr>
            <w:tcW w:w="3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4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74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Ownership(2)</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B Common Stock</w:t>
            </w:r>
          </w:p>
        </w:tc>
        <w:tc>
          <w:tcPr>
            <w:tcW w:w="320" w:type="dxa"/>
            <w:vAlign w:val="bottom"/>
          </w:tcPr>
          <w:p>
            <w:pPr>
              <w:spacing w:after="0"/>
              <w:rPr>
                <w:sz w:val="18"/>
                <w:szCs w:val="18"/>
                <w:color w:val="auto"/>
              </w:rPr>
            </w:pPr>
          </w:p>
        </w:tc>
        <w:tc>
          <w:tcPr>
            <w:tcW w:w="5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Brady Corporation Class B Common Stock Trust(1)</w:t>
            </w:r>
          </w:p>
        </w:tc>
        <w:tc>
          <w:tcPr>
            <w:tcW w:w="3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1,769,304</w:t>
            </w:r>
          </w:p>
        </w:tc>
        <w:tc>
          <w:tcPr>
            <w:tcW w:w="7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 Elizabeth P. Pungello</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2002 S. Hawick Ct.</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Chapel Hill, NC 27516</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William H. Brady III Revocable Trust of 2003(3)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1,769,304</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 William H. Brady III</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249 Rosemont Ave.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Pasadena, CA 91103</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right="1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pacing w:after="0" w:line="17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17" w:lineRule="exact"/>
        <w:rPr>
          <w:sz w:val="20"/>
          <w:szCs w:val="20"/>
          <w:color w:val="auto"/>
        </w:rPr>
      </w:pPr>
    </w:p>
    <w:p>
      <w:pPr>
        <w:ind w:right="120" w:firstLine="267"/>
        <w:spacing w:after="0" w:line="286" w:lineRule="auto"/>
        <w:rPr>
          <w:sz w:val="20"/>
          <w:szCs w:val="20"/>
          <w:color w:val="auto"/>
        </w:rPr>
      </w:pPr>
      <w:r>
        <w:rPr>
          <w:rFonts w:ascii="Arial" w:cs="Arial" w:eastAsia="Arial" w:hAnsi="Arial"/>
          <w:sz w:val="17"/>
          <w:szCs w:val="17"/>
          <w:color w:val="auto"/>
        </w:rPr>
        <w:t>The following table sets forth the current beneficial ownership of each class of equity securities of the Company by each Director or Nominee and by all Directors and Officers of the Company as a group as of August 15, 2005. Unless otherwise noted, the address for each of the listed persons is c/o Brady Corporation, 6555 West Good Hope Road, Milwaukee, Wisconsin 53223. Except as otherwise indicated, all shares are owned directly.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Amount of</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0" w:type="dxa"/>
            <w:vAlign w:val="bottom"/>
          </w:tcPr>
          <w:p>
            <w:pPr>
              <w:spacing w:after="0"/>
              <w:rPr>
                <w:sz w:val="12"/>
                <w:szCs w:val="12"/>
                <w:color w:val="auto"/>
              </w:rPr>
            </w:pPr>
          </w:p>
        </w:tc>
        <w:tc>
          <w:tcPr>
            <w:tcW w:w="562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300" w:type="dxa"/>
            <w:vAlign w:val="bottom"/>
          </w:tcPr>
          <w:p>
            <w:pPr>
              <w:spacing w:after="0"/>
              <w:rPr>
                <w:sz w:val="12"/>
                <w:szCs w:val="12"/>
                <w:color w:val="auto"/>
              </w:rPr>
            </w:pPr>
          </w:p>
        </w:tc>
        <w:tc>
          <w:tcPr>
            <w:tcW w:w="21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Ownership(7)</w:t>
            </w:r>
          </w:p>
        </w:tc>
        <w:tc>
          <w:tcPr>
            <w:tcW w:w="680" w:type="dxa"/>
            <w:vAlign w:val="bottom"/>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20"/>
                <w:szCs w:val="20"/>
                <w:color w:val="auto"/>
              </w:rPr>
            </w:pPr>
            <w:r>
              <w:rPr>
                <w:rFonts w:ascii="Arial" w:cs="Arial" w:eastAsia="Arial" w:hAnsi="Arial"/>
                <w:sz w:val="18"/>
                <w:szCs w:val="18"/>
                <w:color w:val="auto"/>
                <w:w w:val="94"/>
              </w:rPr>
              <w:t>Class A Common Stock</w:t>
            </w: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Elizabeth P. Pungello(1)</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2,680,223</w:t>
            </w:r>
          </w:p>
        </w:tc>
        <w:tc>
          <w:tcPr>
            <w:tcW w:w="6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Frank M. Jaehnert(2)</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285,699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David R. Hawke</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243,443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Peter C. Sephton</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72,532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Matthew O. Williamson</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67,332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Conrad G. Goodkind</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41,860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Richard A. Bemis</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39,000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David Mathieson</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36,747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Roger D. Peirce(3)</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27,000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Gary E. Nei(5)</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25,000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Peter J. Lettenberger</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24,386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Frank W. Harris</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16,066</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Frank R. Jarc</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15,000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Mary K. Bush</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15,000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Robert C. Buchanan(4)</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5,867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All Officers and Directors as a Group (20 persons)(6)</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3,875,627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w w:val="94"/>
              </w:rPr>
              <w:t>Class B Common Stock</w:t>
            </w:r>
          </w:p>
        </w:tc>
        <w:tc>
          <w:tcPr>
            <w:tcW w:w="2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Elizabeth P. Pungello(1)</w:t>
            </w:r>
          </w:p>
        </w:tc>
        <w:tc>
          <w:tcPr>
            <w:tcW w:w="2400" w:type="dxa"/>
            <w:vAlign w:val="bottom"/>
            <w:gridSpan w:val="3"/>
          </w:tcPr>
          <w:p>
            <w:pPr>
              <w:jc w:val="right"/>
              <w:ind w:right="680"/>
              <w:spacing w:after="0"/>
              <w:rPr>
                <w:sz w:val="20"/>
                <w:szCs w:val="20"/>
                <w:color w:val="auto"/>
              </w:rPr>
            </w:pPr>
            <w:r>
              <w:rPr>
                <w:rFonts w:ascii="Arial" w:cs="Arial" w:eastAsia="Arial" w:hAnsi="Arial"/>
                <w:sz w:val="18"/>
                <w:szCs w:val="18"/>
                <w:color w:val="auto"/>
              </w:rPr>
              <w:t>1,769,304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580" w:hanging="450"/>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63" w:lineRule="exact"/>
        <w:rPr>
          <w:sz w:val="20"/>
          <w:szCs w:val="20"/>
          <w:color w:val="auto"/>
        </w:rPr>
      </w:pPr>
    </w:p>
    <w:p>
      <w:pPr>
        <w:ind w:left="580" w:right="80" w:hanging="450"/>
        <w:spacing w:after="0" w:line="264"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Represents 2,678,223 shares owned by trusts which Ms. Pungello is a trustee and has either sole or joint dispositive and voting authority and holds vested options to acquire an additional 2,000 shares of Class A Common Stock. In addition, Ms. Pungello is the beneficiary of an unrelated trust owning 556,479 shares, as to which she does not have voting or dispositive authority.</w:t>
      </w:r>
    </w:p>
    <w:p>
      <w:pPr>
        <w:spacing w:after="0" w:line="32" w:lineRule="exact"/>
        <w:rPr>
          <w:rFonts w:ascii="Arial" w:cs="Arial" w:eastAsia="Arial" w:hAnsi="Arial"/>
          <w:sz w:val="18"/>
          <w:szCs w:val="18"/>
          <w:color w:val="auto"/>
        </w:rPr>
      </w:pPr>
    </w:p>
    <w:p>
      <w:pPr>
        <w:ind w:left="580" w:right="380" w:hanging="450"/>
        <w:spacing w:after="0" w:line="325" w:lineRule="auto"/>
        <w:tabs>
          <w:tab w:leader="none" w:pos="5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Mr. Jaehnert owns 2,000 shares of Class A Common Stock directly and 1,034 shares in his 401(k) Plan, and holds vested options to acquire an additional 277,200 shares of Class A Common Stock. Mr. Jaehnert’s spouse owns 5,465 shares of Class A Common Stock directly.</w:t>
      </w:r>
    </w:p>
    <w:p>
      <w:pPr>
        <w:spacing w:after="0" w:line="1" w:lineRule="exact"/>
        <w:rPr>
          <w:rFonts w:ascii="Arial" w:cs="Arial" w:eastAsia="Arial" w:hAnsi="Arial"/>
          <w:sz w:val="16"/>
          <w:szCs w:val="16"/>
          <w:color w:val="auto"/>
        </w:rPr>
      </w:pPr>
    </w:p>
    <w:p>
      <w:pPr>
        <w:ind w:left="580" w:right="440" w:hanging="450"/>
        <w:spacing w:after="0" w:line="277"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Mr. Peirce owns 3,000 shares of Class A Common Stock directly, 3,000 shares through his Keogh plan and holds vested options to acquire an additional 21,000 shares of Class A Common Stock.</w:t>
      </w:r>
    </w:p>
    <w:p>
      <w:pPr>
        <w:spacing w:after="0" w:line="21" w:lineRule="exact"/>
        <w:rPr>
          <w:rFonts w:ascii="Arial" w:cs="Arial" w:eastAsia="Arial" w:hAnsi="Arial"/>
          <w:sz w:val="18"/>
          <w:szCs w:val="18"/>
          <w:color w:val="auto"/>
        </w:rPr>
      </w:pPr>
    </w:p>
    <w:p>
      <w:pPr>
        <w:ind w:left="580" w:right="200" w:hanging="450"/>
        <w:spacing w:after="0" w:line="277"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Mr. Buchanan owns 1,200 shares of Class A Common Stock directly, 3,000 additional shares through his Keogh plan and holds vested options to acquire an additional 1,667 shares of Class A Common Stock.</w:t>
      </w:r>
    </w:p>
    <w:p>
      <w:pPr>
        <w:spacing w:after="0" w:line="21" w:lineRule="exact"/>
        <w:rPr>
          <w:rFonts w:ascii="Arial" w:cs="Arial" w:eastAsia="Arial" w:hAnsi="Arial"/>
          <w:sz w:val="18"/>
          <w:szCs w:val="18"/>
          <w:color w:val="auto"/>
        </w:rPr>
      </w:pPr>
    </w:p>
    <w:p>
      <w:pPr>
        <w:ind w:left="580" w:right="120" w:hanging="450"/>
        <w:spacing w:after="0" w:line="277"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Mr. Nei owns 4,000 shares of Class A Common Stock directly (with respect to which he shares voting and investment power with his spouse) and holds vested options to acquire an additional 21,000 shares of Class A Common Stock.</w:t>
      </w:r>
    </w:p>
    <w:p>
      <w:pPr>
        <w:spacing w:after="0" w:line="21" w:lineRule="exact"/>
        <w:rPr>
          <w:rFonts w:ascii="Arial" w:cs="Arial" w:eastAsia="Arial" w:hAnsi="Arial"/>
          <w:sz w:val="18"/>
          <w:szCs w:val="18"/>
          <w:color w:val="auto"/>
        </w:rPr>
      </w:pPr>
    </w:p>
    <w:p>
      <w:pPr>
        <w:ind w:left="580" w:right="40" w:hanging="450"/>
        <w:spacing w:after="0" w:line="264"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amount shown for all officers and directors as a group (20 persons) includes options to acquire a total of 1,063,988 shares of Class A Common Stock, which are currently exercisable or will be exercisable within 60 days of August 15, 2005. It does not include other options for Class A Common Stock, which have been granted at later dates.</w:t>
      </w:r>
    </w:p>
    <w:p>
      <w:pPr>
        <w:spacing w:after="0" w:line="32" w:lineRule="exact"/>
        <w:rPr>
          <w:rFonts w:ascii="Arial" w:cs="Arial" w:eastAsia="Arial" w:hAnsi="Arial"/>
          <w:sz w:val="18"/>
          <w:szCs w:val="18"/>
          <w:color w:val="auto"/>
        </w:rPr>
      </w:pPr>
    </w:p>
    <w:p>
      <w:pPr>
        <w:ind w:left="580" w:hanging="450"/>
        <w:spacing w:after="0" w:line="277" w:lineRule="auto"/>
        <w:tabs>
          <w:tab w:leader="none" w:pos="5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addition to the shares shown in this table, the officers and directors as a group owned the equivalent of 529,535 shares of the Company’s Class A Common Stock in its deferred compensation plans.</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18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Number of securities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1"/>
              </w:rPr>
              <w:t>Weighted-average</w:t>
            </w:r>
          </w:p>
        </w:tc>
        <w:tc>
          <w:tcPr>
            <w:tcW w:w="2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68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2"/>
                <w:szCs w:val="12"/>
                <w:color w:val="auto"/>
              </w:rPr>
            </w:pPr>
          </w:p>
        </w:tc>
        <w:tc>
          <w:tcPr>
            <w:tcW w:w="2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6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78"/>
        </w:trPr>
        <w:tc>
          <w:tcPr>
            <w:tcW w:w="3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(b)</w:t>
            </w:r>
          </w:p>
        </w:tc>
        <w:tc>
          <w:tcPr>
            <w:tcW w:w="26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26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security holders</w:t>
            </w:r>
          </w:p>
        </w:tc>
        <w:tc>
          <w:tcPr>
            <w:tcW w:w="2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3,529,331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18.41</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1,307,334</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4"/>
              </w:rPr>
              <w:t>Equity compensation plans not approved by</w:t>
            </w: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security holders</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None</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None</w:t>
            </w:r>
          </w:p>
        </w:tc>
        <w:tc>
          <w:tcPr>
            <w:tcW w:w="920" w:type="dxa"/>
            <w:vAlign w:val="bottom"/>
          </w:tcPr>
          <w:p>
            <w:pPr>
              <w:spacing w:after="0"/>
              <w:rPr>
                <w:sz w:val="20"/>
                <w:szCs w:val="20"/>
                <w:color w:val="auto"/>
              </w:rPr>
            </w:pPr>
          </w:p>
        </w:tc>
        <w:tc>
          <w:tcPr>
            <w:tcW w:w="2680" w:type="dxa"/>
            <w:vAlign w:val="bottom"/>
            <w:gridSpan w:val="2"/>
          </w:tcPr>
          <w:p>
            <w:pPr>
              <w:jc w:val="right"/>
              <w:ind w:right="76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3,529,331</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920" w:type="dxa"/>
            <w:vAlign w:val="bottom"/>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1,307,334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 w:firstLine="267"/>
        <w:spacing w:after="0" w:line="291" w:lineRule="auto"/>
        <w:rPr>
          <w:sz w:val="20"/>
          <w:szCs w:val="20"/>
          <w:color w:val="auto"/>
        </w:rPr>
      </w:pPr>
      <w:r>
        <w:rPr>
          <w:rFonts w:ascii="Arial" w:cs="Arial" w:eastAsia="Arial" w:hAnsi="Arial"/>
          <w:sz w:val="16"/>
          <w:szCs w:val="16"/>
          <w:color w:val="auto"/>
        </w:rPr>
        <w:t>The Company’s Nonqualified Stock Option Plans allow the granting of stock options to various officers, directors and other employees of the Company at prices equal to fair market value at the date of grant. The Company has reserved 3,000,000, 4,250,000, 1,000,000, 1,500,000 and 1,500,000 shares of Class A Nonvoting Common Stock for issuance under the 1989, 1997, 2001, 2003, and 2004 Plans, respectively, adjusted for the two-for-one stock split in the form of a 100% stock dividend, effective December 31, 2004. Generally, options will not be exercisable until one year after the date of grant, and will be exercisable thereafter, to the extent of one-third per year and have a maximum term of ten years. In August 2003, 2004, and 2005, certain executives and key management employees were issued stock options that vest upon meeting certain financial performance conditions in addition to the vesting schedule described above. These options have a maximum term of five years. All grants under the Option Plans are at market price on the date of the grant.</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Peter J. Lettenberger serves as a Director of the Company; he recently retired as a partner of Quarles &amp; Brady LLP, general counsel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Conrad G. Goodkind serves as Secretary to the Company. He is currently a partner of Quarles &amp; Brady LLP, general counsel to the Company.</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40" w:firstLine="267"/>
        <w:spacing w:after="0" w:line="264"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2005 and 2004. Other than as set forth below, no professional services were rendered or fees billed by Deloitte &amp; Touche LLP or Deloitte Tax LLP during the years ended July 31, 2005 and 2004.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Audit and audit-related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80"/>
              <w:spacing w:after="0"/>
              <w:rPr>
                <w:sz w:val="20"/>
                <w:szCs w:val="20"/>
                <w:color w:val="auto"/>
              </w:rPr>
            </w:pPr>
            <w:r>
              <w:rPr>
                <w:rFonts w:ascii="Arial" w:cs="Arial" w:eastAsia="Arial" w:hAnsi="Arial"/>
                <w:sz w:val="18"/>
                <w:szCs w:val="18"/>
                <w:color w:val="auto"/>
              </w:rPr>
              <w:t>Audit fees(1)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1,613,000</w:t>
            </w:r>
          </w:p>
        </w:tc>
        <w:tc>
          <w:tcPr>
            <w:tcW w:w="8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607,000</w:t>
            </w: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Audit-related fees(2)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275,000</w:t>
            </w:r>
          </w:p>
        </w:tc>
      </w:tr>
      <w:tr>
        <w:trPr>
          <w:trHeight w:val="216"/>
        </w:trPr>
        <w:tc>
          <w:tcPr>
            <w:tcW w:w="20" w:type="dxa"/>
            <w:vAlign w:val="bottom"/>
          </w:tcPr>
          <w:p>
            <w:pPr>
              <w:spacing w:after="0"/>
              <w:rPr>
                <w:sz w:val="18"/>
                <w:szCs w:val="18"/>
                <w:color w:val="auto"/>
              </w:rPr>
            </w:pPr>
          </w:p>
        </w:tc>
        <w:tc>
          <w:tcPr>
            <w:tcW w:w="7380" w:type="dxa"/>
            <w:vAlign w:val="bottom"/>
            <w:gridSpan w:val="2"/>
          </w:tcPr>
          <w:p>
            <w:pPr>
              <w:ind w:left="280"/>
              <w:spacing w:after="0"/>
              <w:rPr>
                <w:sz w:val="20"/>
                <w:szCs w:val="20"/>
                <w:color w:val="auto"/>
              </w:rPr>
            </w:pPr>
            <w:r>
              <w:rPr>
                <w:rFonts w:ascii="Arial" w:cs="Arial" w:eastAsia="Arial" w:hAnsi="Arial"/>
                <w:sz w:val="18"/>
                <w:szCs w:val="18"/>
                <w:color w:val="auto"/>
              </w:rPr>
              <w:t>Tax fees — compliance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605,000</w:t>
            </w: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580"/>
              <w:spacing w:after="0"/>
              <w:rPr>
                <w:sz w:val="20"/>
                <w:szCs w:val="20"/>
                <w:color w:val="auto"/>
              </w:rPr>
            </w:pPr>
            <w:r>
              <w:rPr>
                <w:rFonts w:ascii="Arial" w:cs="Arial" w:eastAsia="Arial" w:hAnsi="Arial"/>
                <w:sz w:val="18"/>
                <w:szCs w:val="18"/>
                <w:i w:val="1"/>
                <w:iCs w:val="1"/>
                <w:color w:val="auto"/>
              </w:rPr>
              <w:t>Subtotal audit and audit-related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2,194,000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1,487,000</w:t>
            </w: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i w:val="1"/>
                <w:iCs w:val="1"/>
                <w:color w:val="auto"/>
              </w:rPr>
              <w:t>Non-audit related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Tax fees — planning and advice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998,000</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512,000</w:t>
            </w:r>
          </w:p>
        </w:tc>
      </w:tr>
      <w:tr>
        <w:trPr>
          <w:trHeight w:val="216"/>
        </w:trPr>
        <w:tc>
          <w:tcPr>
            <w:tcW w:w="20" w:type="dxa"/>
            <w:vAlign w:val="bottom"/>
          </w:tcPr>
          <w:p>
            <w:pPr>
              <w:spacing w:after="0"/>
              <w:rPr>
                <w:sz w:val="18"/>
                <w:szCs w:val="18"/>
                <w:color w:val="auto"/>
              </w:rPr>
            </w:pPr>
          </w:p>
        </w:tc>
        <w:tc>
          <w:tcPr>
            <w:tcW w:w="7380" w:type="dxa"/>
            <w:vAlign w:val="bottom"/>
            <w:gridSpan w:val="2"/>
          </w:tcPr>
          <w:p>
            <w:pPr>
              <w:ind w:left="280"/>
              <w:spacing w:after="0"/>
              <w:rPr>
                <w:sz w:val="20"/>
                <w:szCs w:val="20"/>
                <w:color w:val="auto"/>
              </w:rPr>
            </w:pPr>
            <w:r>
              <w:rPr>
                <w:rFonts w:ascii="Arial" w:cs="Arial" w:eastAsia="Arial" w:hAnsi="Arial"/>
                <w:sz w:val="18"/>
                <w:szCs w:val="18"/>
                <w:color w:val="auto"/>
              </w:rPr>
              <w:t>Other fees(3)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55,000</w:t>
            </w: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580"/>
              <w:spacing w:after="0"/>
              <w:rPr>
                <w:sz w:val="20"/>
                <w:szCs w:val="20"/>
                <w:color w:val="auto"/>
              </w:rPr>
            </w:pPr>
            <w:r>
              <w:rPr>
                <w:rFonts w:ascii="Arial" w:cs="Arial" w:eastAsia="Arial" w:hAnsi="Arial"/>
                <w:sz w:val="18"/>
                <w:szCs w:val="18"/>
                <w:i w:val="1"/>
                <w:iCs w:val="1"/>
                <w:color w:val="auto"/>
              </w:rPr>
              <w:t>Subtotal non-audit related fees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1,061,000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567,000</w:t>
            </w:r>
          </w:p>
        </w:tc>
      </w:tr>
      <w:tr>
        <w:trPr>
          <w:trHeight w:val="223"/>
        </w:trPr>
        <w:tc>
          <w:tcPr>
            <w:tcW w:w="7400" w:type="dxa"/>
            <w:vAlign w:val="bottom"/>
            <w:gridSpan w:val="3"/>
          </w:tcPr>
          <w:p>
            <w:pPr>
              <w:spacing w:after="0"/>
              <w:rPr>
                <w:sz w:val="20"/>
                <w:szCs w:val="20"/>
                <w:color w:val="auto"/>
              </w:rPr>
            </w:pPr>
            <w:r>
              <w:rPr>
                <w:rFonts w:ascii="Arial" w:cs="Arial" w:eastAsia="Arial" w:hAnsi="Arial"/>
                <w:sz w:val="18"/>
                <w:szCs w:val="18"/>
                <w:b w:val="1"/>
                <w:bCs w:val="1"/>
                <w:color w:val="auto"/>
              </w:rPr>
              <w:t>Total fees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3,255,000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2,054,000</w:t>
            </w:r>
          </w:p>
        </w:tc>
        <w:tc>
          <w:tcPr>
            <w:tcW w:w="5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r>
    </w:tbl>
    <w:p>
      <w:pPr>
        <w:spacing w:after="0" w:line="67" w:lineRule="exact"/>
        <w:rPr>
          <w:sz w:val="20"/>
          <w:szCs w:val="20"/>
          <w:color w:val="auto"/>
        </w:rPr>
      </w:pPr>
    </w:p>
    <w:p>
      <w:pPr>
        <w:ind w:left="460" w:right="4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 related fees include fees related to due diligence, compliance with the Sarbanes-Oxley Act and employee benefit plan audits.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fees include fees related to expatriate activities.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vMerge w:val="restart"/>
          </w:tcPr>
          <w:p>
            <w:pPr>
              <w:spacing w:after="0"/>
              <w:rPr>
                <w:sz w:val="20"/>
                <w:szCs w:val="20"/>
                <w:color w:val="auto"/>
              </w:rPr>
            </w:pPr>
            <w:r>
              <w:rPr>
                <w:rFonts w:ascii="Arial" w:cs="Arial" w:eastAsia="Arial" w:hAnsi="Arial"/>
                <w:sz w:val="18"/>
                <w:szCs w:val="18"/>
                <w:color w:val="auto"/>
              </w:rPr>
              <w:t>Ratio of Tax Planning and Advice Fees and All Other Fees to Audit Fees, Audit-Related Fees and Tax</w:t>
            </w: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2005</w:t>
            </w:r>
          </w:p>
        </w:tc>
        <w:tc>
          <w:tcPr>
            <w:tcW w:w="760" w:type="dxa"/>
            <w:vAlign w:val="bottom"/>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09"/>
        </w:trPr>
        <w:tc>
          <w:tcPr>
            <w:tcW w:w="85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Compliance Fees</w:t>
            </w:r>
          </w:p>
        </w:tc>
        <w:tc>
          <w:tcPr>
            <w:tcW w:w="1640" w:type="dxa"/>
            <w:vAlign w:val="bottom"/>
            <w:gridSpan w:val="2"/>
          </w:tcPr>
          <w:p>
            <w:pPr>
              <w:ind w:left="440"/>
              <w:spacing w:after="0"/>
              <w:rPr>
                <w:sz w:val="20"/>
                <w:szCs w:val="20"/>
                <w:color w:val="auto"/>
              </w:rPr>
            </w:pPr>
            <w:r>
              <w:rPr>
                <w:rFonts w:ascii="Arial" w:cs="Arial" w:eastAsia="Arial" w:hAnsi="Arial"/>
                <w:sz w:val="18"/>
                <w:szCs w:val="18"/>
                <w:color w:val="auto"/>
              </w:rPr>
              <w:t>.5 to 1</w:t>
            </w:r>
          </w:p>
        </w:tc>
        <w:tc>
          <w:tcPr>
            <w:tcW w:w="900" w:type="dxa"/>
            <w:vAlign w:val="bottom"/>
          </w:tcPr>
          <w:p>
            <w:pPr>
              <w:jc w:val="right"/>
              <w:spacing w:after="0"/>
              <w:rPr>
                <w:sz w:val="20"/>
                <w:szCs w:val="20"/>
                <w:color w:val="auto"/>
              </w:rPr>
            </w:pPr>
            <w:r>
              <w:rPr>
                <w:rFonts w:ascii="Arial" w:cs="Arial" w:eastAsia="Arial" w:hAnsi="Arial"/>
                <w:sz w:val="18"/>
                <w:szCs w:val="18"/>
                <w:color w:val="auto"/>
              </w:rPr>
              <w:t>.4 to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 The services performed by the Registered Public Accounting Firm (“Independent Auditors”) in fiscal 2004 and 2005 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63" w:lineRule="exact"/>
        <w:rPr>
          <w:sz w:val="20"/>
          <w:szCs w:val="20"/>
          <w:color w:val="auto"/>
        </w:rPr>
      </w:pPr>
    </w:p>
    <w:p>
      <w:pPr>
        <w:ind w:left="1040" w:right="6280" w:hanging="343"/>
        <w:spacing w:after="0" w:line="383" w:lineRule="auto"/>
        <w:tabs>
          <w:tab w:leader="none" w:pos="9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&amp; 2)Consolidated Financial Statement Schedule — Schedule II Valuation and Qualifying Accounts</w:t>
      </w:r>
    </w:p>
    <w:p>
      <w:pPr>
        <w:spacing w:after="0" w:line="1"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8" w:lineRule="exact"/>
        <w:rPr>
          <w:sz w:val="20"/>
          <w:szCs w:val="20"/>
          <w:color w:val="auto"/>
        </w:rPr>
      </w:pPr>
    </w:p>
    <w:p>
      <w:pPr>
        <w:ind w:left="1040" w:hanging="34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Exhibits — See Exhibit Index at page IV-2 of this Form 10-K.</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2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02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60" w:type="dxa"/>
            <w:vAlign w:val="bottom"/>
          </w:tcPr>
          <w:p>
            <w:pPr>
              <w:jc w:val="right"/>
              <w:ind w:right="671"/>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Restated Articles of Incorporation of Brady Corporation(1)</w:t>
            </w:r>
          </w:p>
        </w:tc>
        <w:tc>
          <w:tcPr>
            <w:tcW w:w="0" w:type="dxa"/>
            <w:vAlign w:val="bottom"/>
          </w:tcPr>
          <w:p>
            <w:pPr>
              <w:spacing w:after="0"/>
              <w:rPr>
                <w:sz w:val="1"/>
                <w:szCs w:val="1"/>
                <w:color w:val="auto"/>
              </w:rPr>
            </w:pPr>
          </w:p>
        </w:tc>
      </w:tr>
      <w:tr>
        <w:trPr>
          <w:trHeight w:val="216"/>
        </w:trPr>
        <w:tc>
          <w:tcPr>
            <w:tcW w:w="2060" w:type="dxa"/>
            <w:vAlign w:val="bottom"/>
          </w:tcPr>
          <w:p>
            <w:pPr>
              <w:jc w:val="right"/>
              <w:ind w:right="671"/>
              <w:spacing w:after="0"/>
              <w:rPr>
                <w:sz w:val="20"/>
                <w:szCs w:val="20"/>
                <w:color w:val="auto"/>
              </w:rPr>
            </w:pPr>
            <w:r>
              <w:rPr>
                <w:rFonts w:ascii="Arial" w:cs="Arial" w:eastAsia="Arial" w:hAnsi="Arial"/>
                <w:sz w:val="18"/>
                <w:szCs w:val="18"/>
                <w:color w:val="auto"/>
              </w:rPr>
              <w:t>3.2</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By-laws of Brady Corporation, as amended(2)</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w w:val="93"/>
              </w:rPr>
              <w:t>Form of Brady Corporation (2004) Change of Control Agreement entered into with Thomas Felmer, Allan Klotsche, David</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Mathieson, Peter Sephton, and Matthew Williamson(17)</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BradyGold Plan, as amended(2)</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*10.3</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Executive Additional Compensation Plan, as amended(2)</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*10.4</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Form of Executive’s Deferred Compensation Agreement, as amended(11)</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*10.5</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Forms of Director’s Deferred Compensation Agreement, as amended(11)</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*10.6</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1989 Non-Qualified Stock Option Plan(4)</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*10.7</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2004 Omnibus Incentive Stock Plan(17)</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*10.8</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w w:val="93"/>
              </w:rPr>
              <w:t>Form of Brady Corporation 2004 Nonqualified Stock Option Agreement under the 2004 Omnibus Incentive Stock Plan, as</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216"/>
        </w:trPr>
        <w:tc>
          <w:tcPr>
            <w:tcW w:w="2060" w:type="dxa"/>
            <w:vAlign w:val="bottom"/>
          </w:tcPr>
          <w:p>
            <w:pPr>
              <w:ind w:left="980"/>
              <w:spacing w:after="0"/>
              <w:rPr>
                <w:sz w:val="20"/>
                <w:szCs w:val="20"/>
                <w:color w:val="auto"/>
              </w:rPr>
            </w:pPr>
            <w:r>
              <w:rPr>
                <w:rFonts w:ascii="Arial" w:cs="Arial" w:eastAsia="Arial" w:hAnsi="Arial"/>
                <w:sz w:val="18"/>
                <w:szCs w:val="18"/>
                <w:color w:val="auto"/>
              </w:rPr>
              <w:t>10.9</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Automatic Dividend Reinvestment Plan(4)</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*10.10</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Supplemental Executive Retirement Plan between Brady Corporation and Katherine M. Hudson(5)</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*10.11</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Supplemental Executive Retirement Plan between Brady Corporation and Donald E. Rearic(16)</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*10.12</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1997 Omnibus Incentive Stock Plan(7)</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*10.13</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1997 Nonqualified Stock Option Plan for Non-Employee Directors(7)</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*10.17</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Change of Control Agreement dated January 5, 2001, between Brady Corporation and David R. Hawke(10)</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*10.18</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Change of Control Agreement dated May 13, 1997, between Brady Corporation and Donald E. Rearic(16)</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*10.23</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Restricted Stock Agreement dated August 1, 1997, between Brady Corporation and David R. Hawke(8)</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*10.24</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w w:val="92"/>
              </w:rPr>
              <w:t>Amendment to Change of Control Agreement dated May 20, 2003, between Brady Corporation and Frank M. Jaehnert(14)</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*10.25</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Restoration Plan dated January 1, 2000(9)</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*10.26</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2001 Omnibus Incentive Stock Plan(11)</w:t>
            </w:r>
          </w:p>
        </w:tc>
        <w:tc>
          <w:tcPr>
            <w:tcW w:w="0" w:type="dxa"/>
            <w:vAlign w:val="bottom"/>
          </w:tcPr>
          <w:p>
            <w:pPr>
              <w:spacing w:after="0"/>
              <w:rPr>
                <w:sz w:val="1"/>
                <w:szCs w:val="1"/>
                <w:color w:val="auto"/>
              </w:rPr>
            </w:pPr>
          </w:p>
        </w:tc>
      </w:tr>
      <w:tr>
        <w:trPr>
          <w:trHeight w:val="216"/>
        </w:trPr>
        <w:tc>
          <w:tcPr>
            <w:tcW w:w="2060" w:type="dxa"/>
            <w:vAlign w:val="bottom"/>
          </w:tcPr>
          <w:p>
            <w:pPr>
              <w:ind w:left="980"/>
              <w:spacing w:after="0"/>
              <w:rPr>
                <w:sz w:val="20"/>
                <w:szCs w:val="20"/>
                <w:color w:val="auto"/>
              </w:rPr>
            </w:pPr>
            <w:r>
              <w:rPr>
                <w:rFonts w:ascii="Arial" w:cs="Arial" w:eastAsia="Arial" w:hAnsi="Arial"/>
                <w:sz w:val="18"/>
                <w:szCs w:val="18"/>
                <w:color w:val="auto"/>
              </w:rPr>
              <w:t>10.27</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 Credit Agreement(12)</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*10.28</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Change of Control Agreement dated January 5, 2001, between Brady Corporation and Michael O. Oliver(13)</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*10.29</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Corporation 2003 Omnibus Incentive Stock Plan(16)</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*10.30</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Restricted Stock Agreement dated June 18, 2003, between Brady Corporation and David R. Hawke(16)</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*10.31</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Restricted Stock Agreement dated June 18, 2003, between Brady Corporation and Michael O. Oliver(16)</w:t>
            </w:r>
          </w:p>
        </w:tc>
        <w:tc>
          <w:tcPr>
            <w:tcW w:w="0" w:type="dxa"/>
            <w:vAlign w:val="bottom"/>
          </w:tcPr>
          <w:p>
            <w:pPr>
              <w:spacing w:after="0"/>
              <w:rPr>
                <w:sz w:val="1"/>
                <w:szCs w:val="1"/>
                <w:color w:val="auto"/>
              </w:rPr>
            </w:pPr>
          </w:p>
        </w:tc>
      </w:tr>
      <w:tr>
        <w:trPr>
          <w:trHeight w:val="216"/>
        </w:trPr>
        <w:tc>
          <w:tcPr>
            <w:tcW w:w="2060" w:type="dxa"/>
            <w:vAlign w:val="bottom"/>
          </w:tcPr>
          <w:p>
            <w:pPr>
              <w:ind w:left="880"/>
              <w:spacing w:after="0"/>
              <w:rPr>
                <w:sz w:val="20"/>
                <w:szCs w:val="20"/>
                <w:color w:val="auto"/>
              </w:rPr>
            </w:pPr>
            <w:r>
              <w:rPr>
                <w:rFonts w:ascii="Arial" w:cs="Arial" w:eastAsia="Arial" w:hAnsi="Arial"/>
                <w:sz w:val="18"/>
                <w:szCs w:val="18"/>
                <w:color w:val="auto"/>
              </w:rPr>
              <w:t>*10.34</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Brady Note Purchase Agreement dated June 28, 2004(15)</w:t>
            </w:r>
          </w:p>
        </w:tc>
        <w:tc>
          <w:tcPr>
            <w:tcW w:w="0" w:type="dxa"/>
            <w:vAlign w:val="bottom"/>
          </w:tcPr>
          <w:p>
            <w:pPr>
              <w:spacing w:after="0"/>
              <w:rPr>
                <w:sz w:val="1"/>
                <w:szCs w:val="1"/>
                <w:color w:val="auto"/>
              </w:rPr>
            </w:pPr>
          </w:p>
        </w:tc>
      </w:tr>
      <w:tr>
        <w:trPr>
          <w:trHeight w:val="216"/>
        </w:trPr>
        <w:tc>
          <w:tcPr>
            <w:tcW w:w="2060" w:type="dxa"/>
            <w:vAlign w:val="bottom"/>
          </w:tcPr>
          <w:p>
            <w:pPr>
              <w:ind w:left="980"/>
              <w:spacing w:after="0"/>
              <w:rPr>
                <w:sz w:val="20"/>
                <w:szCs w:val="20"/>
                <w:color w:val="auto"/>
              </w:rPr>
            </w:pPr>
            <w:r>
              <w:rPr>
                <w:rFonts w:ascii="Arial" w:cs="Arial" w:eastAsia="Arial" w:hAnsi="Arial"/>
                <w:sz w:val="18"/>
                <w:szCs w:val="18"/>
                <w:color w:val="auto"/>
              </w:rPr>
              <w:t>21</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Subsidiaries of Brady Corporation</w:t>
            </w:r>
          </w:p>
        </w:tc>
        <w:tc>
          <w:tcPr>
            <w:tcW w:w="0" w:type="dxa"/>
            <w:vAlign w:val="bottom"/>
          </w:tcPr>
          <w:p>
            <w:pPr>
              <w:spacing w:after="0"/>
              <w:rPr>
                <w:sz w:val="1"/>
                <w:szCs w:val="1"/>
                <w:color w:val="auto"/>
              </w:rPr>
            </w:pPr>
          </w:p>
        </w:tc>
      </w:tr>
      <w:tr>
        <w:trPr>
          <w:trHeight w:val="216"/>
        </w:trPr>
        <w:tc>
          <w:tcPr>
            <w:tcW w:w="2060" w:type="dxa"/>
            <w:vAlign w:val="bottom"/>
          </w:tcPr>
          <w:p>
            <w:pPr>
              <w:ind w:left="980"/>
              <w:spacing w:after="0"/>
              <w:rPr>
                <w:sz w:val="20"/>
                <w:szCs w:val="20"/>
                <w:color w:val="auto"/>
              </w:rPr>
            </w:pPr>
            <w:r>
              <w:rPr>
                <w:rFonts w:ascii="Arial" w:cs="Arial" w:eastAsia="Arial" w:hAnsi="Arial"/>
                <w:sz w:val="18"/>
                <w:szCs w:val="18"/>
                <w:color w:val="auto"/>
              </w:rPr>
              <w:t>23</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c>
          <w:tcPr>
            <w:tcW w:w="0" w:type="dxa"/>
            <w:vAlign w:val="bottom"/>
          </w:tcPr>
          <w:p>
            <w:pPr>
              <w:spacing w:after="0"/>
              <w:rPr>
                <w:sz w:val="1"/>
                <w:szCs w:val="1"/>
                <w:color w:val="auto"/>
              </w:rPr>
            </w:pPr>
          </w:p>
        </w:tc>
      </w:tr>
      <w:tr>
        <w:trPr>
          <w:trHeight w:val="230"/>
        </w:trPr>
        <w:tc>
          <w:tcPr>
            <w:tcW w:w="2060" w:type="dxa"/>
            <w:vAlign w:val="bottom"/>
          </w:tcPr>
          <w:p>
            <w:pPr>
              <w:ind w:left="980"/>
              <w:spacing w:after="0"/>
              <w:rPr>
                <w:sz w:val="20"/>
                <w:szCs w:val="20"/>
                <w:color w:val="auto"/>
              </w:rPr>
            </w:pPr>
            <w:r>
              <w:rPr>
                <w:rFonts w:ascii="Arial" w:cs="Arial" w:eastAsia="Arial" w:hAnsi="Arial"/>
                <w:sz w:val="18"/>
                <w:szCs w:val="18"/>
                <w:color w:val="auto"/>
              </w:rPr>
              <w:t>31.1</w:t>
            </w:r>
          </w:p>
        </w:tc>
        <w:tc>
          <w:tcPr>
            <w:tcW w:w="9360" w:type="dxa"/>
            <w:vAlign w:val="bottom"/>
            <w:gridSpan w:val="2"/>
          </w:tcPr>
          <w:p>
            <w:pPr>
              <w:ind w:left="340"/>
              <w:spacing w:after="0"/>
              <w:rPr>
                <w:sz w:val="20"/>
                <w:szCs w:val="20"/>
                <w:color w:val="auto"/>
              </w:rPr>
            </w:pPr>
            <w:r>
              <w:rPr>
                <w:rFonts w:ascii="Arial" w:cs="Arial" w:eastAsia="Arial" w:hAnsi="Arial"/>
                <w:sz w:val="18"/>
                <w:szCs w:val="18"/>
                <w:color w:val="auto"/>
              </w:rPr>
              <w:t>Rule 13a-14(a)/15d-14(a) Certification of Frank M. Jaehnert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jc w:val="right"/>
              <w:ind w:right="757"/>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0" w:type="dxa"/>
            <w:vAlign w:val="bottom"/>
            <w:vMerge w:val="restart"/>
          </w:tcPr>
          <w:p>
            <w:pPr>
              <w:ind w:left="3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20" w:type="dxa"/>
            <w:vAlign w:val="bottom"/>
          </w:tcPr>
          <w:p>
            <w:pPr>
              <w:jc w:val="right"/>
              <w:ind w:right="697"/>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Rule 13a-14(a)/15d-14(a) Certification of David Mathieson</w:t>
            </w:r>
          </w:p>
        </w:tc>
        <w:tc>
          <w:tcPr>
            <w:tcW w:w="0" w:type="dxa"/>
            <w:vAlign w:val="bottom"/>
          </w:tcPr>
          <w:p>
            <w:pPr>
              <w:spacing w:after="0"/>
              <w:rPr>
                <w:sz w:val="1"/>
                <w:szCs w:val="1"/>
                <w:color w:val="auto"/>
              </w:rPr>
            </w:pPr>
          </w:p>
        </w:tc>
      </w:tr>
      <w:tr>
        <w:trPr>
          <w:trHeight w:val="216"/>
        </w:trPr>
        <w:tc>
          <w:tcPr>
            <w:tcW w:w="2120" w:type="dxa"/>
            <w:vAlign w:val="bottom"/>
          </w:tcPr>
          <w:p>
            <w:pPr>
              <w:jc w:val="right"/>
              <w:ind w:right="697"/>
              <w:spacing w:after="0"/>
              <w:rPr>
                <w:sz w:val="20"/>
                <w:szCs w:val="20"/>
                <w:color w:val="auto"/>
              </w:rPr>
            </w:pPr>
            <w:r>
              <w:rPr>
                <w:rFonts w:ascii="Arial" w:cs="Arial" w:eastAsia="Arial" w:hAnsi="Arial"/>
                <w:sz w:val="18"/>
                <w:szCs w:val="18"/>
                <w:color w:val="auto"/>
              </w:rPr>
              <w:t>32.1</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w w:val="89"/>
              </w:rPr>
              <w:t>Section 1350</w:t>
            </w:r>
          </w:p>
        </w:tc>
        <w:tc>
          <w:tcPr>
            <w:tcW w:w="800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c>
          <w:tcPr>
            <w:tcW w:w="0" w:type="dxa"/>
            <w:vAlign w:val="bottom"/>
          </w:tcPr>
          <w:p>
            <w:pPr>
              <w:spacing w:after="0"/>
              <w:rPr>
                <w:sz w:val="1"/>
                <w:szCs w:val="1"/>
                <w:color w:val="auto"/>
              </w:rPr>
            </w:pPr>
          </w:p>
        </w:tc>
      </w:tr>
      <w:tr>
        <w:trPr>
          <w:trHeight w:val="230"/>
        </w:trPr>
        <w:tc>
          <w:tcPr>
            <w:tcW w:w="2120" w:type="dxa"/>
            <w:vAlign w:val="bottom"/>
          </w:tcPr>
          <w:p>
            <w:pPr>
              <w:jc w:val="right"/>
              <w:ind w:right="697"/>
              <w:spacing w:after="0"/>
              <w:rPr>
                <w:sz w:val="20"/>
                <w:szCs w:val="20"/>
                <w:color w:val="auto"/>
              </w:rPr>
            </w:pPr>
            <w:r>
              <w:rPr>
                <w:rFonts w:ascii="Arial" w:cs="Arial" w:eastAsia="Arial" w:hAnsi="Arial"/>
                <w:sz w:val="18"/>
                <w:szCs w:val="18"/>
                <w:color w:val="auto"/>
              </w:rPr>
              <w:t>32.2</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w w:val="89"/>
              </w:rPr>
              <w:t>Section 1350</w:t>
            </w:r>
          </w:p>
        </w:tc>
        <w:tc>
          <w:tcPr>
            <w:tcW w:w="8000" w:type="dxa"/>
            <w:vAlign w:val="bottom"/>
          </w:tcPr>
          <w:p>
            <w:pPr>
              <w:ind w:left="20"/>
              <w:spacing w:after="0"/>
              <w:rPr>
                <w:sz w:val="20"/>
                <w:szCs w:val="20"/>
                <w:color w:val="auto"/>
              </w:rPr>
            </w:pPr>
            <w:r>
              <w:rPr>
                <w:rFonts w:ascii="Arial" w:cs="Arial" w:eastAsia="Arial" w:hAnsi="Arial"/>
                <w:sz w:val="18"/>
                <w:szCs w:val="18"/>
                <w:color w:val="auto"/>
              </w:rPr>
              <w:t>Certification of David Mathieson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580" w:hanging="450"/>
        <w:spacing w:after="0"/>
        <w:tabs>
          <w:tab w:leader="none" w:pos="5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1989</w:t>
      </w:r>
    </w:p>
    <w:p>
      <w:pPr>
        <w:spacing w:after="0" w:line="7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1994</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1997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2000</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2001</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2002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2002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2003</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24, 2004.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vMerge w:val="restart"/>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0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accounts deducted in balance sheet from assets to which they apply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300"/>
              <w:spacing w:after="0"/>
              <w:rPr>
                <w:sz w:val="20"/>
                <w:szCs w:val="20"/>
                <w:color w:val="auto"/>
              </w:rPr>
            </w:pPr>
            <w:r>
              <w:rPr>
                <w:rFonts w:ascii="Arial" w:cs="Arial" w:eastAsia="Arial" w:hAnsi="Arial"/>
                <w:sz w:val="18"/>
                <w:szCs w:val="18"/>
                <w:color w:val="auto"/>
              </w:rPr>
              <w:t>Accounts receivable — allowance for losses: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Balances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3,166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7400" w:type="dxa"/>
            <w:vAlign w:val="bottom"/>
            <w:gridSpan w:val="2"/>
          </w:tcPr>
          <w:p>
            <w:pPr>
              <w:ind w:left="300"/>
              <w:spacing w:after="0"/>
              <w:rPr>
                <w:sz w:val="20"/>
                <w:szCs w:val="20"/>
                <w:color w:val="auto"/>
              </w:rPr>
            </w:pPr>
            <w:r>
              <w:rPr>
                <w:rFonts w:ascii="Arial" w:cs="Arial" w:eastAsia="Arial" w:hAnsi="Arial"/>
                <w:sz w:val="18"/>
                <w:szCs w:val="18"/>
                <w:color w:val="auto"/>
              </w:rPr>
              <w:t>Additions — Charged to expense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Due to acquired businesses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7400" w:type="dxa"/>
            <w:vAlign w:val="bottom"/>
            <w:gridSpan w:val="2"/>
          </w:tcPr>
          <w:p>
            <w:pPr>
              <w:ind w:left="300"/>
              <w:spacing w:after="0"/>
              <w:rPr>
                <w:sz w:val="20"/>
                <w:szCs w:val="20"/>
                <w:color w:val="auto"/>
              </w:rPr>
            </w:pPr>
            <w:r>
              <w:rPr>
                <w:rFonts w:ascii="Arial" w:cs="Arial" w:eastAsia="Arial" w:hAnsi="Arial"/>
                <w:sz w:val="18"/>
                <w:szCs w:val="18"/>
                <w:color w:val="auto"/>
              </w:rPr>
              <w:t>Deductions — Bad debts written off, net of recoveries</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(1,470)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Balances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
        </w:trPr>
        <w:tc>
          <w:tcPr>
            <w:tcW w:w="7400" w:type="dxa"/>
            <w:vAlign w:val="bottom"/>
            <w:gridSpan w:val="2"/>
            <w:vMerge w:val="restart"/>
          </w:tcPr>
          <w:p>
            <w:pPr>
              <w:ind w:left="300"/>
              <w:spacing w:after="0"/>
              <w:rPr>
                <w:sz w:val="20"/>
                <w:szCs w:val="20"/>
                <w:color w:val="auto"/>
              </w:rPr>
            </w:pPr>
            <w:r>
              <w:rPr>
                <w:rFonts w:ascii="Arial" w:cs="Arial" w:eastAsia="Arial" w:hAnsi="Arial"/>
                <w:sz w:val="18"/>
                <w:szCs w:val="18"/>
                <w:color w:val="auto"/>
              </w:rPr>
              <w:t>Inventory — reserve for slow-moving inventory: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Balances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7400" w:type="dxa"/>
            <w:vAlign w:val="bottom"/>
            <w:gridSpan w:val="2"/>
          </w:tcPr>
          <w:p>
            <w:pPr>
              <w:ind w:left="300"/>
              <w:spacing w:after="0"/>
              <w:rPr>
                <w:sz w:val="20"/>
                <w:szCs w:val="20"/>
                <w:color w:val="auto"/>
              </w:rPr>
            </w:pPr>
            <w:r>
              <w:rPr>
                <w:rFonts w:ascii="Arial" w:cs="Arial" w:eastAsia="Arial" w:hAnsi="Arial"/>
                <w:sz w:val="18"/>
                <w:szCs w:val="18"/>
                <w:color w:val="auto"/>
              </w:rPr>
              <w:t>Additions — Charged to expense</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Due to acquired businesses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7400" w:type="dxa"/>
            <w:vAlign w:val="bottom"/>
            <w:gridSpan w:val="2"/>
          </w:tcPr>
          <w:p>
            <w:pPr>
              <w:ind w:left="300"/>
              <w:spacing w:after="0"/>
              <w:rPr>
                <w:sz w:val="20"/>
                <w:szCs w:val="20"/>
                <w:color w:val="auto"/>
              </w:rPr>
            </w:pPr>
            <w:r>
              <w:rPr>
                <w:rFonts w:ascii="Arial" w:cs="Arial" w:eastAsia="Arial" w:hAnsi="Arial"/>
                <w:sz w:val="18"/>
                <w:szCs w:val="18"/>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third day of October 2005.</w:t>
      </w:r>
    </w:p>
    <w:p>
      <w:pPr>
        <w:spacing w:after="0" w:line="3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M</w:t>
      </w:r>
      <w:r>
        <w:rPr>
          <w:rFonts w:ascii="Arial" w:cs="Arial" w:eastAsia="Arial" w:hAnsi="Arial"/>
          <w:sz w:val="12"/>
          <w:szCs w:val="12"/>
          <w:color w:val="auto"/>
        </w:rPr>
        <w:t>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40640</wp:posOffset>
            </wp:positionV>
            <wp:extent cx="43478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David Mathieson</w:t>
      </w:r>
    </w:p>
    <w:p>
      <w:pPr>
        <w:spacing w:after="0" w:line="23"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Vice President &amp; Chief Financial Officer</w:t>
      </w:r>
    </w:p>
    <w:p>
      <w:pPr>
        <w:spacing w:after="0" w:line="9"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jc w:val="center"/>
        <w:ind w:left="4560"/>
        <w:spacing w:after="0"/>
        <w:rPr>
          <w:sz w:val="20"/>
          <w:szCs w:val="20"/>
          <w:color w:val="auto"/>
        </w:rPr>
      </w:pPr>
      <w:r>
        <w:rPr>
          <w:rFonts w:ascii="Arial" w:cs="Arial" w:eastAsia="Arial" w:hAnsi="Arial"/>
          <w:sz w:val="18"/>
          <w:szCs w:val="18"/>
          <w:i w:val="1"/>
          <w:iCs w:val="1"/>
          <w:color w:val="auto"/>
        </w:rPr>
        <w:t>(Principal Financial Officer)</w:t>
      </w:r>
    </w:p>
    <w:p>
      <w:pPr>
        <w:spacing w:after="0" w:line="319" w:lineRule="exact"/>
        <w:rPr>
          <w:sz w:val="20"/>
          <w:szCs w:val="20"/>
          <w:color w:val="auto"/>
        </w:rPr>
      </w:pPr>
    </w:p>
    <w:p>
      <w:pPr>
        <w:ind w:right="54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spacing w:after="0"/>
              <w:rPr>
                <w:sz w:val="20"/>
                <w:szCs w:val="20"/>
                <w:color w:val="auto"/>
              </w:rPr>
            </w:pPr>
            <w:r>
              <w:rPr>
                <w:rFonts w:ascii="Arial" w:cs="Arial" w:eastAsia="Arial" w:hAnsi="Arial"/>
                <w:sz w:val="18"/>
                <w:szCs w:val="18"/>
                <w:color w:val="auto"/>
                <w:w w:val="93"/>
              </w:rPr>
              <w:t>/s/ F. M. J</w:t>
            </w:r>
            <w:r>
              <w:rPr>
                <w:rFonts w:ascii="Arial" w:cs="Arial" w:eastAsia="Arial" w:hAnsi="Arial"/>
                <w:sz w:val="12"/>
                <w:szCs w:val="12"/>
                <w:color w:val="auto"/>
                <w:w w:val="93"/>
              </w:rPr>
              <w:t>AEHNERT</w:t>
            </w:r>
          </w:p>
        </w:tc>
        <w:tc>
          <w:tcPr>
            <w:tcW w:w="4460" w:type="dxa"/>
            <w:vAlign w:val="bottom"/>
          </w:tcPr>
          <w:p>
            <w:pPr>
              <w:jc w:val="center"/>
              <w:ind w:left="470"/>
              <w:spacing w:after="0"/>
              <w:rPr>
                <w:sz w:val="20"/>
                <w:szCs w:val="20"/>
                <w:color w:val="auto"/>
              </w:rPr>
            </w:pPr>
            <w:r>
              <w:rPr>
                <w:rFonts w:ascii="Arial" w:cs="Arial" w:eastAsia="Arial" w:hAnsi="Arial"/>
                <w:sz w:val="18"/>
                <w:szCs w:val="18"/>
                <w:color w:val="auto"/>
                <w:w w:val="90"/>
              </w:rPr>
              <w:t>President and 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55"/>
        </w:trPr>
        <w:tc>
          <w:tcPr>
            <w:tcW w:w="4580" w:type="dxa"/>
            <w:vAlign w:val="bottom"/>
            <w:tcBorders>
              <w:bottom w:val="single" w:sz="8" w:color="auto"/>
            </w:tcBorders>
          </w:tcPr>
          <w:p>
            <w:pPr>
              <w:spacing w:after="0"/>
              <w:rPr>
                <w:sz w:val="4"/>
                <w:szCs w:val="4"/>
                <w:color w:val="auto"/>
              </w:rPr>
            </w:pPr>
          </w:p>
        </w:tc>
        <w:tc>
          <w:tcPr>
            <w:tcW w:w="4460" w:type="dxa"/>
            <w:vAlign w:val="bottom"/>
            <w:vMerge w:val="restart"/>
          </w:tcPr>
          <w:p>
            <w:pPr>
              <w:jc w:val="center"/>
              <w:ind w:left="47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89"/>
              </w:rPr>
              <w:t>F. M. Jaehnert</w:t>
            </w:r>
          </w:p>
        </w:tc>
        <w:tc>
          <w:tcPr>
            <w:tcW w:w="446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580" w:type="dxa"/>
            <w:vAlign w:val="bottom"/>
            <w:vMerge w:val="continue"/>
          </w:tcPr>
          <w:p>
            <w:pPr>
              <w:spacing w:after="0"/>
              <w:rPr>
                <w:sz w:val="5"/>
                <w:szCs w:val="5"/>
                <w:color w:val="auto"/>
              </w:rPr>
            </w:pPr>
          </w:p>
        </w:tc>
        <w:tc>
          <w:tcPr>
            <w:tcW w:w="44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 P. J. L</w:t>
            </w:r>
            <w:r>
              <w:rPr>
                <w:rFonts w:ascii="Arial" w:cs="Arial" w:eastAsia="Arial" w:hAnsi="Arial"/>
                <w:sz w:val="12"/>
                <w:szCs w:val="12"/>
                <w:color w:val="auto"/>
                <w:w w:val="92"/>
              </w:rPr>
              <w:t>ETTENBERGER</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6"/>
              </w:rPr>
              <w:t>P. J. Lettenberger</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5"/>
              </w:rPr>
              <w:t>/s/ R. A. B</w:t>
            </w:r>
            <w:r>
              <w:rPr>
                <w:rFonts w:ascii="Arial" w:cs="Arial" w:eastAsia="Arial" w:hAnsi="Arial"/>
                <w:sz w:val="12"/>
                <w:szCs w:val="12"/>
                <w:color w:val="auto"/>
                <w:w w:val="95"/>
              </w:rPr>
              <w:t>EMIS</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2"/>
              </w:rPr>
              <w:t>R. A. Bemis</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1"/>
              </w:rPr>
              <w:t>/s/ F. W. H</w:t>
            </w:r>
            <w:r>
              <w:rPr>
                <w:rFonts w:ascii="Arial" w:cs="Arial" w:eastAsia="Arial" w:hAnsi="Arial"/>
                <w:sz w:val="12"/>
                <w:szCs w:val="12"/>
                <w:color w:val="auto"/>
                <w:w w:val="91"/>
              </w:rPr>
              <w:t>ARRIS</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1"/>
              </w:rPr>
              <w:t>F. W. Harris</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6"/>
              </w:rPr>
              <w:t>/s/ R. C. B</w:t>
            </w:r>
            <w:r>
              <w:rPr>
                <w:rFonts w:ascii="Arial" w:cs="Arial" w:eastAsia="Arial" w:hAnsi="Arial"/>
                <w:sz w:val="12"/>
                <w:szCs w:val="12"/>
                <w:color w:val="auto"/>
                <w:w w:val="96"/>
              </w:rPr>
              <w:t>UCHANAN</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9"/>
              </w:rPr>
              <w:t>R. C. Buchanan</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2"/>
              </w:rPr>
              <w:t>/s/ R. D. P</w:t>
            </w:r>
            <w:r>
              <w:rPr>
                <w:rFonts w:ascii="Arial" w:cs="Arial" w:eastAsia="Arial" w:hAnsi="Arial"/>
                <w:sz w:val="12"/>
                <w:szCs w:val="12"/>
                <w:color w:val="auto"/>
                <w:w w:val="92"/>
              </w:rPr>
              <w:t>EIRCE</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0"/>
              </w:rPr>
              <w:t>R. D. Peirce</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3"/>
              </w:rPr>
              <w:t>/s/ G. E. N</w:t>
            </w:r>
            <w:r>
              <w:rPr>
                <w:rFonts w:ascii="Arial" w:cs="Arial" w:eastAsia="Arial" w:hAnsi="Arial"/>
                <w:sz w:val="12"/>
                <w:szCs w:val="12"/>
                <w:color w:val="auto"/>
                <w:w w:val="93"/>
              </w:rPr>
              <w:t>EI</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3"/>
              </w:rPr>
              <w:t>G. E. Nei</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5"/>
              </w:rPr>
              <w:t>/s/ M. K. B</w:t>
            </w:r>
            <w:r>
              <w:rPr>
                <w:rFonts w:ascii="Arial" w:cs="Arial" w:eastAsia="Arial" w:hAnsi="Arial"/>
                <w:sz w:val="12"/>
                <w:szCs w:val="12"/>
                <w:color w:val="auto"/>
                <w:w w:val="95"/>
              </w:rPr>
              <w:t>USH</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95"/>
              </w:rPr>
              <w:t>M. K. Bush</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89"/>
              </w:rPr>
              <w:t>/s/ F. R. J</w:t>
            </w:r>
            <w:r>
              <w:rPr>
                <w:rFonts w:ascii="Arial" w:cs="Arial" w:eastAsia="Arial" w:hAnsi="Arial"/>
                <w:sz w:val="12"/>
                <w:szCs w:val="12"/>
                <w:color w:val="auto"/>
                <w:w w:val="89"/>
              </w:rPr>
              <w:t>ARC</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F. R. Jarc</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spacing w:after="0"/>
              <w:rPr>
                <w:sz w:val="20"/>
                <w:szCs w:val="20"/>
                <w:color w:val="auto"/>
              </w:rPr>
            </w:pPr>
            <w:r>
              <w:rPr>
                <w:rFonts w:ascii="Arial" w:cs="Arial" w:eastAsia="Arial" w:hAnsi="Arial"/>
                <w:sz w:val="18"/>
                <w:szCs w:val="18"/>
                <w:color w:val="auto"/>
                <w:w w:val="91"/>
              </w:rPr>
              <w:t>/s/ E. P. P</w:t>
            </w:r>
            <w:r>
              <w:rPr>
                <w:rFonts w:ascii="Arial" w:cs="Arial" w:eastAsia="Arial" w:hAnsi="Arial"/>
                <w:sz w:val="12"/>
                <w:szCs w:val="12"/>
                <w:color w:val="auto"/>
                <w:w w:val="91"/>
              </w:rPr>
              <w:t>UNGELLO</w:t>
            </w:r>
          </w:p>
        </w:tc>
        <w:tc>
          <w:tcPr>
            <w:tcW w:w="4460" w:type="dxa"/>
            <w:vAlign w:val="bottom"/>
          </w:tcPr>
          <w:p>
            <w:pPr>
              <w:jc w:val="center"/>
              <w:ind w:left="49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ind w:left="880"/>
              <w:spacing w:after="0"/>
              <w:rPr>
                <w:sz w:val="20"/>
                <w:szCs w:val="20"/>
                <w:color w:val="auto"/>
              </w:rPr>
            </w:pPr>
            <w:r>
              <w:rPr>
                <w:rFonts w:ascii="Arial" w:cs="Arial" w:eastAsia="Arial" w:hAnsi="Arial"/>
                <w:sz w:val="18"/>
                <w:szCs w:val="18"/>
                <w:color w:val="auto"/>
                <w:w w:val="89"/>
              </w:rPr>
              <w:t>October 3, 2005</w:t>
            </w:r>
          </w:p>
        </w:tc>
        <w:tc>
          <w:tcPr>
            <w:tcW w:w="0" w:type="dxa"/>
            <w:vAlign w:val="bottom"/>
          </w:tcPr>
          <w:p>
            <w:pPr>
              <w:spacing w:after="0"/>
              <w:rPr>
                <w:sz w:val="1"/>
                <w:szCs w:val="1"/>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44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color w:val="auto"/>
                <w:w w:val="87"/>
              </w:rPr>
              <w:t>E. P. Pungello</w:t>
            </w:r>
          </w:p>
        </w:tc>
        <w:tc>
          <w:tcPr>
            <w:tcW w:w="44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580" w:type="dxa"/>
            <w:vAlign w:val="bottom"/>
          </w:tcPr>
          <w:p>
            <w:pPr>
              <w:spacing w:after="0"/>
              <w:rPr>
                <w:sz w:val="24"/>
                <w:szCs w:val="24"/>
                <w:color w:val="auto"/>
              </w:rPr>
            </w:pPr>
          </w:p>
        </w:tc>
        <w:tc>
          <w:tcPr>
            <w:tcW w:w="4460" w:type="dxa"/>
            <w:vAlign w:val="bottom"/>
          </w:tcPr>
          <w:p>
            <w:pPr>
              <w:ind w:left="980"/>
              <w:spacing w:after="0"/>
              <w:rPr>
                <w:sz w:val="20"/>
                <w:szCs w:val="20"/>
                <w:color w:val="auto"/>
              </w:rPr>
            </w:pPr>
            <w:r>
              <w:rPr>
                <w:rFonts w:ascii="Arial" w:cs="Arial" w:eastAsia="Arial" w:hAnsi="Arial"/>
                <w:sz w:val="18"/>
                <w:szCs w:val="18"/>
                <w:color w:val="auto"/>
              </w:rPr>
              <w:t>IV-5</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19" w:right="3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10.8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granted on ___, 200_, by Brady Corporation, a Wisconsin corporation (the “Corporation”), to ___(the “Employee”).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140" w:firstLine="447"/>
        <w:spacing w:after="0" w:line="312" w:lineRule="auto"/>
        <w:rPr>
          <w:sz w:val="20"/>
          <w:szCs w:val="20"/>
          <w:color w:val="auto"/>
        </w:rPr>
      </w:pPr>
      <w:r>
        <w:rPr>
          <w:rFonts w:ascii="Arial" w:cs="Arial" w:eastAsia="Arial" w:hAnsi="Arial"/>
          <w:sz w:val="16"/>
          <w:szCs w:val="16"/>
          <w:color w:val="auto"/>
        </w:rPr>
        <w:t>WHEREAS, the Board of Directors of the Corporation, desiring to provide increased long-term incentives for key salaried employees of the Corporation and any present or future Subsidiary of the Corporation and desiring to facilitate the efforts of the Corporation and its Subsidiaries to obtain and retain employees of outstanding ability, adopted the Brady Corporation 2004 Omnibus Incentive Stock Plan on November 18, 2004 (“the Plan”);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 as follows:</w:t>
      </w:r>
    </w:p>
    <w:p>
      <w:pPr>
        <w:spacing w:after="0" w:line="113"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w:t>
      </w:r>
    </w:p>
    <w:p>
      <w:pPr>
        <w:spacing w:after="0" w:line="34" w:lineRule="exact"/>
        <w:rPr>
          <w:rFonts w:ascii="Arial" w:cs="Arial" w:eastAsia="Arial" w:hAnsi="Arial"/>
          <w:sz w:val="18"/>
          <w:szCs w:val="18"/>
          <w:b w:val="1"/>
          <w:bCs w:val="1"/>
          <w:color w:val="auto"/>
        </w:rPr>
      </w:pPr>
    </w:p>
    <w:p>
      <w:pPr>
        <w:ind w:left="460"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___(___) shares of the presently authorized Class A Common Stock of the Corporation, $.01 par value, whether unissued or issued and reacquired by the Corporation, at the price of $___.___per share (the “Option Price”).</w:t>
      </w:r>
    </w:p>
    <w:p>
      <w:pPr>
        <w:spacing w:after="0" w:line="85" w:lineRule="exact"/>
        <w:rPr>
          <w:rFonts w:ascii="Arial" w:cs="Arial" w:eastAsia="Arial" w:hAnsi="Arial"/>
          <w:sz w:val="18"/>
          <w:szCs w:val="18"/>
          <w:b w:val="1"/>
          <w:bCs w:val="1"/>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34" w:lineRule="exact"/>
        <w:rPr>
          <w:rFonts w:ascii="Arial" w:cs="Arial" w:eastAsia="Arial" w:hAnsi="Arial"/>
          <w:sz w:val="18"/>
          <w:szCs w:val="18"/>
          <w:b w:val="1"/>
          <w:bCs w:val="1"/>
          <w:color w:val="auto"/>
        </w:rPr>
      </w:pPr>
    </w:p>
    <w:p>
      <w:pPr>
        <w:ind w:left="4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Except as provided hereinafter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Number of Completed</w:t>
            </w:r>
          </w:p>
        </w:tc>
        <w:tc>
          <w:tcPr>
            <w:tcW w:w="2620" w:type="dxa"/>
            <w:vAlign w:val="bottom"/>
            <w:gridSpan w:val="2"/>
          </w:tcPr>
          <w:p>
            <w:pPr>
              <w:spacing w:after="0"/>
              <w:rPr>
                <w:sz w:val="20"/>
                <w:szCs w:val="20"/>
                <w:color w:val="auto"/>
              </w:rPr>
            </w:pPr>
            <w:r>
              <w:rPr>
                <w:rFonts w:ascii="Arial" w:cs="Arial" w:eastAsia="Arial" w:hAnsi="Arial"/>
                <w:sz w:val="18"/>
                <w:szCs w:val="18"/>
                <w:color w:val="auto"/>
              </w:rPr>
              <w:t>Maximum</w:t>
            </w:r>
          </w:p>
        </w:tc>
      </w:t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Years of Continuous</w:t>
            </w:r>
          </w:p>
        </w:tc>
        <w:tc>
          <w:tcPr>
            <w:tcW w:w="2620" w:type="dxa"/>
            <w:vAlign w:val="bottom"/>
            <w:gridSpan w:val="2"/>
          </w:tcPr>
          <w:p>
            <w:pPr>
              <w:spacing w:after="0"/>
              <w:rPr>
                <w:sz w:val="20"/>
                <w:szCs w:val="20"/>
                <w:color w:val="auto"/>
              </w:rPr>
            </w:pPr>
            <w:r>
              <w:rPr>
                <w:rFonts w:ascii="Arial" w:cs="Arial" w:eastAsia="Arial" w:hAnsi="Arial"/>
                <w:sz w:val="18"/>
                <w:szCs w:val="18"/>
                <w:color w:val="auto"/>
              </w:rPr>
              <w:t>Percentage</w:t>
            </w:r>
          </w:p>
        </w:tc>
      </w:t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Employment by Corporation</w:t>
            </w:r>
          </w:p>
        </w:tc>
        <w:tc>
          <w:tcPr>
            <w:tcW w:w="2620" w:type="dxa"/>
            <w:vAlign w:val="bottom"/>
            <w:gridSpan w:val="2"/>
          </w:tcPr>
          <w:p>
            <w:pPr>
              <w:spacing w:after="0"/>
              <w:rPr>
                <w:sz w:val="20"/>
                <w:szCs w:val="20"/>
                <w:color w:val="auto"/>
              </w:rPr>
            </w:pPr>
            <w:r>
              <w:rPr>
                <w:rFonts w:ascii="Arial" w:cs="Arial" w:eastAsia="Arial" w:hAnsi="Arial"/>
                <w:sz w:val="18"/>
                <w:szCs w:val="18"/>
                <w:color w:val="auto"/>
              </w:rPr>
              <w:t>of Shares For</w:t>
            </w:r>
          </w:p>
        </w:tc>
      </w:t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or a Subsidiary After</w:t>
            </w:r>
          </w:p>
        </w:tc>
        <w:tc>
          <w:tcPr>
            <w:tcW w:w="2620" w:type="dxa"/>
            <w:vAlign w:val="bottom"/>
            <w:gridSpan w:val="2"/>
          </w:tcPr>
          <w:p>
            <w:pPr>
              <w:spacing w:after="0"/>
              <w:rPr>
                <w:sz w:val="20"/>
                <w:szCs w:val="20"/>
                <w:color w:val="auto"/>
              </w:rPr>
            </w:pPr>
            <w:r>
              <w:rPr>
                <w:rFonts w:ascii="Arial" w:cs="Arial" w:eastAsia="Arial" w:hAnsi="Arial"/>
                <w:sz w:val="18"/>
                <w:szCs w:val="18"/>
                <w:color w:val="auto"/>
              </w:rPr>
              <w:t>Which Option is</w:t>
            </w:r>
          </w:p>
        </w:tc>
      </w:tr>
      <w:tr>
        <w:trPr>
          <w:trHeight w:val="190"/>
        </w:trPr>
        <w:tc>
          <w:tcPr>
            <w:tcW w:w="3100" w:type="dxa"/>
            <w:vAlign w:val="bottom"/>
          </w:tcPr>
          <w:p>
            <w:pPr>
              <w:spacing w:after="0"/>
              <w:rPr>
                <w:sz w:val="16"/>
                <w:szCs w:val="16"/>
                <w:color w:val="auto"/>
              </w:rPr>
            </w:pPr>
          </w:p>
        </w:tc>
        <w:tc>
          <w:tcPr>
            <w:tcW w:w="20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Date of Grant of this Option</w:t>
            </w:r>
          </w:p>
        </w:tc>
        <w:tc>
          <w:tcPr>
            <w:tcW w:w="3660" w:type="dxa"/>
            <w:vAlign w:val="bottom"/>
          </w:tcPr>
          <w:p>
            <w:pPr>
              <w:spacing w:after="0"/>
              <w:rPr>
                <w:sz w:val="16"/>
                <w:szCs w:val="16"/>
                <w:color w:val="auto"/>
              </w:rPr>
            </w:pPr>
          </w:p>
        </w:tc>
        <w:tc>
          <w:tcPr>
            <w:tcW w:w="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Exercisable</w:t>
            </w:r>
          </w:p>
        </w:tc>
        <w:tc>
          <w:tcPr>
            <w:tcW w:w="1780" w:type="dxa"/>
            <w:vAlign w:val="bottom"/>
          </w:tcPr>
          <w:p>
            <w:pPr>
              <w:spacing w:after="0"/>
              <w:rPr>
                <w:sz w:val="16"/>
                <w:szCs w:val="16"/>
                <w:color w:val="auto"/>
              </w:rPr>
            </w:pPr>
          </w:p>
        </w:tc>
      </w:tr>
      <w:tr>
        <w:trPr>
          <w:trHeight w:val="303"/>
        </w:trPr>
        <w:tc>
          <w:tcPr>
            <w:tcW w:w="310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Less than 1</w:t>
            </w:r>
          </w:p>
        </w:tc>
        <w:tc>
          <w:tcPr>
            <w:tcW w:w="2620" w:type="dxa"/>
            <w:vAlign w:val="bottom"/>
            <w:gridSpan w:val="2"/>
          </w:tcPr>
          <w:p>
            <w:pPr>
              <w:spacing w:after="0"/>
              <w:rPr>
                <w:sz w:val="20"/>
                <w:szCs w:val="20"/>
                <w:color w:val="auto"/>
              </w:rPr>
            </w:pPr>
            <w:r>
              <w:rPr>
                <w:rFonts w:ascii="Arial" w:cs="Arial" w:eastAsia="Arial" w:hAnsi="Arial"/>
                <w:sz w:val="18"/>
                <w:szCs w:val="18"/>
                <w:color w:val="auto"/>
              </w:rPr>
              <w:t>Zero</w:t>
            </w:r>
          </w:p>
        </w:tc>
      </w:t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At least 1 but less than 2</w:t>
            </w:r>
          </w:p>
        </w:tc>
        <w:tc>
          <w:tcPr>
            <w:tcW w:w="840" w:type="dxa"/>
            <w:vAlign w:val="bottom"/>
          </w:tcPr>
          <w:p>
            <w:pPr>
              <w:spacing w:after="0"/>
              <w:rPr>
                <w:sz w:val="20"/>
                <w:szCs w:val="20"/>
                <w:color w:val="auto"/>
              </w:rPr>
            </w:pPr>
            <w:r>
              <w:rPr>
                <w:rFonts w:ascii="Arial" w:cs="Arial" w:eastAsia="Arial" w:hAnsi="Arial"/>
                <w:sz w:val="18"/>
                <w:szCs w:val="18"/>
                <w:color w:val="auto"/>
              </w:rPr>
              <w:t>33-1/3%</w:t>
            </w:r>
          </w:p>
        </w:tc>
        <w:tc>
          <w:tcPr>
            <w:tcW w:w="178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At least 2 but less than 3</w:t>
            </w:r>
          </w:p>
        </w:tc>
        <w:tc>
          <w:tcPr>
            <w:tcW w:w="840" w:type="dxa"/>
            <w:vAlign w:val="bottom"/>
          </w:tcPr>
          <w:p>
            <w:pPr>
              <w:spacing w:after="0"/>
              <w:rPr>
                <w:sz w:val="20"/>
                <w:szCs w:val="20"/>
                <w:color w:val="auto"/>
              </w:rPr>
            </w:pPr>
            <w:r>
              <w:rPr>
                <w:rFonts w:ascii="Arial" w:cs="Arial" w:eastAsia="Arial" w:hAnsi="Arial"/>
                <w:sz w:val="18"/>
                <w:szCs w:val="18"/>
                <w:color w:val="auto"/>
              </w:rPr>
              <w:t>66-2/3%</w:t>
            </w:r>
          </w:p>
        </w:tc>
        <w:tc>
          <w:tcPr>
            <w:tcW w:w="178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At least 3</w:t>
            </w:r>
          </w:p>
        </w:tc>
        <w:tc>
          <w:tcPr>
            <w:tcW w:w="840" w:type="dxa"/>
            <w:vAlign w:val="bottom"/>
          </w:tcPr>
          <w:p>
            <w:pPr>
              <w:spacing w:after="0"/>
              <w:rPr>
                <w:sz w:val="20"/>
                <w:szCs w:val="20"/>
                <w:color w:val="auto"/>
              </w:rPr>
            </w:pPr>
            <w:r>
              <w:rPr>
                <w:rFonts w:ascii="Arial" w:cs="Arial" w:eastAsia="Arial" w:hAnsi="Arial"/>
                <w:sz w:val="18"/>
                <w:szCs w:val="18"/>
                <w:color w:val="auto"/>
              </w:rPr>
              <w:t>100%</w:t>
            </w:r>
          </w:p>
        </w:tc>
        <w:tc>
          <w:tcPr>
            <w:tcW w:w="1780" w:type="dxa"/>
            <w:vAlign w:val="bottom"/>
          </w:tcPr>
          <w:p>
            <w:pPr>
              <w:spacing w:after="0"/>
              <w:rPr>
                <w:sz w:val="20"/>
                <w:szCs w:val="20"/>
                <w:color w:val="auto"/>
              </w:rPr>
            </w:pPr>
          </w:p>
        </w:tc>
      </w:tr>
      <w:tr>
        <w:trPr>
          <w:trHeight w:val="632"/>
        </w:trPr>
        <w:tc>
          <w:tcPr>
            <w:tcW w:w="31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left="452" w:right="140"/>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77" w:lineRule="exact"/>
        <w:rPr>
          <w:sz w:val="20"/>
          <w:szCs w:val="20"/>
          <w:color w:val="auto"/>
        </w:rPr>
      </w:pPr>
    </w:p>
    <w:p>
      <w:pPr>
        <w:ind w:left="452" w:hanging="452"/>
        <w:spacing w:after="0"/>
        <w:tabs>
          <w:tab w:leader="none" w:pos="45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17" w:lineRule="exact"/>
        <w:rPr>
          <w:rFonts w:ascii="Arial" w:cs="Arial" w:eastAsia="Arial" w:hAnsi="Arial"/>
          <w:sz w:val="18"/>
          <w:szCs w:val="18"/>
          <w:b w:val="1"/>
          <w:bCs w:val="1"/>
          <w:color w:val="auto"/>
        </w:rPr>
      </w:pPr>
    </w:p>
    <w:p>
      <w:pPr>
        <w:ind w:left="892" w:right="20" w:hanging="446"/>
        <w:spacing w:after="0" w:line="312" w:lineRule="auto"/>
        <w:tabs>
          <w:tab w:leader="none" w:pos="892" w:val="left"/>
        </w:tabs>
        <w:numPr>
          <w:ilvl w:val="1"/>
          <w:numId w:val="60"/>
        </w:numPr>
        <w:rPr>
          <w:rFonts w:ascii="Arial" w:cs="Arial" w:eastAsia="Arial" w:hAnsi="Arial"/>
          <w:sz w:val="16"/>
          <w:szCs w:val="16"/>
          <w:color w:val="auto"/>
        </w:rPr>
      </w:pPr>
      <w:r>
        <w:rPr>
          <w:rFonts w:ascii="Arial" w:cs="Arial" w:eastAsia="Arial" w:hAnsi="Arial"/>
          <w:sz w:val="16"/>
          <w:szCs w:val="16"/>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52" w:lineRule="exact"/>
        <w:rPr>
          <w:rFonts w:ascii="Arial" w:cs="Arial" w:eastAsia="Arial" w:hAnsi="Arial"/>
          <w:sz w:val="16"/>
          <w:szCs w:val="16"/>
          <w:color w:val="auto"/>
        </w:rPr>
      </w:pPr>
    </w:p>
    <w:p>
      <w:pPr>
        <w:ind w:left="892" w:right="60" w:hanging="446"/>
        <w:spacing w:after="0" w:line="279" w:lineRule="auto"/>
        <w:tabs>
          <w:tab w:leader="none" w:pos="892"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76" w:lineRule="exact"/>
        <w:rPr>
          <w:rFonts w:ascii="Arial" w:cs="Arial" w:eastAsia="Arial" w:hAnsi="Arial"/>
          <w:sz w:val="17"/>
          <w:szCs w:val="17"/>
          <w:color w:val="auto"/>
        </w:rPr>
      </w:pPr>
    </w:p>
    <w:p>
      <w:pPr>
        <w:ind w:left="892" w:hanging="446"/>
        <w:spacing w:after="0" w:line="279" w:lineRule="auto"/>
        <w:tabs>
          <w:tab w:leader="none" w:pos="892" w:val="left"/>
        </w:tabs>
        <w:numPr>
          <w:ilvl w:val="1"/>
          <w:numId w:val="60"/>
        </w:numPr>
        <w:rPr>
          <w:rFonts w:ascii="Arial" w:cs="Arial" w:eastAsia="Arial" w:hAnsi="Arial"/>
          <w:sz w:val="17"/>
          <w:szCs w:val="17"/>
          <w:color w:val="auto"/>
        </w:rPr>
      </w:pPr>
      <w:r>
        <w:rPr>
          <w:rFonts w:ascii="Arial" w:cs="Arial" w:eastAsia="Arial" w:hAnsi="Arial"/>
          <w:sz w:val="17"/>
          <w:szCs w:val="17"/>
          <w:color w:val="auto"/>
        </w:rPr>
        <w:t>is terminated as a result of the disability of the Employee (a disability means that the Employee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76" w:lineRule="exact"/>
        <w:rPr>
          <w:rFonts w:ascii="Arial" w:cs="Arial" w:eastAsia="Arial" w:hAnsi="Arial"/>
          <w:sz w:val="17"/>
          <w:szCs w:val="17"/>
          <w:color w:val="auto"/>
        </w:rPr>
      </w:pPr>
    </w:p>
    <w:p>
      <w:pPr>
        <w:ind w:left="892" w:right="40" w:hanging="446"/>
        <w:spacing w:after="0" w:line="264"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an Affiliate or after age 65), any unexercised, unexpired Stock Options granted hereunder to the Employee and exercisable as of the date of such retirement may be exercised by the Employee at any time within one year after the date of retirement.</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81" w:name="page82"/>
    <w:bookmarkEnd w:id="81"/>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134" w:lineRule="exact"/>
        <w:rPr>
          <w:rFonts w:ascii="Arial" w:cs="Arial" w:eastAsia="Arial" w:hAnsi="Arial"/>
          <w:sz w:val="18"/>
          <w:szCs w:val="18"/>
          <w:b w:val="1"/>
          <w:bCs w:val="1"/>
          <w:color w:val="auto"/>
        </w:rPr>
      </w:pPr>
    </w:p>
    <w:p>
      <w:pPr>
        <w:ind w:left="452"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134" w:lineRule="exact"/>
        <w:rPr>
          <w:rFonts w:ascii="Arial" w:cs="Arial" w:eastAsia="Arial" w:hAnsi="Arial"/>
          <w:sz w:val="18"/>
          <w:szCs w:val="18"/>
          <w:b w:val="1"/>
          <w:bCs w:val="1"/>
          <w:color w:val="auto"/>
        </w:rPr>
      </w:pPr>
    </w:p>
    <w:p>
      <w:pPr>
        <w:ind w:left="452"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34" w:lineRule="exact"/>
        <w:rPr>
          <w:rFonts w:ascii="Arial" w:cs="Arial" w:eastAsia="Arial" w:hAnsi="Arial"/>
          <w:sz w:val="18"/>
          <w:szCs w:val="18"/>
          <w:b w:val="1"/>
          <w:bCs w:val="1"/>
          <w:color w:val="auto"/>
        </w:rPr>
      </w:pP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or (iii) by delivering a combination of cash and Delivered Stock. Payment in the form of Delivered Stock shall be in the amount of the Fair Market Value of the stock at the date of exercise, determined in accordance with paragraph 9.</w:t>
      </w:r>
    </w:p>
    <w:p>
      <w:pPr>
        <w:spacing w:after="0" w:line="88" w:lineRule="exact"/>
        <w:rPr>
          <w:rFonts w:ascii="Arial" w:cs="Arial" w:eastAsia="Arial" w:hAnsi="Arial"/>
          <w:sz w:val="18"/>
          <w:szCs w:val="18"/>
          <w:b w:val="1"/>
          <w:bCs w:val="1"/>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26" w:lineRule="exact"/>
        <w:rPr>
          <w:rFonts w:ascii="Arial" w:cs="Arial" w:eastAsia="Arial" w:hAnsi="Arial"/>
          <w:sz w:val="18"/>
          <w:szCs w:val="18"/>
          <w:b w:val="1"/>
          <w:bCs w:val="1"/>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134" w:lineRule="exact"/>
        <w:rPr>
          <w:rFonts w:ascii="Arial" w:cs="Arial" w:eastAsia="Arial" w:hAnsi="Arial"/>
          <w:sz w:val="18"/>
          <w:szCs w:val="18"/>
          <w:b w:val="1"/>
          <w:bCs w:val="1"/>
          <w:color w:val="auto"/>
        </w:rPr>
      </w:pPr>
    </w:p>
    <w:p>
      <w:pPr>
        <w:ind w:left="4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34" w:lineRule="exact"/>
        <w:rPr>
          <w:rFonts w:ascii="Arial" w:cs="Arial" w:eastAsia="Arial" w:hAnsi="Arial"/>
          <w:sz w:val="18"/>
          <w:szCs w:val="18"/>
          <w:b w:val="1"/>
          <w:bCs w:val="1"/>
          <w:color w:val="auto"/>
        </w:rPr>
      </w:pPr>
    </w:p>
    <w:p>
      <w:pPr>
        <w:ind w:left="452"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39" w:right="299" w:bottom="1440" w:gutter="0" w:footer="0" w:header="0"/>
        </w:sectPr>
      </w:pPr>
    </w:p>
    <w:bookmarkStart w:id="82" w:name="page83"/>
    <w:bookmarkEnd w:id="82"/>
    <w:p>
      <w:pPr>
        <w:ind w:left="452" w:right="120"/>
        <w:spacing w:after="0" w:line="279" w:lineRule="auto"/>
        <w:rPr>
          <w:sz w:val="20"/>
          <w:szCs w:val="20"/>
          <w:color w:val="auto"/>
        </w:rPr>
      </w:pPr>
      <w:r>
        <w:rPr>
          <w:rFonts w:ascii="Arial" w:cs="Arial" w:eastAsia="Arial" w:hAnsi="Arial"/>
          <w:sz w:val="17"/>
          <w:szCs w:val="17"/>
          <w:color w:val="auto"/>
        </w:rPr>
        <w:t xml:space="preserve">and low sales price recorded in composite transactions as reported in the </w:t>
      </w:r>
      <w:r>
        <w:rPr>
          <w:rFonts w:ascii="Arial" w:cs="Arial" w:eastAsia="Arial" w:hAnsi="Arial"/>
          <w:sz w:val="17"/>
          <w:szCs w:val="17"/>
          <w:u w:val="single" w:color="auto"/>
          <w:color w:val="auto"/>
        </w:rPr>
        <w:t>Wall Street Journal</w:t>
      </w:r>
      <w:r>
        <w:rPr>
          <w:rFonts w:ascii="Arial" w:cs="Arial" w:eastAsia="Arial" w:hAnsi="Arial"/>
          <w:sz w:val="17"/>
          <w:szCs w:val="17"/>
          <w:color w:val="auto"/>
        </w:rPr>
        <w:t xml:space="preserve"> (Midwest Edition)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59" w:lineRule="exact"/>
        <w:rPr>
          <w:sz w:val="20"/>
          <w:szCs w:val="20"/>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134" w:lineRule="exact"/>
        <w:rPr>
          <w:rFonts w:ascii="Arial" w:cs="Arial" w:eastAsia="Arial" w:hAnsi="Arial"/>
          <w:sz w:val="18"/>
          <w:szCs w:val="18"/>
          <w:b w:val="1"/>
          <w:bCs w:val="1"/>
          <w:color w:val="auto"/>
        </w:rPr>
      </w:pPr>
    </w:p>
    <w:p>
      <w:pPr>
        <w:ind w:left="452"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34" w:lineRule="exact"/>
        <w:rPr>
          <w:rFonts w:ascii="Arial" w:cs="Arial" w:eastAsia="Arial" w:hAnsi="Arial"/>
          <w:sz w:val="18"/>
          <w:szCs w:val="18"/>
          <w:b w:val="1"/>
          <w:bCs w:val="1"/>
          <w:color w:val="auto"/>
        </w:rPr>
      </w:pPr>
    </w:p>
    <w:p>
      <w:pPr>
        <w:ind w:left="4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66" w:lineRule="exact"/>
        <w:rPr>
          <w:rFonts w:ascii="Arial" w:cs="Arial" w:eastAsia="Arial" w:hAnsi="Arial"/>
          <w:sz w:val="18"/>
          <w:szCs w:val="18"/>
          <w:b w:val="1"/>
          <w:bCs w:val="1"/>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34" w:lineRule="exact"/>
        <w:rPr>
          <w:rFonts w:ascii="Arial" w:cs="Arial" w:eastAsia="Arial" w:hAnsi="Arial"/>
          <w:sz w:val="18"/>
          <w:szCs w:val="18"/>
          <w:b w:val="1"/>
          <w:bCs w:val="1"/>
          <w:color w:val="auto"/>
        </w:rPr>
      </w:pPr>
    </w:p>
    <w:p>
      <w:pPr>
        <w:ind w:left="4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25" w:lineRule="exact"/>
        <w:rPr>
          <w:rFonts w:ascii="Arial" w:cs="Arial" w:eastAsia="Arial" w:hAnsi="Arial"/>
          <w:sz w:val="18"/>
          <w:szCs w:val="18"/>
          <w:b w:val="1"/>
          <w:bCs w:val="1"/>
          <w:color w:val="auto"/>
        </w:rPr>
      </w:pPr>
    </w:p>
    <w:p>
      <w:pPr>
        <w:ind w:left="452" w:hanging="452"/>
        <w:spacing w:after="0"/>
        <w:tabs>
          <w:tab w:leader="none" w:pos="45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134" w:lineRule="exact"/>
        <w:rPr>
          <w:rFonts w:ascii="Arial" w:cs="Arial" w:eastAsia="Arial" w:hAnsi="Arial"/>
          <w:sz w:val="18"/>
          <w:szCs w:val="18"/>
          <w:b w:val="1"/>
          <w:bCs w:val="1"/>
          <w:color w:val="auto"/>
        </w:rPr>
      </w:pPr>
    </w:p>
    <w:p>
      <w:pPr>
        <w:ind w:left="452"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may be made by the Committee, subject to approval of the Board of Directors of the Corporation, in the aggregate number of shares and the purchase price and kind of shares subject to this Option, to prevent substantial dilution or enlargement of the rights granted to or available for Employee.</w:t>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3" w:right="259" w:bottom="1440" w:gutter="0" w:footer="0" w:header="0"/>
        </w:sectPr>
      </w:pPr>
    </w:p>
    <w:bookmarkStart w:id="83" w:name="page84"/>
    <w:bookmarkEnd w:id="83"/>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34" w:lineRule="exact"/>
        <w:rPr>
          <w:rFonts w:ascii="Arial" w:cs="Arial" w:eastAsia="Arial" w:hAnsi="Arial"/>
          <w:sz w:val="18"/>
          <w:szCs w:val="18"/>
          <w:b w:val="1"/>
          <w:bCs w:val="1"/>
          <w:color w:val="auto"/>
        </w:rPr>
      </w:pPr>
    </w:p>
    <w:p>
      <w:pPr>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68"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34" w:lineRule="exact"/>
        <w:rPr>
          <w:rFonts w:ascii="Arial" w:cs="Arial" w:eastAsia="Arial" w:hAnsi="Arial"/>
          <w:sz w:val="18"/>
          <w:szCs w:val="18"/>
          <w:b w:val="1"/>
          <w:bCs w:val="1"/>
          <w:color w:val="auto"/>
        </w:rPr>
      </w:pPr>
    </w:p>
    <w:p>
      <w:pPr>
        <w:ind w:left="452"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Any notice to be given to the Corporation under the terms of this Agreement shall be addressed to the Corporation in care of its Vice President and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34" w:lineRule="exact"/>
        <w:rPr>
          <w:rFonts w:ascii="Arial" w:cs="Arial" w:eastAsia="Arial" w:hAnsi="Arial"/>
          <w:sz w:val="18"/>
          <w:szCs w:val="18"/>
          <w:b w:val="1"/>
          <w:bCs w:val="1"/>
          <w:color w:val="auto"/>
        </w:rPr>
      </w:pPr>
    </w:p>
    <w:p>
      <w:pPr>
        <w:ind w:left="45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Terms defined in the Plan where used herein shall have the meanings as so defined. Employee acknowledges receipt of a copy of the Plan.</w:t>
      </w:r>
    </w:p>
    <w:p>
      <w:pPr>
        <w:spacing w:after="0" w:line="82" w:lineRule="exact"/>
        <w:rPr>
          <w:rFonts w:ascii="Arial" w:cs="Arial" w:eastAsia="Arial" w:hAnsi="Arial"/>
          <w:sz w:val="18"/>
          <w:szCs w:val="18"/>
          <w:b w:val="1"/>
          <w:bCs w:val="1"/>
          <w:color w:val="auto"/>
        </w:rPr>
      </w:pPr>
    </w:p>
    <w:p>
      <w:pPr>
        <w:ind w:left="452" w:hanging="452"/>
        <w:spacing w:after="0"/>
        <w:tabs>
          <w:tab w:leader="none" w:pos="4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84" w:name="page85"/>
    <w:bookmarkEnd w:id="84"/>
    <w:p>
      <w:pPr>
        <w:jc w:val="both"/>
        <w:ind w:firstLine="450"/>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these presents to be executed on its behalf by its President and to be sealed with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seal, and attested by the Secretary and the Employee has hereunto set his hand and seal, all as of the day and year first above written, which is the date of the granting of this Option evidenced hereby.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1437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Gary E. Nei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1437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Compensation Committee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Conrad G. Goodkind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1437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Employee Name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269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1040" w:right="3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SCHEDULE OF SUBSIDIARIES OF BRADY CORPORATION</w:t>
            </w:r>
          </w:p>
        </w:tc>
        <w:tc>
          <w:tcPr>
            <w:tcW w:w="10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74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820" w:type="dxa"/>
            <w:vAlign w:val="bottom"/>
            <w:gridSpan w:val="3"/>
          </w:tcPr>
          <w:p>
            <w:pPr>
              <w:ind w:left="6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80" w:type="dxa"/>
            <w:vAlign w:val="bottom"/>
            <w:gridSpan w:val="2"/>
          </w:tcPr>
          <w:p>
            <w:pPr>
              <w:ind w:left="4680"/>
              <w:spacing w:after="0" w:line="149" w:lineRule="exact"/>
              <w:rPr>
                <w:sz w:val="20"/>
                <w:szCs w:val="20"/>
                <w:color w:val="auto"/>
              </w:rPr>
            </w:pPr>
            <w:r>
              <w:rPr>
                <w:rFonts w:ascii="Arial" w:cs="Arial" w:eastAsia="Arial" w:hAnsi="Arial"/>
                <w:sz w:val="14"/>
                <w:szCs w:val="14"/>
                <w:color w:val="auto"/>
              </w:rPr>
              <w:t>State (Country)</w:t>
            </w:r>
          </w:p>
        </w:tc>
        <w:tc>
          <w:tcPr>
            <w:tcW w:w="18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Securities</w:t>
            </w:r>
          </w:p>
        </w:tc>
        <w:tc>
          <w:tcPr>
            <w:tcW w:w="0" w:type="dxa"/>
            <w:vAlign w:val="bottom"/>
          </w:tcPr>
          <w:p>
            <w:pPr>
              <w:spacing w:after="0"/>
              <w:rPr>
                <w:sz w:val="1"/>
                <w:szCs w:val="1"/>
                <w:color w:val="auto"/>
              </w:rPr>
            </w:pPr>
          </w:p>
        </w:tc>
      </w:tr>
      <w:tr>
        <w:trPr>
          <w:trHeight w:val="167"/>
        </w:trPr>
        <w:tc>
          <w:tcPr>
            <w:tcW w:w="3340" w:type="dxa"/>
            <w:vAlign w:val="bottom"/>
            <w:gridSpan w:val="2"/>
          </w:tcPr>
          <w:p>
            <w:pPr>
              <w:spacing w:after="0"/>
              <w:rPr>
                <w:sz w:val="20"/>
                <w:szCs w:val="20"/>
                <w:color w:val="auto"/>
              </w:rPr>
            </w:pPr>
            <w:r>
              <w:rPr>
                <w:rFonts w:ascii="Arial" w:cs="Arial" w:eastAsia="Arial" w:hAnsi="Arial"/>
                <w:sz w:val="14"/>
                <w:szCs w:val="14"/>
                <w:color w:val="auto"/>
              </w:rPr>
              <w:t>Name of Company</w:t>
            </w:r>
          </w:p>
        </w:tc>
        <w:tc>
          <w:tcPr>
            <w:tcW w:w="6280" w:type="dxa"/>
            <w:vAlign w:val="bottom"/>
            <w:gridSpan w:val="2"/>
          </w:tcPr>
          <w:p>
            <w:pPr>
              <w:ind w:left="4680"/>
              <w:spacing w:after="0"/>
              <w:rPr>
                <w:sz w:val="20"/>
                <w:szCs w:val="20"/>
                <w:color w:val="auto"/>
              </w:rPr>
            </w:pPr>
            <w:r>
              <w:rPr>
                <w:rFonts w:ascii="Arial" w:cs="Arial" w:eastAsia="Arial" w:hAnsi="Arial"/>
                <w:sz w:val="14"/>
                <w:szCs w:val="14"/>
                <w:color w:val="auto"/>
              </w:rPr>
              <w:t>of Incorporation</w:t>
            </w:r>
          </w:p>
        </w:tc>
        <w:tc>
          <w:tcPr>
            <w:tcW w:w="1820" w:type="dxa"/>
            <w:vAlign w:val="bottom"/>
            <w:gridSpan w:val="3"/>
          </w:tcPr>
          <w:p>
            <w:pPr>
              <w:ind w:left="66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20" w:type="dxa"/>
            <w:vAlign w:val="bottom"/>
            <w:tcBorders>
              <w:top w:val="single" w:sz="8" w:color="auto"/>
            </w:tcBorders>
          </w:tcPr>
          <w:p>
            <w:pPr>
              <w:spacing w:after="0"/>
              <w:rPr>
                <w:sz w:val="19"/>
                <w:szCs w:val="19"/>
                <w:color w:val="auto"/>
              </w:rPr>
            </w:pPr>
          </w:p>
        </w:tc>
        <w:tc>
          <w:tcPr>
            <w:tcW w:w="47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Wisconsin</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Parent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Tricor Direct Inc.-</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Delaware</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Doing Business As:</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Seton</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Seton Name Plate Company</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D&amp;G Sign and Label Co.</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Seton Identification Products</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The Hirol Company</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Delaware</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Brady Investment Co.</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Nevada</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6280" w:type="dxa"/>
            <w:vAlign w:val="bottom"/>
            <w:gridSpan w:val="2"/>
            <w:shd w:val="clear" w:color="auto" w:fill="CCEEFF"/>
          </w:tcPr>
          <w:p>
            <w:pPr>
              <w:ind w:left="4680"/>
              <w:spacing w:after="0" w:line="201" w:lineRule="exact"/>
              <w:rPr>
                <w:sz w:val="20"/>
                <w:szCs w:val="20"/>
                <w:color w:val="auto"/>
              </w:rPr>
            </w:pPr>
            <w:r>
              <w:rPr>
                <w:rFonts w:ascii="Arial" w:cs="Arial" w:eastAsia="Arial" w:hAnsi="Arial"/>
                <w:sz w:val="18"/>
                <w:szCs w:val="18"/>
                <w:color w:val="auto"/>
              </w:rPr>
              <w:t>U.S. Virgin</w:t>
            </w: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Brady International Sales, Inc.</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Islands</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Brady International Co.</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Wisconsin</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 (1)</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Wisconsin</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00"/>
              <w:spacing w:after="0"/>
              <w:rPr>
                <w:sz w:val="20"/>
                <w:szCs w:val="20"/>
                <w:color w:val="auto"/>
              </w:rPr>
            </w:pPr>
            <w:r>
              <w:rPr>
                <w:rFonts w:ascii="Arial" w:cs="Arial" w:eastAsia="Arial" w:hAnsi="Arial"/>
                <w:sz w:val="18"/>
                <w:szCs w:val="18"/>
                <w:color w:val="auto"/>
              </w:rPr>
              <w:t>Also Doing Business As:</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Varitronic Systems</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Teklynx International</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Barcodes West</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Temtec</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Australia</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Visi Sign Pty. Ltd.</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Australia</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Seton Australia Pty. Ltd.</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Australia</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W.H. Brady, N.V.</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Belgium</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W.H.B. do Brasil Ltda.</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Brazil</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W.H.B. Identification Solutions, Inc.-</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Canada</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Brady</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GrafTek</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Revere-Seton</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Seton</w:t>
            </w:r>
          </w:p>
        </w:tc>
        <w:tc>
          <w:tcPr>
            <w:tcW w:w="4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BRC Financial</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Canada</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EMED Co., Inc.</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New York</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Stopware, Inc.</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California</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Permar Sytems, Inc. -</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New York</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Doing Business As Electromark</w:t>
            </w: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Henryc, Inc. (U.S.)</w:t>
            </w:r>
          </w:p>
        </w:tc>
        <w:tc>
          <w:tcPr>
            <w:tcW w:w="6280" w:type="dxa"/>
            <w:vAlign w:val="bottom"/>
            <w:gridSpan w:val="2"/>
            <w:shd w:val="clear" w:color="auto" w:fill="CCEEFF"/>
          </w:tcPr>
          <w:p>
            <w:pPr>
              <w:ind w:left="4680"/>
              <w:spacing w:after="0"/>
              <w:rPr>
                <w:sz w:val="20"/>
                <w:szCs w:val="20"/>
                <w:color w:val="auto"/>
              </w:rPr>
            </w:pPr>
            <w:r>
              <w:rPr>
                <w:rFonts w:ascii="Arial" w:cs="Arial" w:eastAsia="Arial" w:hAnsi="Arial"/>
                <w:sz w:val="18"/>
                <w:szCs w:val="18"/>
                <w:color w:val="auto"/>
              </w:rPr>
              <w:t>New York</w:t>
            </w:r>
          </w:p>
        </w:tc>
        <w:tc>
          <w:tcPr>
            <w:tcW w:w="1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Oliver of New York (U.S.)</w:t>
            </w:r>
          </w:p>
        </w:tc>
        <w:tc>
          <w:tcPr>
            <w:tcW w:w="6280" w:type="dxa"/>
            <w:vAlign w:val="bottom"/>
            <w:gridSpan w:val="2"/>
          </w:tcPr>
          <w:p>
            <w:pPr>
              <w:ind w:left="4680"/>
              <w:spacing w:after="0"/>
              <w:rPr>
                <w:sz w:val="20"/>
                <w:szCs w:val="20"/>
                <w:color w:val="auto"/>
              </w:rPr>
            </w:pPr>
            <w:r>
              <w:rPr>
                <w:rFonts w:ascii="Arial" w:cs="Arial" w:eastAsia="Arial" w:hAnsi="Arial"/>
                <w:sz w:val="18"/>
                <w:szCs w:val="18"/>
                <w:color w:val="auto"/>
              </w:rPr>
              <w:t>New York</w:t>
            </w:r>
          </w:p>
        </w:tc>
        <w:tc>
          <w:tcPr>
            <w:tcW w:w="180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0" w:type="dxa"/>
            <w:vAlign w:val="bottom"/>
          </w:tcPr>
          <w:p>
            <w:pPr>
              <w:ind w:left="6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0" w:type="dxa"/>
            <w:vAlign w:val="bottom"/>
          </w:tcPr>
          <w:p>
            <w:pPr>
              <w:ind w:left="660"/>
              <w:spacing w:after="0" w:line="149" w:lineRule="exact"/>
              <w:rPr>
                <w:sz w:val="20"/>
                <w:szCs w:val="20"/>
                <w:color w:val="auto"/>
              </w:rPr>
            </w:pPr>
            <w:r>
              <w:rPr>
                <w:rFonts w:ascii="Arial" w:cs="Arial" w:eastAsia="Arial" w:hAnsi="Arial"/>
                <w:sz w:val="14"/>
                <w:szCs w:val="14"/>
                <w:color w:val="auto"/>
              </w:rPr>
              <w:t>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900" w:type="dxa"/>
            <w:vAlign w:val="bottom"/>
          </w:tcPr>
          <w:p>
            <w:pPr>
              <w:ind w:left="2300"/>
              <w:spacing w:after="0" w:line="149" w:lineRule="exact"/>
              <w:rPr>
                <w:sz w:val="20"/>
                <w:szCs w:val="20"/>
                <w:color w:val="auto"/>
              </w:rPr>
            </w:pPr>
            <w:r>
              <w:rPr>
                <w:rFonts w:ascii="Arial" w:cs="Arial" w:eastAsia="Arial" w:hAnsi="Arial"/>
                <w:sz w:val="14"/>
                <w:szCs w:val="14"/>
                <w:color w:val="auto"/>
              </w:rPr>
              <w:t>State (Country)</w:t>
            </w:r>
          </w:p>
        </w:tc>
        <w:tc>
          <w:tcPr>
            <w:tcW w:w="1800" w:type="dxa"/>
            <w:vAlign w:val="bottom"/>
          </w:tcPr>
          <w:p>
            <w:pPr>
              <w:ind w:left="660"/>
              <w:spacing w:after="0" w:line="149" w:lineRule="exact"/>
              <w:rPr>
                <w:sz w:val="20"/>
                <w:szCs w:val="20"/>
                <w:color w:val="auto"/>
              </w:rPr>
            </w:pPr>
            <w:r>
              <w:rPr>
                <w:rFonts w:ascii="Arial" w:cs="Arial" w:eastAsia="Arial" w:hAnsi="Arial"/>
                <w:sz w:val="14"/>
                <w:szCs w:val="14"/>
                <w:color w:val="auto"/>
              </w:rPr>
              <w:t>Securities</w:t>
            </w:r>
          </w:p>
        </w:tc>
        <w:tc>
          <w:tcPr>
            <w:tcW w:w="0" w:type="dxa"/>
            <w:vAlign w:val="bottom"/>
          </w:tcPr>
          <w:p>
            <w:pPr>
              <w:spacing w:after="0"/>
              <w:rPr>
                <w:sz w:val="1"/>
                <w:szCs w:val="1"/>
                <w:color w:val="auto"/>
              </w:rPr>
            </w:pPr>
          </w:p>
        </w:tc>
      </w:tr>
      <w:tr>
        <w:trPr>
          <w:trHeight w:val="167"/>
        </w:trPr>
        <w:tc>
          <w:tcPr>
            <w:tcW w:w="5720" w:type="dxa"/>
            <w:vAlign w:val="bottom"/>
            <w:gridSpan w:val="2"/>
          </w:tcPr>
          <w:p>
            <w:pPr>
              <w:spacing w:after="0"/>
              <w:rPr>
                <w:sz w:val="20"/>
                <w:szCs w:val="20"/>
                <w:color w:val="auto"/>
              </w:rPr>
            </w:pPr>
            <w:r>
              <w:rPr>
                <w:rFonts w:ascii="Arial" w:cs="Arial" w:eastAsia="Arial" w:hAnsi="Arial"/>
                <w:sz w:val="14"/>
                <w:szCs w:val="14"/>
                <w:color w:val="auto"/>
              </w:rPr>
              <w:t>Name of Company</w:t>
            </w:r>
          </w:p>
        </w:tc>
        <w:tc>
          <w:tcPr>
            <w:tcW w:w="3900" w:type="dxa"/>
            <w:vAlign w:val="bottom"/>
          </w:tcPr>
          <w:p>
            <w:pPr>
              <w:ind w:left="2300"/>
              <w:spacing w:after="0"/>
              <w:rPr>
                <w:sz w:val="20"/>
                <w:szCs w:val="20"/>
                <w:color w:val="auto"/>
              </w:rPr>
            </w:pPr>
            <w:r>
              <w:rPr>
                <w:rFonts w:ascii="Arial" w:cs="Arial" w:eastAsia="Arial" w:hAnsi="Arial"/>
                <w:sz w:val="14"/>
                <w:szCs w:val="14"/>
                <w:color w:val="auto"/>
              </w:rPr>
              <w:t>of Incorporation</w:t>
            </w:r>
          </w:p>
        </w:tc>
        <w:tc>
          <w:tcPr>
            <w:tcW w:w="1800" w:type="dxa"/>
            <w:vAlign w:val="bottom"/>
          </w:tcPr>
          <w:p>
            <w:pPr>
              <w:ind w:left="66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0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Shanghai International Trading Co.,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China</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Technology (Wuxi) Co. Ltd.</w:t>
            </w:r>
          </w:p>
        </w:tc>
        <w:tc>
          <w:tcPr>
            <w:tcW w:w="3900" w:type="dxa"/>
            <w:vAlign w:val="bottom"/>
          </w:tcPr>
          <w:p>
            <w:pPr>
              <w:ind w:left="2300"/>
              <w:spacing w:after="0"/>
              <w:rPr>
                <w:sz w:val="20"/>
                <w:szCs w:val="20"/>
                <w:color w:val="auto"/>
              </w:rPr>
            </w:pPr>
            <w:r>
              <w:rPr>
                <w:rFonts w:ascii="Arial" w:cs="Arial" w:eastAsia="Arial" w:hAnsi="Arial"/>
                <w:sz w:val="18"/>
                <w:szCs w:val="18"/>
                <w:color w:val="auto"/>
              </w:rPr>
              <w:t>China</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(Beijing) Co.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China</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ID Tech Printing (Shanghai) Co. Ltd.</w:t>
            </w:r>
          </w:p>
        </w:tc>
        <w:tc>
          <w:tcPr>
            <w:tcW w:w="3900" w:type="dxa"/>
            <w:vAlign w:val="bottom"/>
          </w:tcPr>
          <w:p>
            <w:pPr>
              <w:ind w:left="2300"/>
              <w:spacing w:after="0"/>
              <w:rPr>
                <w:sz w:val="20"/>
                <w:szCs w:val="20"/>
                <w:color w:val="auto"/>
              </w:rPr>
            </w:pPr>
            <w:r>
              <w:rPr>
                <w:rFonts w:ascii="Arial" w:cs="Arial" w:eastAsia="Arial" w:hAnsi="Arial"/>
                <w:sz w:val="18"/>
                <w:szCs w:val="18"/>
                <w:color w:val="auto"/>
              </w:rPr>
              <w:t>China</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B.I. U.K.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B.I. Financial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Seton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W.H. Brady Co. Ltd.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European Finance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Holdings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Cleere Advantage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Focal Display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Focal Signs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 &amp; L Signmaker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Safety Shop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Safety Shop Co. U.K.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Signs &amp; Labels Limited</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Southern Signs Systems Limited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Braton Europe S.A.R.L</w:t>
            </w:r>
          </w:p>
        </w:tc>
        <w:tc>
          <w:tcPr>
            <w:tcW w:w="3900" w:type="dxa"/>
            <w:vAlign w:val="bottom"/>
          </w:tcPr>
          <w:p>
            <w:pPr>
              <w:ind w:left="2300"/>
              <w:spacing w:after="0"/>
              <w:rPr>
                <w:sz w:val="20"/>
                <w:szCs w:val="20"/>
                <w:color w:val="auto"/>
              </w:rPr>
            </w:pPr>
            <w:r>
              <w:rPr>
                <w:rFonts w:ascii="Arial" w:cs="Arial" w:eastAsia="Arial" w:hAnsi="Arial"/>
                <w:sz w:val="18"/>
                <w:szCs w:val="18"/>
                <w:color w:val="auto"/>
              </w:rPr>
              <w:t>France</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Braton Groupe S.A.R.L.</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France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Brady</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Techniques Avancees</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Holman</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Periprint</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Group S.A.S.</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France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Signals &amp; Lettrasoft</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Holding GmbH</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Germany</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GmbH</w:t>
            </w:r>
          </w:p>
        </w:tc>
        <w:tc>
          <w:tcPr>
            <w:tcW w:w="3900" w:type="dxa"/>
            <w:vAlign w:val="bottom"/>
          </w:tcPr>
          <w:p>
            <w:pPr>
              <w:ind w:left="2300"/>
              <w:spacing w:after="0"/>
              <w:rPr>
                <w:sz w:val="20"/>
                <w:szCs w:val="20"/>
                <w:color w:val="auto"/>
              </w:rPr>
            </w:pPr>
            <w:r>
              <w:rPr>
                <w:rFonts w:ascii="Arial" w:cs="Arial" w:eastAsia="Arial" w:hAnsi="Arial"/>
                <w:sz w:val="18"/>
                <w:szCs w:val="18"/>
                <w:color w:val="auto"/>
              </w:rPr>
              <w:t>Germany</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Seton</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Balkhausen</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00"/>
              <w:spacing w:after="0"/>
              <w:rPr>
                <w:sz w:val="20"/>
                <w:szCs w:val="20"/>
                <w:color w:val="auto"/>
              </w:rPr>
            </w:pPr>
            <w:r>
              <w:rPr>
                <w:rFonts w:ascii="Arial" w:cs="Arial" w:eastAsia="Arial" w:hAnsi="Arial"/>
                <w:sz w:val="18"/>
                <w:szCs w:val="18"/>
                <w:color w:val="auto"/>
              </w:rPr>
              <w:t>Brady ISST</w:t>
            </w:r>
          </w:p>
        </w:tc>
        <w:tc>
          <w:tcPr>
            <w:tcW w:w="3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Soft &amp; Etimark</w:t>
            </w:r>
          </w:p>
        </w:tc>
        <w:tc>
          <w:tcPr>
            <w:tcW w:w="39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KFT</w:t>
            </w:r>
          </w:p>
        </w:tc>
        <w:tc>
          <w:tcPr>
            <w:tcW w:w="3900" w:type="dxa"/>
            <w:vAlign w:val="bottom"/>
          </w:tcPr>
          <w:p>
            <w:pPr>
              <w:ind w:left="2300"/>
              <w:spacing w:after="0"/>
              <w:rPr>
                <w:sz w:val="20"/>
                <w:szCs w:val="20"/>
                <w:color w:val="auto"/>
              </w:rPr>
            </w:pPr>
            <w:r>
              <w:rPr>
                <w:rFonts w:ascii="Arial" w:cs="Arial" w:eastAsia="Arial" w:hAnsi="Arial"/>
                <w:sz w:val="18"/>
                <w:szCs w:val="18"/>
                <w:color w:val="auto"/>
              </w:rPr>
              <w:t>Hungary</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Italia, SRL</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Italy</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Nippon Brady K.K.</w:t>
            </w:r>
          </w:p>
        </w:tc>
        <w:tc>
          <w:tcPr>
            <w:tcW w:w="3900" w:type="dxa"/>
            <w:vAlign w:val="bottom"/>
          </w:tcPr>
          <w:p>
            <w:pPr>
              <w:ind w:left="2300"/>
              <w:spacing w:after="0"/>
              <w:rPr>
                <w:sz w:val="20"/>
                <w:szCs w:val="20"/>
                <w:color w:val="auto"/>
              </w:rPr>
            </w:pPr>
            <w:r>
              <w:rPr>
                <w:rFonts w:ascii="Arial" w:cs="Arial" w:eastAsia="Arial" w:hAnsi="Arial"/>
                <w:sz w:val="18"/>
                <w:szCs w:val="18"/>
                <w:color w:val="auto"/>
              </w:rPr>
              <w:t>Japan</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0" w:type="dxa"/>
            <w:vAlign w:val="bottom"/>
          </w:tcPr>
          <w:p>
            <w:pPr>
              <w:ind w:left="6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00" w:type="dxa"/>
            <w:vAlign w:val="bottom"/>
          </w:tcPr>
          <w:p>
            <w:pPr>
              <w:ind w:left="660"/>
              <w:spacing w:after="0" w:line="149" w:lineRule="exact"/>
              <w:rPr>
                <w:sz w:val="20"/>
                <w:szCs w:val="20"/>
                <w:color w:val="auto"/>
              </w:rPr>
            </w:pPr>
            <w:r>
              <w:rPr>
                <w:rFonts w:ascii="Arial" w:cs="Arial" w:eastAsia="Arial" w:hAnsi="Arial"/>
                <w:sz w:val="14"/>
                <w:szCs w:val="14"/>
                <w:color w:val="auto"/>
              </w:rPr>
              <w:t>of 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3900" w:type="dxa"/>
            <w:vAlign w:val="bottom"/>
          </w:tcPr>
          <w:p>
            <w:pPr>
              <w:ind w:left="2300"/>
              <w:spacing w:after="0" w:line="149" w:lineRule="exact"/>
              <w:rPr>
                <w:sz w:val="20"/>
                <w:szCs w:val="20"/>
                <w:color w:val="auto"/>
              </w:rPr>
            </w:pPr>
            <w:r>
              <w:rPr>
                <w:rFonts w:ascii="Arial" w:cs="Arial" w:eastAsia="Arial" w:hAnsi="Arial"/>
                <w:sz w:val="14"/>
                <w:szCs w:val="14"/>
                <w:color w:val="auto"/>
              </w:rPr>
              <w:t>State (Country)</w:t>
            </w:r>
          </w:p>
        </w:tc>
        <w:tc>
          <w:tcPr>
            <w:tcW w:w="1800" w:type="dxa"/>
            <w:vAlign w:val="bottom"/>
          </w:tcPr>
          <w:p>
            <w:pPr>
              <w:ind w:left="660"/>
              <w:spacing w:after="0" w:line="149" w:lineRule="exact"/>
              <w:rPr>
                <w:sz w:val="20"/>
                <w:szCs w:val="20"/>
                <w:color w:val="auto"/>
              </w:rPr>
            </w:pPr>
            <w:r>
              <w:rPr>
                <w:rFonts w:ascii="Arial" w:cs="Arial" w:eastAsia="Arial" w:hAnsi="Arial"/>
                <w:sz w:val="14"/>
                <w:szCs w:val="14"/>
                <w:color w:val="auto"/>
              </w:rPr>
              <w:t>Securities</w:t>
            </w:r>
          </w:p>
        </w:tc>
        <w:tc>
          <w:tcPr>
            <w:tcW w:w="0" w:type="dxa"/>
            <w:vAlign w:val="bottom"/>
          </w:tcPr>
          <w:p>
            <w:pPr>
              <w:spacing w:after="0"/>
              <w:rPr>
                <w:sz w:val="1"/>
                <w:szCs w:val="1"/>
                <w:color w:val="auto"/>
              </w:rPr>
            </w:pPr>
          </w:p>
        </w:tc>
      </w:tr>
      <w:tr>
        <w:trPr>
          <w:trHeight w:val="167"/>
        </w:trPr>
        <w:tc>
          <w:tcPr>
            <w:tcW w:w="5720" w:type="dxa"/>
            <w:vAlign w:val="bottom"/>
            <w:gridSpan w:val="2"/>
          </w:tcPr>
          <w:p>
            <w:pPr>
              <w:spacing w:after="0"/>
              <w:rPr>
                <w:sz w:val="20"/>
                <w:szCs w:val="20"/>
                <w:color w:val="auto"/>
              </w:rPr>
            </w:pPr>
            <w:r>
              <w:rPr>
                <w:rFonts w:ascii="Arial" w:cs="Arial" w:eastAsia="Arial" w:hAnsi="Arial"/>
                <w:sz w:val="14"/>
                <w:szCs w:val="14"/>
                <w:color w:val="auto"/>
              </w:rPr>
              <w:t>Name of Company</w:t>
            </w:r>
          </w:p>
        </w:tc>
        <w:tc>
          <w:tcPr>
            <w:tcW w:w="3900" w:type="dxa"/>
            <w:vAlign w:val="bottom"/>
          </w:tcPr>
          <w:p>
            <w:pPr>
              <w:ind w:left="2300"/>
              <w:spacing w:after="0"/>
              <w:rPr>
                <w:sz w:val="20"/>
                <w:szCs w:val="20"/>
                <w:color w:val="auto"/>
              </w:rPr>
            </w:pPr>
            <w:r>
              <w:rPr>
                <w:rFonts w:ascii="Arial" w:cs="Arial" w:eastAsia="Arial" w:hAnsi="Arial"/>
                <w:sz w:val="14"/>
                <w:szCs w:val="14"/>
                <w:color w:val="auto"/>
              </w:rPr>
              <w:t>of Incorporation</w:t>
            </w:r>
          </w:p>
        </w:tc>
        <w:tc>
          <w:tcPr>
            <w:tcW w:w="1800" w:type="dxa"/>
            <w:vAlign w:val="bottom"/>
          </w:tcPr>
          <w:p>
            <w:pPr>
              <w:ind w:left="66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00" w:type="dxa"/>
            <w:vAlign w:val="bottom"/>
            <w:tcBorders>
              <w:top w:val="single" w:sz="8" w:color="auto"/>
            </w:tcBorders>
          </w:tcPr>
          <w:p>
            <w:pPr>
              <w:spacing w:after="0"/>
              <w:rPr>
                <w:sz w:val="19"/>
                <w:szCs w:val="19"/>
                <w:color w:val="auto"/>
              </w:rPr>
            </w:pPr>
          </w:p>
        </w:tc>
        <w:tc>
          <w:tcPr>
            <w:tcW w:w="39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SDN, BHD.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Malaysia</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 H. Brady S. de R.L. de C.V.</w:t>
            </w:r>
          </w:p>
        </w:tc>
        <w:tc>
          <w:tcPr>
            <w:tcW w:w="3900" w:type="dxa"/>
            <w:vAlign w:val="bottom"/>
          </w:tcPr>
          <w:p>
            <w:pPr>
              <w:ind w:left="2300"/>
              <w:spacing w:after="0"/>
              <w:rPr>
                <w:sz w:val="20"/>
                <w:szCs w:val="20"/>
                <w:color w:val="auto"/>
              </w:rPr>
            </w:pPr>
            <w:r>
              <w:rPr>
                <w:rFonts w:ascii="Arial" w:cs="Arial" w:eastAsia="Arial" w:hAnsi="Arial"/>
                <w:sz w:val="18"/>
                <w:szCs w:val="18"/>
                <w:color w:val="auto"/>
              </w:rPr>
              <w:t>Mexico</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S.E.A. Pte.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Corporation Asia Pte. Ltd.</w:t>
            </w:r>
          </w:p>
        </w:tc>
        <w:tc>
          <w:tcPr>
            <w:tcW w:w="3900" w:type="dxa"/>
            <w:vAlign w:val="bottom"/>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Identification S.L.</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Spain</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AB</w:t>
            </w:r>
          </w:p>
        </w:tc>
        <w:tc>
          <w:tcPr>
            <w:tcW w:w="3900" w:type="dxa"/>
            <w:vAlign w:val="bottom"/>
          </w:tcPr>
          <w:p>
            <w:pPr>
              <w:ind w:left="2300"/>
              <w:spacing w:after="0"/>
              <w:rPr>
                <w:sz w:val="20"/>
                <w:szCs w:val="20"/>
                <w:color w:val="auto"/>
              </w:rPr>
            </w:pPr>
            <w:r>
              <w:rPr>
                <w:rFonts w:ascii="Arial" w:cs="Arial" w:eastAsia="Arial" w:hAnsi="Arial"/>
                <w:sz w:val="18"/>
                <w:szCs w:val="18"/>
                <w:color w:val="auto"/>
              </w:rPr>
              <w:t>Sweden</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Seton Scandinavia AB</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Sweden</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(Shenzhen) Co. Ltd.</w:t>
            </w:r>
          </w:p>
        </w:tc>
        <w:tc>
          <w:tcPr>
            <w:tcW w:w="3900" w:type="dxa"/>
            <w:vAlign w:val="bottom"/>
          </w:tcPr>
          <w:p>
            <w:pPr>
              <w:ind w:left="2300"/>
              <w:spacing w:after="0"/>
              <w:rPr>
                <w:sz w:val="20"/>
                <w:szCs w:val="20"/>
                <w:color w:val="auto"/>
              </w:rPr>
            </w:pPr>
            <w:r>
              <w:rPr>
                <w:rFonts w:ascii="Arial" w:cs="Arial" w:eastAsia="Arial" w:hAnsi="Arial"/>
                <w:sz w:val="18"/>
                <w:szCs w:val="18"/>
                <w:color w:val="auto"/>
              </w:rPr>
              <w:t>China</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Pure Vantage</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Rapid Update</w:t>
            </w:r>
          </w:p>
        </w:tc>
        <w:tc>
          <w:tcPr>
            <w:tcW w:w="3900" w:type="dxa"/>
            <w:vAlign w:val="bottom"/>
          </w:tcPr>
          <w:p>
            <w:pPr>
              <w:ind w:left="2300"/>
              <w:spacing w:after="0"/>
              <w:rPr>
                <w:sz w:val="20"/>
                <w:szCs w:val="20"/>
                <w:color w:val="auto"/>
              </w:rPr>
            </w:pPr>
            <w:r>
              <w:rPr>
                <w:rFonts w:ascii="Arial" w:cs="Arial" w:eastAsia="Arial" w:hAnsi="Arial"/>
                <w:sz w:val="18"/>
                <w:szCs w:val="18"/>
                <w:color w:val="auto"/>
              </w:rPr>
              <w:t>England</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Servicios, S. de R.L. de C.V.</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Mexico</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Brandon Converting Mexico S. de R.L. de C.V.</w:t>
            </w:r>
          </w:p>
        </w:tc>
        <w:tc>
          <w:tcPr>
            <w:tcW w:w="3900" w:type="dxa"/>
            <w:vAlign w:val="bottom"/>
          </w:tcPr>
          <w:p>
            <w:pPr>
              <w:ind w:left="2300"/>
              <w:spacing w:after="0"/>
              <w:rPr>
                <w:sz w:val="20"/>
                <w:szCs w:val="20"/>
                <w:color w:val="auto"/>
              </w:rPr>
            </w:pPr>
            <w:r>
              <w:rPr>
                <w:rFonts w:ascii="Arial" w:cs="Arial" w:eastAsia="Arial" w:hAnsi="Arial"/>
                <w:sz w:val="18"/>
                <w:szCs w:val="18"/>
                <w:color w:val="auto"/>
              </w:rPr>
              <w:t>Mexico</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Brandon Precision Pte.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Technologies Asia Pte. Ltd.</w:t>
            </w:r>
          </w:p>
        </w:tc>
        <w:tc>
          <w:tcPr>
            <w:tcW w:w="3900" w:type="dxa"/>
            <w:vAlign w:val="bottom"/>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Asia Holding Pte.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Singapore Holdings Pte. Ltd.</w:t>
            </w:r>
          </w:p>
        </w:tc>
        <w:tc>
          <w:tcPr>
            <w:tcW w:w="3900" w:type="dxa"/>
            <w:vAlign w:val="bottom"/>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ID Technologies Pte.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ID Technologies (China) Pte. Ltd.</w:t>
            </w:r>
          </w:p>
        </w:tc>
        <w:tc>
          <w:tcPr>
            <w:tcW w:w="3900" w:type="dxa"/>
            <w:vAlign w:val="bottom"/>
          </w:tcPr>
          <w:p>
            <w:pPr>
              <w:ind w:left="2300"/>
              <w:spacing w:after="0"/>
              <w:rPr>
                <w:sz w:val="20"/>
                <w:szCs w:val="20"/>
                <w:color w:val="auto"/>
              </w:rPr>
            </w:pPr>
            <w:r>
              <w:rPr>
                <w:rFonts w:ascii="Arial" w:cs="Arial" w:eastAsia="Arial" w:hAnsi="Arial"/>
                <w:sz w:val="18"/>
                <w:szCs w:val="18"/>
                <w:color w:val="auto"/>
              </w:rPr>
              <w:t>Singapore</w:t>
            </w:r>
          </w:p>
        </w:tc>
        <w:tc>
          <w:tcPr>
            <w:tcW w:w="1800" w:type="dxa"/>
            <w:vAlign w:val="bottom"/>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S.R.O.</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Slovakia</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Brady Holding Co. Ltd.</w:t>
            </w:r>
          </w:p>
        </w:tc>
        <w:tc>
          <w:tcPr>
            <w:tcW w:w="3900" w:type="dxa"/>
            <w:vAlign w:val="bottom"/>
          </w:tcPr>
          <w:p>
            <w:pPr>
              <w:ind w:left="2300"/>
              <w:spacing w:after="0"/>
              <w:rPr>
                <w:sz w:val="20"/>
                <w:szCs w:val="20"/>
                <w:color w:val="auto"/>
              </w:rPr>
            </w:pPr>
            <w:r>
              <w:rPr>
                <w:rFonts w:ascii="Arial" w:cs="Arial" w:eastAsia="Arial" w:hAnsi="Arial"/>
                <w:sz w:val="18"/>
                <w:szCs w:val="18"/>
                <w:color w:val="auto"/>
              </w:rPr>
              <w:t>Thailand</w:t>
            </w:r>
          </w:p>
        </w:tc>
        <w:tc>
          <w:tcPr>
            <w:tcW w:w="1800" w:type="dxa"/>
            <w:vAlign w:val="bottom"/>
          </w:tcPr>
          <w:p>
            <w:pPr>
              <w:ind w:left="6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Brady (Thailand) Co. Ltd.</w:t>
            </w:r>
          </w:p>
        </w:tc>
        <w:tc>
          <w:tcPr>
            <w:tcW w:w="390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Thailand</w:t>
            </w:r>
          </w:p>
        </w:tc>
        <w:tc>
          <w:tcPr>
            <w:tcW w:w="1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TISCOR, Inc., a California Corporation, was legally merged into Brady Worldwide, Inc. on August 1, 2005.</w:t>
      </w:r>
    </w:p>
    <w:p>
      <w:pPr>
        <w:spacing w:after="0" w:line="76" w:lineRule="exact"/>
        <w:rPr>
          <w:rFonts w:ascii="Arial" w:cs="Arial" w:eastAsia="Arial" w:hAnsi="Arial"/>
          <w:sz w:val="18"/>
          <w:szCs w:val="18"/>
          <w:color w:val="auto"/>
        </w:rPr>
      </w:pPr>
    </w:p>
    <w:p>
      <w:pPr>
        <w:ind w:left="460" w:right="20" w:hanging="452"/>
        <w:spacing w:after="0" w:line="31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Brady Corporation owns 49% of the outstanding shares of Brady Holding Co. Ltd., but Brady Corporation maintains controlling voting rights. The 51% owner holds preferred shares, which entitle it to one vote for every 20 shares. Brady Corporation holds common shares, which entitle it to one vote for every one share. The preferred shareholder’s share of the net income in Brady Holding Co. Ltd is limited to recovery of their initial investment.</w:t>
      </w:r>
    </w:p>
    <w:p>
      <w:pPr>
        <w:sectPr>
          <w:pgSz w:w="11900" w:h="16838" w:orient="portrait"/>
          <w:cols w:equalWidth="0" w:num="1">
            <w:col w:w="11420"/>
          </w:cols>
          <w:pgMar w:left="240" w:top="113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We consent to the incorporation by reference in Registration Statement No. 333-110949, 333-99615, 333-38857, 333-38859, 333-44505 and 333-92417 on Form S-8 and 333-128023 on form S-3 of our reports dated September 29, 2005, relating to the financial statements and financial statement schedule of Brady Corporation and management’s report on the effectiveness of internal control over financial reporting, appearing in this Annual Report on Form 10-K of Brady Corporation for the year ended July 31, 2005.</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 2005</w:t>
      </w:r>
    </w:p>
    <w:p>
      <w:pPr>
        <w:sectPr>
          <w:pgSz w:w="11900" w:h="16838" w:orient="portrait"/>
          <w:cols w:equalWidth="0" w:num="1">
            <w:col w:w="11420"/>
          </w:cols>
          <w:pgMar w:left="240" w:top="9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340" w:firstLine="446"/>
        <w:spacing w:after="0" w:line="264" w:lineRule="auto"/>
        <w:tabs>
          <w:tab w:leader="none" w:pos="87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660" w:firstLine="446"/>
        <w:spacing w:after="0" w:line="264" w:lineRule="auto"/>
        <w:tabs>
          <w:tab w:leader="none" w:pos="8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40" w:firstLine="446"/>
        <w:spacing w:after="0" w:line="342" w:lineRule="auto"/>
        <w:tabs>
          <w:tab w:leader="none" w:pos="87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180" w:firstLine="446"/>
        <w:spacing w:after="0" w:line="264" w:lineRule="auto"/>
        <w:tabs>
          <w:tab w:leader="none" w:pos="8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40" w:firstLine="446"/>
        <w:spacing w:after="0" w:line="277" w:lineRule="auto"/>
        <w:tabs>
          <w:tab w:leader="none" w:pos="87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80" w:firstLine="446"/>
        <w:spacing w:after="0" w:line="277" w:lineRule="auto"/>
        <w:tabs>
          <w:tab w:leader="none" w:pos="8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Mathieson, certify that:</w:t>
      </w:r>
    </w:p>
    <w:p>
      <w:pPr>
        <w:spacing w:after="0" w:line="117" w:lineRule="exact"/>
        <w:rPr>
          <w:sz w:val="20"/>
          <w:szCs w:val="20"/>
          <w:color w:val="auto"/>
        </w:rPr>
      </w:pPr>
    </w:p>
    <w:p>
      <w:pPr>
        <w:ind w:left="480" w:hanging="247"/>
        <w:spacing w:after="0"/>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340" w:firstLine="446"/>
        <w:spacing w:after="0" w:line="264" w:lineRule="auto"/>
        <w:tabs>
          <w:tab w:leader="none" w:pos="8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660" w:firstLine="446"/>
        <w:spacing w:after="0" w:line="264" w:lineRule="auto"/>
        <w:tabs>
          <w:tab w:leader="none" w:pos="88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840" w:firstLine="446"/>
        <w:spacing w:after="0" w:line="342" w:lineRule="auto"/>
        <w:tabs>
          <w:tab w:leader="none" w:pos="87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240" w:right="180" w:firstLine="446"/>
        <w:spacing w:after="0" w:line="264" w:lineRule="auto"/>
        <w:tabs>
          <w:tab w:leader="none" w:pos="88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360" w:firstLine="233"/>
        <w:spacing w:after="0" w:line="308" w:lineRule="auto"/>
        <w:tabs>
          <w:tab w:leader="none" w:pos="47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40" w:firstLine="446"/>
        <w:spacing w:after="0" w:line="277" w:lineRule="auto"/>
        <w:tabs>
          <w:tab w:leader="none" w:pos="87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180" w:firstLine="446"/>
        <w:spacing w:after="0" w:line="277" w:lineRule="auto"/>
        <w:tabs>
          <w:tab w:leader="none" w:pos="88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9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340" w:firstLine="446"/>
        <w:spacing w:after="0" w:line="277" w:lineRule="auto"/>
        <w:tabs>
          <w:tab w:leader="none" w:pos="9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2005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380" w:firstLine="446"/>
        <w:spacing w:after="0" w:line="277" w:lineRule="auto"/>
        <w:tabs>
          <w:tab w:leader="none" w:pos="9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932"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left="240" w:right="340" w:firstLine="446"/>
        <w:spacing w:after="0" w:line="277" w:lineRule="auto"/>
        <w:tabs>
          <w:tab w:leader="none" w:pos="9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2005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240" w:right="380" w:firstLine="446"/>
        <w:spacing w:after="0" w:line="277" w:lineRule="auto"/>
        <w:tabs>
          <w:tab w:leader="none" w:pos="9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DAVID MATHIESON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Mathieson)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100" w:firstLine="215"/>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1)"/>
      <w:numFmt w:val="lowerLetter"/>
      <w:start w:val="2"/>
    </w:lvl>
  </w:abstractNum>
  <w:abstractNum w:abstractNumId="4">
    <w:nsid w:val="3804823E"/>
    <w:multiLevelType w:val="hybridMultilevel"/>
    <w:lvl w:ilvl="0">
      <w:lvlJc w:val="left"/>
      <w:lvlText w:val="(%1)"/>
      <w:numFmt w:val="lowerLetter"/>
      <w:start w:val="3"/>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lowerLetter"/>
      <w:start w:val="4"/>
    </w:lvl>
  </w:abstractNum>
  <w:abstractNum w:abstractNumId="8">
    <w:nsid w:val="2463B9EA"/>
    <w:multiLevelType w:val="hybridMultilevel"/>
    <w:lvl w:ilvl="0">
      <w:lvlJc w:val="left"/>
      <w:lvlText w:val="(%1)"/>
      <w:numFmt w:val="lowerLetter"/>
      <w:start w:val="5"/>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lowerLetter"/>
      <w:start w:val="2"/>
    </w:lvl>
  </w:abstractNum>
  <w:abstractNum w:abstractNumId="12">
    <w:nsid w:val="580BD78F"/>
    <w:multiLevelType w:val="hybridMultilevel"/>
    <w:lvl w:ilvl="0">
      <w:lvlJc w:val="left"/>
      <w:lvlText w:val="(%1)"/>
      <w:numFmt w:val="lowerLetter"/>
      <w:start w:val="3"/>
    </w:lvl>
  </w:abstractNum>
  <w:abstractNum w:abstractNumId="13">
    <w:nsid w:val="153EA438"/>
    <w:multiLevelType w:val="hybridMultilevel"/>
    <w:lvl w:ilvl="0">
      <w:lvlJc w:val="left"/>
      <w:lvlText w:val="(%1)"/>
      <w:numFmt w:val="lowerLetter"/>
      <w:start w:val="1"/>
    </w:lvl>
  </w:abstractNum>
  <w:abstractNum w:abstractNumId="14">
    <w:nsid w:val="3855585C"/>
    <w:multiLevelType w:val="hybridMultilevel"/>
    <w:lvl w:ilvl="0">
      <w:lvlJc w:val="left"/>
      <w:lvlText w:val="(%1)"/>
      <w:numFmt w:val="lowerLetter"/>
      <w:start w:val="4"/>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2"/>
    </w:lvl>
  </w:abstractNum>
  <w:abstractNum w:abstractNumId="23">
    <w:nsid w:val="4B588F54"/>
    <w:multiLevelType w:val="hybridMultilevel"/>
    <w:lvl w:ilvl="0">
      <w:lvlJc w:val="left"/>
      <w:lvlText w:val="%1."/>
      <w:numFmt w:val="decimal"/>
      <w:start w:val="3"/>
    </w:lvl>
  </w:abstractNum>
  <w:abstractNum w:abstractNumId="24">
    <w:nsid w:val="542289EC"/>
    <w:multiLevelType w:val="hybridMultilevel"/>
    <w:lvl w:ilvl="0">
      <w:lvlJc w:val="left"/>
      <w:lvlText w:val="%1."/>
      <w:numFmt w:val="decimal"/>
      <w:start w:val="5"/>
    </w:lvl>
  </w:abstractNum>
  <w:abstractNum w:abstractNumId="25">
    <w:nsid w:val="6DE91B18"/>
    <w:multiLevelType w:val="hybridMultilevel"/>
    <w:lvl w:ilvl="0">
      <w:lvlJc w:val="left"/>
      <w:lvlText w:val="%1."/>
      <w:numFmt w:val="decimal"/>
      <w:start w:val="6"/>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7"/>
    </w:lvl>
  </w:abstractNum>
  <w:abstractNum w:abstractNumId="29">
    <w:nsid w:val="684A481A"/>
    <w:multiLevelType w:val="hybridMultilevel"/>
    <w:lvl w:ilvl="0">
      <w:lvlJc w:val="left"/>
      <w:lvlText w:val="**"/>
      <w:numFmt w:val="bullet"/>
      <w:start w:val="1"/>
    </w:lvl>
    <w:lvl w:ilvl="1">
      <w:lvlJc w:val="left"/>
      <w:lvlText w:val="*"/>
      <w:numFmt w:val="bullet"/>
      <w:start w:val="1"/>
    </w:lvl>
  </w:abstractNum>
  <w:abstractNum w:abstractNumId="30">
    <w:nsid w:val="579478FE"/>
    <w:multiLevelType w:val="hybridMultilevel"/>
    <w:lvl w:ilvl="0">
      <w:lvlJc w:val="left"/>
      <w:lvlText w:val="%1."/>
      <w:numFmt w:val="decimal"/>
      <w:start w:val="8"/>
    </w:lvl>
  </w:abstractNum>
  <w:abstractNum w:abstractNumId="31">
    <w:nsid w:val="749ABB43"/>
    <w:multiLevelType w:val="hybridMultilevel"/>
    <w:lvl w:ilvl="0">
      <w:lvlJc w:val="left"/>
      <w:lvlText w:val="%1."/>
      <w:numFmt w:val="decimal"/>
      <w:start w:val="9"/>
    </w:lvl>
  </w:abstractNum>
  <w:abstractNum w:abstractNumId="32">
    <w:nsid w:val="3DC240FB"/>
    <w:multiLevelType w:val="hybridMultilevel"/>
    <w:lvl w:ilvl="0">
      <w:lvlJc w:val="left"/>
      <w:lvlText w:val="%1."/>
      <w:numFmt w:val="decimal"/>
      <w:start w:val="10"/>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1."/>
      <w:numFmt w:val="decimal"/>
      <w:start w:val="3"/>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4"/>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lowerLetter"/>
      <w:start w:val="2"/>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1"/>
      <w:numFmt w:val="lowerLetter"/>
      <w:start w:val="1"/>
    </w:lvl>
    <w:lvl w:ilvl="1">
      <w:lvlJc w:val="left"/>
      <w:lvlText w:val="(%2)"/>
      <w:numFmt w:val="decimal"/>
      <w:start w:val="1"/>
    </w:lvl>
  </w:abstractNum>
  <w:abstractNum w:abstractNumId="50">
    <w:nsid w:val="15B5AF5C"/>
    <w:multiLevelType w:val="hybridMultilevel"/>
    <w:lvl w:ilvl="0">
      <w:lvlJc w:val="left"/>
      <w:lvlText w:val="(%1)"/>
      <w:numFmt w:val="lowerLetter"/>
      <w:start w:val="3"/>
    </w:lvl>
    <w:lvl w:ilvl="1">
      <w:lvlJc w:val="left"/>
      <w:lvlText w:val="%2"/>
      <w:numFmt w:val="decimal"/>
      <w:start w:val="1"/>
    </w:lvl>
  </w:abstractNum>
  <w:abstractNum w:abstractNumId="51">
    <w:nsid w:val="741226BB"/>
    <w:multiLevelType w:val="hybridMultilevel"/>
    <w:lvl w:ilvl="0">
      <w:lvlJc w:val="left"/>
      <w:lvlText w:val="(%1)"/>
      <w:numFmt w:val="lowerLetter"/>
      <w:start w:val="4"/>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3"/>
    </w:lvl>
  </w:abstractNum>
  <w:abstractNum w:abstractNumId="56">
    <w:nsid w:val="7E0C57B1"/>
    <w:multiLevelType w:val="hybridMultilevel"/>
    <w:lvl w:ilvl="0">
      <w:lvlJc w:val="left"/>
      <w:lvlText w:val="(%1)"/>
      <w:numFmt w:val="decimal"/>
    </w:lvl>
    <w:lvl w:ilvl="1">
      <w:lvlJc w:val="left"/>
      <w:lvlText w:val="*"/>
      <w:numFmt w:val="bullet"/>
      <w:start w:val="1"/>
    </w:lvl>
  </w:abstractNum>
  <w:abstractNum w:abstractNumId="57">
    <w:nsid w:val="77AE35EB"/>
    <w:multiLevelType w:val="hybridMultilevel"/>
    <w:lvl w:ilvl="0">
      <w:lvlJc w:val="left"/>
      <w:lvlText w:val="(%1)"/>
      <w:numFmt w:val="decimal"/>
      <w:start w:val="4"/>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3"/>
    </w:lvl>
    <w:lvl w:ilvl="1">
      <w:lvlJc w:val="left"/>
      <w:lvlText w:val="(%2)"/>
      <w:numFmt w:val="lowerLetter"/>
      <w:start w:val="1"/>
    </w:lvl>
  </w:abstractNum>
  <w:abstractNum w:abstractNumId="60">
    <w:nsid w:val="5FF87E05"/>
    <w:multiLevelType w:val="hybridMultilevel"/>
    <w:lvl w:ilvl="0">
      <w:lvlJc w:val="left"/>
      <w:lvlText w:val="%1."/>
      <w:numFmt w:val="decimal"/>
      <w:start w:val="4"/>
    </w:lvl>
  </w:abstractNum>
  <w:abstractNum w:abstractNumId="61">
    <w:nsid w:val="2F305DEF"/>
    <w:multiLevelType w:val="hybridMultilevel"/>
    <w:lvl w:ilvl="0">
      <w:lvlJc w:val="left"/>
      <w:lvlText w:val="%1."/>
      <w:numFmt w:val="decimal"/>
      <w:start w:val="10"/>
    </w:lvl>
  </w:abstractNum>
  <w:abstractNum w:abstractNumId="62">
    <w:nsid w:val="25A70BF7"/>
    <w:multiLevelType w:val="hybridMultilevel"/>
    <w:lvl w:ilvl="0">
      <w:lvlJc w:val="left"/>
      <w:lvlText w:val="%1."/>
      <w:numFmt w:val="decimal"/>
      <w:start w:val="14"/>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2019-12-13T14:26:30Z</dcterms:created>
  <dcterms:modified xsi:type="dcterms:W3CDTF">2019-12-13T14:26:30Z</dcterms:modified>
</cp:coreProperties>
</file>