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46990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62230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396"/>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39-0971239</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12"/>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212"/>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18"/>
                <w:szCs w:val="18"/>
                <w:color w:val="auto"/>
              </w:rPr>
            </w:pPr>
          </w:p>
        </w:tc>
      </w:tr>
      <w:tr>
        <w:trPr>
          <w:trHeight w:val="186"/>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16"/>
                <w:szCs w:val="16"/>
                <w:color w:val="auto"/>
              </w:rPr>
            </w:pPr>
          </w:p>
        </w:tc>
      </w:tr>
      <w:tr>
        <w:trPr>
          <w:trHeight w:val="354"/>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80"/>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4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11" w:lineRule="exact"/>
        <w:rPr>
          <w:sz w:val="24"/>
          <w:szCs w:val="24"/>
          <w:color w:val="auto"/>
        </w:rPr>
      </w:pPr>
    </w:p>
    <w:p>
      <w:pPr>
        <w:jc w:val="both"/>
        <w:ind w:right="2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sectPr>
      </w:pPr>
    </w:p>
    <w:bookmarkStart w:id="1" w:name="page2"/>
    <w:bookmarkEnd w:id="1"/>
    <w:p>
      <w:pPr>
        <w:ind w:left="20"/>
        <w:spacing w:after="0"/>
        <w:tabs>
          <w:tab w:leader="none" w:pos="100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36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21, 2021, Brady Corporation (the “Corporation”) and certain of its subsidiaries entered into a First Amendment to Credit Agreement (“Amendment No. 1”) with the lenders listed therein and BMO Harris Bank, N.A., as administrative agent, which amends that certain Credit Agreement, dated as of August 1, 2019 (the “Credit Agreement”), by and among the Corporation, certain of the Corporation’s subsidiaries, the lenders from time to time party thereto, the letter of credit issuers from time to time party thereto and BMO Harris Bank, N.A., as administrative agent.</w:t>
      </w:r>
    </w:p>
    <w:p>
      <w:pPr>
        <w:spacing w:after="0" w:line="19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Amendment No. 1 amends the Credit Agreement to, among other things, (a) change the interest rate under the Credit Agreement for borrowings (i) denominated in Sterling from a LIBOR-based rate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Credit Agreement (as amended by Amendment No. 1); and (b) provide mechanics relating to a transition away from USD </w:t>
      </w:r>
      <w:r>
        <w:rPr>
          <w:rFonts w:ascii="Arial" w:cs="Arial" w:eastAsia="Arial" w:hAnsi="Arial"/>
          <w:sz w:val="17"/>
          <w:szCs w:val="17"/>
          <w:color w:val="252525"/>
        </w:rPr>
        <w:t>LIBOR</w:t>
      </w:r>
      <w:r>
        <w:rPr>
          <w:rFonts w:ascii="Arial" w:cs="Arial" w:eastAsia="Arial" w:hAnsi="Arial"/>
          <w:sz w:val="17"/>
          <w:szCs w:val="17"/>
          <w:color w:val="auto"/>
        </w:rPr>
        <w:t xml:space="preserve"> (with respect to U.S. dollars) and the designated benchmarks for </w:t>
      </w:r>
      <w:r>
        <w:rPr>
          <w:rFonts w:ascii="Arial" w:cs="Arial" w:eastAsia="Arial" w:hAnsi="Arial"/>
          <w:sz w:val="17"/>
          <w:szCs w:val="17"/>
          <w:color w:val="252525"/>
        </w:rPr>
        <w:t>the other eligible currencies</w:t>
      </w:r>
      <w:r>
        <w:rPr>
          <w:rFonts w:ascii="Arial" w:cs="Arial" w:eastAsia="Arial" w:hAnsi="Arial"/>
          <w:sz w:val="17"/>
          <w:szCs w:val="17"/>
          <w:color w:val="auto"/>
        </w:rPr>
        <w:t xml:space="preserve"> as benchmark </w:t>
      </w:r>
      <w:r>
        <w:rPr>
          <w:rFonts w:ascii="Arial" w:cs="Arial" w:eastAsia="Arial" w:hAnsi="Arial"/>
          <w:sz w:val="17"/>
          <w:szCs w:val="17"/>
          <w:color w:val="252525"/>
        </w:rPr>
        <w:t>interest rates</w:t>
      </w:r>
      <w:r>
        <w:rPr>
          <w:rFonts w:ascii="Arial" w:cs="Arial" w:eastAsia="Arial" w:hAnsi="Arial"/>
          <w:sz w:val="17"/>
          <w:szCs w:val="17"/>
          <w:color w:val="auto"/>
        </w:rPr>
        <w:t xml:space="preserve"> and the replacement of any such benchmark by a replacement benchmark rate.</w:t>
      </w:r>
    </w:p>
    <w:p>
      <w:pPr>
        <w:spacing w:after="0" w:line="20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description of Amendment No. 1 does not purport to be complete and is qualified in its entirety by reference to the full text of Amendment No. 1, a copy of which is filed as Exhibit 10.1 to this report and is incorporated herein by reference.</w:t>
      </w:r>
    </w:p>
    <w:p>
      <w:pPr>
        <w:spacing w:after="0" w:line="400" w:lineRule="exact"/>
        <w:rPr>
          <w:sz w:val="20"/>
          <w:szCs w:val="20"/>
          <w:color w:val="auto"/>
        </w:rPr>
      </w:pPr>
    </w:p>
    <w:p>
      <w:pPr>
        <w:jc w:val="both"/>
        <w:ind w:left="1020" w:right="20" w:hanging="984"/>
        <w:spacing w:after="0" w:line="246" w:lineRule="auto"/>
        <w:tabs>
          <w:tab w:leader="none" w:pos="1000" w:val="left"/>
        </w:tabs>
        <w:rPr>
          <w:sz w:val="20"/>
          <w:szCs w:val="20"/>
          <w:color w:val="auto"/>
        </w:rPr>
      </w:pPr>
      <w:r>
        <w:rPr>
          <w:rFonts w:ascii="Arial" w:cs="Arial" w:eastAsia="Arial" w:hAnsi="Arial"/>
          <w:sz w:val="18"/>
          <w:szCs w:val="18"/>
          <w:color w:val="auto"/>
        </w:rPr>
        <w:t>Item 2.03</w:t>
      </w:r>
      <w:r>
        <w:rPr>
          <w:sz w:val="20"/>
          <w:szCs w:val="20"/>
          <w:color w:val="auto"/>
        </w:rPr>
        <w:tab/>
      </w:r>
      <w:r>
        <w:rPr>
          <w:rFonts w:ascii="Arial" w:cs="Arial" w:eastAsia="Arial" w:hAnsi="Arial"/>
          <w:sz w:val="18"/>
          <w:szCs w:val="18"/>
          <w:color w:val="auto"/>
        </w:rPr>
        <w:t>CREATION OF A DIRECT FINANCIAL OBLIGATION OR AN OBLIGATION UNDER AN OFF-BALANCE SHEET ARRANGEMENT OF A REGISTRANT</w:t>
      </w: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8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60" w:type="dxa"/>
            <w:vAlign w:val="bottom"/>
            <w:gridSpan w:val="3"/>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00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First Amendment to Credit Agreement, dated as of December 21, 2021, by and among Brady Corporation and certain of its subsidiaries,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10060" w:type="dxa"/>
            <w:vAlign w:val="bottom"/>
            <w:gridSpan w:val="3"/>
            <w:vMerge w:val="restart"/>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the lenders listed therein and BMO Harris Bank, N.A., as administrative agent.</w:t>
              </w:r>
            </w:hyperlink>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0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568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3"/>
              </w:rPr>
              <w:t>Cover Page Interactive Data File (embedded within Inline XBRL document).</w:t>
            </w:r>
          </w:p>
        </w:tc>
        <w:tc>
          <w:tcPr>
            <w:tcW w:w="4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22, 2021</w:t>
      </w:r>
    </w:p>
    <w:p>
      <w:pPr>
        <w:spacing w:after="0" w:line="2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93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CREDIT AGREEMENT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FIRST AMENDMENT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as of December 21, 2021, by and among Brady Corporation, a Wisconsin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other Loan Parties party hereto, the undersigned Lenders (as defined below) and BMO Harris Bank N.A., a national banking association, as administrative agent (in such capacity,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Capitalized terms used and not otherwise defined herein have the definitions provided therefor in the Amended Credit Agreement referenced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the other Loan Parties party thereto, the financial institutions from time to time party thereto as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are party to that certain Credit Agreement, dated as of August 1, 2019 (as amended, restated, supplemented or otherwise modified from time to time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 and</w:t>
      </w:r>
    </w:p>
    <w:p>
      <w:pPr>
        <w:spacing w:after="0" w:line="18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requested that the Administrative Agent and the Lenders party hereto make certain amendments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and the Administrative Agent and the Lenders party hereto are willing to do so on the terms and conditions set forth herein.</w:t>
      </w:r>
    </w:p>
    <w:p>
      <w:pPr>
        <w:spacing w:after="0" w:line="17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provisions and covenants contained herein,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sufficiency of which are hereby acknowledged, and subject to the conditions set forth herein, the parties hereto agree as follows:</w:t>
      </w:r>
    </w:p>
    <w:p>
      <w:pPr>
        <w:spacing w:after="0" w:line="148" w:lineRule="exact"/>
        <w:rPr>
          <w:sz w:val="20"/>
          <w:szCs w:val="20"/>
          <w:color w:val="auto"/>
        </w:rPr>
      </w:pPr>
    </w:p>
    <w:p>
      <w:pPr>
        <w:jc w:val="both"/>
        <w:ind w:firstLine="656"/>
        <w:spacing w:after="0" w:line="263" w:lineRule="auto"/>
        <w:tabs>
          <w:tab w:leader="none" w:pos="1296"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Amendments to the Credit Agreement</w:t>
      </w:r>
      <w:r>
        <w:rPr>
          <w:rFonts w:ascii="Arial" w:cs="Arial" w:eastAsia="Arial" w:hAnsi="Arial"/>
          <w:sz w:val="19"/>
          <w:szCs w:val="19"/>
          <w:color w:val="auto"/>
        </w:rPr>
        <w:t xml:space="preserve">. Subject to the satisfaction of the conditions precedent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 the Credit Agreement is hereby amended to delete the stricken text (indicated textually in the same manner as the following example: </w:t>
      </w:r>
      <w:r>
        <w:rPr>
          <w:rFonts w:ascii="Arial" w:cs="Arial" w:eastAsia="Arial" w:hAnsi="Arial"/>
          <w:sz w:val="19"/>
          <w:szCs w:val="19"/>
          <w:color w:val="FF0000"/>
          <w:strike w:val="1"/>
        </w:rPr>
        <w:t>stricken</w:t>
      </w:r>
      <w:r>
        <w:rPr>
          <w:rFonts w:ascii="Arial" w:cs="Arial" w:eastAsia="Arial" w:hAnsi="Arial"/>
          <w:sz w:val="19"/>
          <w:szCs w:val="19"/>
          <w:color w:val="auto"/>
        </w:rPr>
        <w:t xml:space="preserve"> </w:t>
      </w:r>
      <w:r>
        <w:rPr>
          <w:rFonts w:ascii="Arial" w:cs="Arial" w:eastAsia="Arial" w:hAnsi="Arial"/>
          <w:sz w:val="19"/>
          <w:szCs w:val="19"/>
          <w:color w:val="FF0000"/>
          <w:strike w:val="1"/>
        </w:rPr>
        <w:t>text</w:t>
      </w:r>
      <w:r>
        <w:rPr>
          <w:rFonts w:ascii="Arial" w:cs="Arial" w:eastAsia="Arial" w:hAnsi="Arial"/>
          <w:sz w:val="19"/>
          <w:szCs w:val="19"/>
          <w:color w:val="000000"/>
        </w:rPr>
        <w:t>) and to add the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double-underlined text</w:t>
      </w:r>
      <w:r>
        <w:rPr>
          <w:rFonts w:ascii="Arial" w:cs="Arial" w:eastAsia="Arial" w:hAnsi="Arial"/>
          <w:sz w:val="19"/>
          <w:szCs w:val="19"/>
          <w:color w:val="000000"/>
        </w:rPr>
        <w:t>) as set</w:t>
      </w:r>
      <w:r>
        <w:rPr>
          <w:rFonts w:ascii="Arial" w:cs="Arial" w:eastAsia="Arial" w:hAnsi="Arial"/>
          <w:sz w:val="19"/>
          <w:szCs w:val="19"/>
          <w:color w:val="FF0000"/>
        </w:rPr>
        <w:t xml:space="preserve"> </w:t>
      </w:r>
      <w:r>
        <w:rPr>
          <w:rFonts w:ascii="Arial" w:cs="Arial" w:eastAsia="Arial" w:hAnsi="Arial"/>
          <w:sz w:val="19"/>
          <w:szCs w:val="19"/>
          <w:color w:val="000000"/>
        </w:rPr>
        <w:t xml:space="preserve">forth in the changed pages to the conformed Credit Agreement attached as </w:t>
      </w:r>
      <w:r>
        <w:rPr>
          <w:rFonts w:ascii="Arial" w:cs="Arial" w:eastAsia="Arial" w:hAnsi="Arial"/>
          <w:sz w:val="19"/>
          <w:szCs w:val="19"/>
          <w:u w:val="single" w:color="auto"/>
          <w:color w:val="000000"/>
        </w:rPr>
        <w:t>Annex I</w:t>
      </w:r>
      <w:r>
        <w:rPr>
          <w:rFonts w:ascii="Arial" w:cs="Arial" w:eastAsia="Arial" w:hAnsi="Arial"/>
          <w:sz w:val="19"/>
          <w:szCs w:val="19"/>
          <w:color w:val="000000"/>
        </w:rPr>
        <w:t xml:space="preserve"> hereto.</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is subject to the conditions precedent that:</w:t>
      </w:r>
    </w:p>
    <w:p>
      <w:pPr>
        <w:spacing w:after="0" w:line="215" w:lineRule="exact"/>
        <w:rPr>
          <w:rFonts w:ascii="Arial" w:cs="Arial" w:eastAsia="Arial" w:hAnsi="Arial"/>
          <w:sz w:val="20"/>
          <w:szCs w:val="20"/>
          <w:color w:val="auto"/>
        </w:rPr>
      </w:pPr>
    </w:p>
    <w:p>
      <w:pPr>
        <w:ind w:left="660" w:firstLine="644"/>
        <w:spacing w:after="0" w:line="260" w:lineRule="auto"/>
        <w:tabs>
          <w:tab w:leader="none" w:pos="1946"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this Amendment, duly executed by the Loan Parties, the Administrative Agent and the Lenders;</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representations and warranties in this Amendment shall be true and correct in all material respects on and as of the date hereof (without duplication of any materiality standard set forth in any such representation or warranty), except to the extent such representations and warranties expressly relate to an earlier date, in which case such representations and warranties are true and correct in all material respects as of such date (without duplication of any materiality standard set forth in any such representation or warranty);</w:t>
      </w:r>
    </w:p>
    <w:p>
      <w:pPr>
        <w:spacing w:after="0" w:line="194" w:lineRule="exact"/>
        <w:rPr>
          <w:rFonts w:ascii="Arial" w:cs="Arial" w:eastAsia="Arial" w:hAnsi="Arial"/>
          <w:sz w:val="20"/>
          <w:szCs w:val="20"/>
          <w:color w:val="auto"/>
        </w:rPr>
      </w:pPr>
    </w:p>
    <w:p>
      <w:pPr>
        <w:ind w:left="660" w:firstLine="644"/>
        <w:spacing w:after="0" w:line="287" w:lineRule="auto"/>
        <w:tabs>
          <w:tab w:leader="none" w:pos="1946" w:val="left"/>
        </w:tabs>
        <w:numPr>
          <w:ilvl w:val="1"/>
          <w:numId w:val="2"/>
        </w:numPr>
        <w:rPr>
          <w:rFonts w:ascii="Arial" w:cs="Arial" w:eastAsia="Arial" w:hAnsi="Arial"/>
          <w:sz w:val="19"/>
          <w:szCs w:val="19"/>
          <w:color w:val="auto"/>
        </w:rPr>
      </w:pPr>
      <w:r>
        <w:rPr>
          <w:rFonts w:ascii="Arial" w:cs="Arial" w:eastAsia="Arial" w:hAnsi="Arial"/>
          <w:sz w:val="19"/>
          <w:szCs w:val="19"/>
          <w:color w:val="auto"/>
        </w:rPr>
        <w:t>as of the date hereof, no event shall have occurred and be continuing or would result from the consummation of the transactions contemplated by this Amendment that would constitute a Default or an Event of Default; and</w:t>
      </w:r>
    </w:p>
    <w:p>
      <w:pPr>
        <w:sectPr>
          <w:pgSz w:w="11900" w:h="16838" w:orient="portrait"/>
          <w:cols w:equalWidth="0" w:num="1">
            <w:col w:w="11240"/>
          </w:cols>
          <w:pgMar w:left="320" w:top="1413" w:right="339" w:bottom="1440" w:gutter="0" w:footer="0" w:header="0"/>
        </w:sectPr>
      </w:pPr>
    </w:p>
    <w:bookmarkStart w:id="3" w:name="page4"/>
    <w:bookmarkEnd w:id="3"/>
    <w:p>
      <w:pPr>
        <w:spacing w:after="0" w:line="195" w:lineRule="exact"/>
        <w:rPr>
          <w:sz w:val="20"/>
          <w:szCs w:val="20"/>
          <w:color w:val="auto"/>
        </w:rPr>
      </w:pPr>
    </w:p>
    <w:p>
      <w:pPr>
        <w:ind w:left="4" w:firstLine="644"/>
        <w:spacing w:after="0" w:line="260"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other information, documents, instruments or approvals as the Administrative Agent or the Lenders may reasonably request.</w:t>
      </w:r>
    </w:p>
    <w:p>
      <w:pPr>
        <w:spacing w:after="0" w:line="176" w:lineRule="exact"/>
        <w:rPr>
          <w:rFonts w:ascii="Arial" w:cs="Arial" w:eastAsia="Arial" w:hAnsi="Arial"/>
          <w:sz w:val="20"/>
          <w:szCs w:val="20"/>
          <w:color w:val="auto"/>
        </w:rPr>
      </w:pPr>
    </w:p>
    <w:p>
      <w:pPr>
        <w:ind w:left="-656" w:firstLine="656"/>
        <w:spacing w:after="0" w:line="260"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Administrative Agent and the Lenders to enter into this Amendment, each Loan Party hereby represents and warrants to the Administrative Agent and the Lenders that:</w:t>
      </w:r>
    </w:p>
    <w:p>
      <w:pPr>
        <w:spacing w:after="0" w:line="176" w:lineRule="exact"/>
        <w:rPr>
          <w:rFonts w:ascii="Arial" w:cs="Arial" w:eastAsia="Arial" w:hAnsi="Arial"/>
          <w:sz w:val="20"/>
          <w:szCs w:val="20"/>
          <w:color w:val="auto"/>
        </w:rPr>
      </w:pPr>
    </w:p>
    <w:p>
      <w:pPr>
        <w:ind w:left="1284" w:hanging="636"/>
        <w:spacing w:after="0"/>
        <w:tabs>
          <w:tab w:leader="none" w:pos="1284" w:val="left"/>
        </w:tabs>
        <w:numPr>
          <w:ilvl w:val="1"/>
          <w:numId w:val="4"/>
        </w:numPr>
        <w:rPr>
          <w:rFonts w:ascii="Arial" w:cs="Arial" w:eastAsia="Arial" w:hAnsi="Arial"/>
          <w:sz w:val="16"/>
          <w:szCs w:val="16"/>
          <w:color w:val="auto"/>
        </w:rPr>
      </w:pPr>
      <w:r>
        <w:rPr>
          <w:rFonts w:ascii="Arial" w:cs="Arial" w:eastAsia="Arial" w:hAnsi="Arial"/>
          <w:sz w:val="16"/>
          <w:szCs w:val="16"/>
          <w:color w:val="auto"/>
        </w:rPr>
        <w:t>Such Loan Party has taken all necessary corporate action to authorize the execution, delivery and performance of this</w:t>
      </w:r>
    </w:p>
    <w:p>
      <w:pPr>
        <w:spacing w:after="0" w:line="6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0"/>
          <w:szCs w:val="20"/>
          <w:color w:val="auto"/>
        </w:rPr>
        <w:t>Amendment.</w:t>
      </w:r>
    </w:p>
    <w:p>
      <w:pPr>
        <w:spacing w:after="0" w:line="199" w:lineRule="exact"/>
        <w:rPr>
          <w:rFonts w:ascii="Arial" w:cs="Arial" w:eastAsia="Arial" w:hAnsi="Arial"/>
          <w:sz w:val="16"/>
          <w:szCs w:val="16"/>
          <w:color w:val="auto"/>
        </w:rPr>
      </w:pPr>
    </w:p>
    <w:p>
      <w:pPr>
        <w:jc w:val="both"/>
        <w:ind w:left="4" w:firstLine="644"/>
        <w:spacing w:after="0" w:line="244"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such Loan Party and the Amended Credit Agreement constitutes such Loan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94" w:lineRule="exact"/>
        <w:rPr>
          <w:rFonts w:ascii="Arial" w:cs="Arial" w:eastAsia="Arial" w:hAnsi="Arial"/>
          <w:sz w:val="20"/>
          <w:szCs w:val="20"/>
          <w:color w:val="auto"/>
        </w:rPr>
      </w:pPr>
    </w:p>
    <w:p>
      <w:pPr>
        <w:jc w:val="both"/>
        <w:ind w:left="4" w:firstLine="644"/>
        <w:spacing w:after="0" w:line="250" w:lineRule="auto"/>
        <w:tabs>
          <w:tab w:leader="none" w:pos="1290" w:val="left"/>
        </w:tabs>
        <w:numPr>
          <w:ilvl w:val="1"/>
          <w:numId w:val="4"/>
        </w:numPr>
        <w:rPr>
          <w:rFonts w:ascii="Arial" w:cs="Arial" w:eastAsia="Arial" w:hAnsi="Arial"/>
          <w:sz w:val="20"/>
          <w:szCs w:val="20"/>
          <w:color w:val="auto"/>
        </w:rPr>
      </w:pPr>
      <w:r>
        <w:rPr>
          <w:rFonts w:ascii="Arial" w:cs="Arial" w:eastAsia="Arial" w:hAnsi="Arial"/>
          <w:sz w:val="20"/>
          <w:szCs w:val="20"/>
          <w:color w:val="auto"/>
        </w:rPr>
        <w:t>In connection with the execution, delivery or performance by such Loan Party of this Amendment, each Loan Party has received all necessary governmental and other third-party approvals (if any shall be required) the failure of which to obtain could reasonably be expected to have a Material Adverse Effect.</w:t>
      </w:r>
    </w:p>
    <w:p>
      <w:pPr>
        <w:spacing w:after="0" w:line="185" w:lineRule="exact"/>
        <w:rPr>
          <w:rFonts w:ascii="Arial" w:cs="Arial" w:eastAsia="Arial" w:hAnsi="Arial"/>
          <w:sz w:val="20"/>
          <w:szCs w:val="20"/>
          <w:color w:val="auto"/>
        </w:rPr>
      </w:pPr>
    </w:p>
    <w:p>
      <w:pPr>
        <w:jc w:val="both"/>
        <w:ind w:left="4" w:firstLine="644"/>
        <w:spacing w:after="0" w:line="243"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As of the date hereof and immediately after giving effect to the terms of this Amendment, (i) no Default or Event of Default has occurred and is continuing and (ii) the representations and warranties (excluding the representation and warranty contained in Section 6.05 of the Credit Agreement) of the Loan Parties set forth in the Credit Agreement are true and correct in all material respects (without duplication of any materiality standard set forth in any such representation or warranty), except to the extent such representations and warranties expressly relate to an earlier date, in which case such representations and warranties are true and correct in all material respects as of such date (without duplication of any materiality standard set forth in any such representation or warranty).</w:t>
      </w:r>
    </w:p>
    <w:p>
      <w:pPr>
        <w:spacing w:after="0" w:line="192" w:lineRule="exact"/>
        <w:rPr>
          <w:rFonts w:ascii="Arial" w:cs="Arial" w:eastAsia="Arial" w:hAnsi="Arial"/>
          <w:sz w:val="20"/>
          <w:szCs w:val="20"/>
          <w:color w:val="auto"/>
        </w:rPr>
      </w:pPr>
    </w:p>
    <w:p>
      <w:pPr>
        <w:ind w:left="644" w:hanging="644"/>
        <w:spacing w:after="0"/>
        <w:tabs>
          <w:tab w:leader="none" w:pos="644"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44" w:lineRule="auto"/>
        <w:tabs>
          <w:tab w:leader="none" w:pos="1290" w:val="left"/>
        </w:tabs>
        <w:numPr>
          <w:ilvl w:val="1"/>
          <w:numId w:val="4"/>
        </w:numPr>
        <w:rPr>
          <w:rFonts w:ascii="Arial" w:cs="Arial" w:eastAsia="Arial" w:hAnsi="Arial"/>
          <w:sz w:val="20"/>
          <w:szCs w:val="20"/>
          <w:color w:val="auto"/>
        </w:rPr>
      </w:pPr>
      <w:r>
        <w:rPr>
          <w:rFonts w:ascii="Arial" w:cs="Arial" w:eastAsia="Arial" w:hAnsi="Arial"/>
          <w:sz w:val="20"/>
          <w:szCs w:val="20"/>
          <w:color w:val="auto"/>
        </w:rPr>
        <w:t>Upon the effectiveness hereof, each reference in the Amended Credit Agreement to “this Agreement,” “hereunder,” “hereof,” “herein,” or words of like import, and each reference in any other Loan Document to the Credit Agreement (including, without limitation, by means of words like “thereunder,” “thereof,” and words of like import), shall mean and be a reference to the Amended Credit Agreement and this Amendment and the Credit Agreement shall be read together and construed as a single instrument referred to herein as the Amended Credit Agreement.</w:t>
      </w:r>
    </w:p>
    <w:p>
      <w:pPr>
        <w:spacing w:after="0" w:line="194" w:lineRule="exact"/>
        <w:rPr>
          <w:rFonts w:ascii="Arial" w:cs="Arial" w:eastAsia="Arial" w:hAnsi="Arial"/>
          <w:sz w:val="20"/>
          <w:szCs w:val="20"/>
          <w:color w:val="auto"/>
        </w:rPr>
      </w:pPr>
    </w:p>
    <w:p>
      <w:pPr>
        <w:jc w:val="both"/>
        <w:ind w:left="4" w:right="20" w:firstLine="644"/>
        <w:spacing w:after="0" w:line="250"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Except as expressly amended hereby, the Credit Agreement and all other documents, instruments and agreements executed and/or delivered in connection therewith shall remain in full force and effect and are hereby reaffirmed, ratified and confirmed.</w:t>
      </w:r>
    </w:p>
    <w:p>
      <w:pPr>
        <w:spacing w:after="0" w:line="185" w:lineRule="exact"/>
        <w:rPr>
          <w:rFonts w:ascii="Arial" w:cs="Arial" w:eastAsia="Arial" w:hAnsi="Arial"/>
          <w:sz w:val="20"/>
          <w:szCs w:val="20"/>
          <w:color w:val="auto"/>
        </w:rPr>
      </w:pPr>
    </w:p>
    <w:p>
      <w:pPr>
        <w:jc w:val="both"/>
        <w:ind w:left="4" w:firstLine="644"/>
        <w:spacing w:after="0" w:line="250" w:lineRule="auto"/>
        <w:tabs>
          <w:tab w:leader="none" w:pos="1290" w:val="left"/>
        </w:tabs>
        <w:numPr>
          <w:ilvl w:val="1"/>
          <w:numId w:val="4"/>
        </w:numPr>
        <w:rPr>
          <w:rFonts w:ascii="Arial" w:cs="Arial" w:eastAsia="Arial" w:hAnsi="Arial"/>
          <w:sz w:val="20"/>
          <w:szCs w:val="20"/>
          <w:color w:val="auto"/>
        </w:rPr>
      </w:pPr>
      <w:r>
        <w:rPr>
          <w:rFonts w:ascii="Arial" w:cs="Arial" w:eastAsia="Arial" w:hAnsi="Arial"/>
          <w:sz w:val="20"/>
          <w:szCs w:val="20"/>
          <w:color w:val="auto"/>
        </w:rPr>
        <w:t>Except with respect to the subject matter hereof, the execution, delivery and effectiveness of this Amendment shall not operate as a waiver of any right, power or remedy of the Administrative Agent or the Lenders, nor constitute a waiver of any provision of the Credit</w:t>
      </w:r>
    </w:p>
    <w:p>
      <w:pPr>
        <w:sectPr>
          <w:pgSz w:w="11900" w:h="16838" w:orient="portrait"/>
          <w:cols w:equalWidth="0" w:num="1">
            <w:col w:w="10584"/>
          </w:cols>
          <w:pgMar w:left="976" w:top="1440" w:right="339" w:bottom="1440" w:gutter="0" w:footer="0" w:header="0"/>
        </w:sectPr>
      </w:pPr>
    </w:p>
    <w:bookmarkStart w:id="4" w:name="page5"/>
    <w:bookmarkEnd w:id="4"/>
    <w:p>
      <w:pPr>
        <w:spacing w:after="0" w:line="195" w:lineRule="exact"/>
        <w:rPr>
          <w:sz w:val="20"/>
          <w:szCs w:val="20"/>
          <w:color w:val="auto"/>
        </w:rPr>
      </w:pPr>
    </w:p>
    <w:p>
      <w:pPr>
        <w:ind w:left="4"/>
        <w:spacing w:after="0"/>
        <w:rPr>
          <w:sz w:val="20"/>
          <w:szCs w:val="20"/>
          <w:color w:val="auto"/>
        </w:rPr>
      </w:pPr>
      <w:r>
        <w:rPr>
          <w:rFonts w:ascii="Arial" w:cs="Arial" w:eastAsia="Arial" w:hAnsi="Arial"/>
          <w:sz w:val="20"/>
          <w:szCs w:val="20"/>
          <w:color w:val="auto"/>
        </w:rPr>
        <w:t>Agreement or any other documents, instruments and agreements executed and/or delivered in connection therewith.</w:t>
      </w:r>
    </w:p>
    <w:p>
      <w:pPr>
        <w:spacing w:after="0" w:line="216" w:lineRule="exact"/>
        <w:rPr>
          <w:sz w:val="20"/>
          <w:szCs w:val="20"/>
          <w:color w:val="auto"/>
        </w:rPr>
      </w:pPr>
    </w:p>
    <w:p>
      <w:pPr>
        <w:ind w:left="1284" w:hanging="636"/>
        <w:spacing w:after="0"/>
        <w:tabs>
          <w:tab w:leader="none" w:pos="1284" w:val="left"/>
        </w:tabs>
        <w:numPr>
          <w:ilvl w:val="1"/>
          <w:numId w:val="5"/>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84" w:hanging="636"/>
        <w:spacing w:after="0"/>
        <w:tabs>
          <w:tab w:leader="none" w:pos="128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Illinois.</w:t>
      </w:r>
    </w:p>
    <w:p>
      <w:pPr>
        <w:spacing w:after="0" w:line="199" w:lineRule="exact"/>
        <w:rPr>
          <w:rFonts w:ascii="Arial" w:cs="Arial" w:eastAsia="Arial" w:hAnsi="Arial"/>
          <w:sz w:val="18"/>
          <w:szCs w:val="18"/>
          <w:color w:val="auto"/>
        </w:rPr>
      </w:pPr>
    </w:p>
    <w:p>
      <w:pPr>
        <w:jc w:val="both"/>
        <w:ind w:left="4" w:firstLine="644"/>
        <w:spacing w:after="0" w:line="250" w:lineRule="auto"/>
        <w:tabs>
          <w:tab w:leader="none" w:pos="1288"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 Waiver of Venue; Service of Process; Waiver of Jury Trial</w:t>
      </w:r>
      <w:r>
        <w:rPr>
          <w:rFonts w:ascii="Arial" w:cs="Arial" w:eastAsia="Arial" w:hAnsi="Arial"/>
          <w:sz w:val="20"/>
          <w:szCs w:val="20"/>
          <w:color w:val="auto"/>
        </w:rPr>
        <w:t xml:space="preserve">. The submission to jurisdiction, waiver of venue, service of process and waiver of jury trial provisions set forth in </w:t>
      </w:r>
      <w:r>
        <w:rPr>
          <w:rFonts w:ascii="Arial" w:cs="Arial" w:eastAsia="Arial" w:hAnsi="Arial"/>
          <w:sz w:val="20"/>
          <w:szCs w:val="20"/>
          <w:u w:val="single" w:color="auto"/>
          <w:color w:val="auto"/>
        </w:rPr>
        <w:t>Sections 11.15(b)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11.16</w:t>
      </w:r>
      <w:r>
        <w:rPr>
          <w:rFonts w:ascii="Arial" w:cs="Arial" w:eastAsia="Arial" w:hAnsi="Arial"/>
          <w:sz w:val="20"/>
          <w:szCs w:val="20"/>
          <w:color w:val="auto"/>
        </w:rPr>
        <w:t xml:space="preserve"> of the Credit Agreement are hereby incorporated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4" w:firstLine="644"/>
        <w:spacing w:after="0" w:line="260" w:lineRule="auto"/>
        <w:tabs>
          <w:tab w:leader="none" w:pos="1290"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several Sections and subsections of this Amendment are inserted for convenience only and shall not in any way affect the meaning or construction of any provision of this Amendment.</w:t>
      </w:r>
    </w:p>
    <w:p>
      <w:pPr>
        <w:spacing w:after="0" w:line="176" w:lineRule="exact"/>
        <w:rPr>
          <w:rFonts w:ascii="Arial" w:cs="Arial" w:eastAsia="Arial" w:hAnsi="Arial"/>
          <w:sz w:val="20"/>
          <w:szCs w:val="20"/>
          <w:color w:val="auto"/>
        </w:rPr>
      </w:pPr>
    </w:p>
    <w:p>
      <w:pPr>
        <w:jc w:val="both"/>
        <w:ind w:left="4" w:firstLine="644"/>
        <w:spacing w:after="0" w:line="269" w:lineRule="auto"/>
        <w:tabs>
          <w:tab w:leader="none" w:pos="1288"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Amendment which is prohibited or unenforceable in any jurisdiction shall, as to such jurisdiction, be ineffective to the extent of such prohibition or unenforceability without invalidating the remaining provisions of this Amendment or affecting the validity or enforceability of such provision in any other jurisdiction.</w:t>
      </w:r>
    </w:p>
    <w:p>
      <w:pPr>
        <w:spacing w:after="0" w:line="169" w:lineRule="exact"/>
        <w:rPr>
          <w:rFonts w:ascii="Arial" w:cs="Arial" w:eastAsia="Arial" w:hAnsi="Arial"/>
          <w:sz w:val="19"/>
          <w:szCs w:val="19"/>
          <w:color w:val="auto"/>
        </w:rPr>
      </w:pPr>
    </w:p>
    <w:p>
      <w:pPr>
        <w:jc w:val="both"/>
        <w:ind w:left="4" w:firstLine="644"/>
        <w:spacing w:after="0" w:line="244" w:lineRule="auto"/>
        <w:tabs>
          <w:tab w:leader="none" w:pos="1290"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64"/>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0584"/>
          </w:cols>
          <w:pgMar w:left="976" w:top="1440" w:right="339" w:bottom="1440" w:gutter="0" w:footer="0" w:header="0"/>
        </w:sectPr>
      </w:pPr>
    </w:p>
    <w:bookmarkStart w:id="5" w:name="page6"/>
    <w:bookmarkEnd w:id="5"/>
    <w:p>
      <w:pPr>
        <w:ind w:firstLine="1296"/>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BORROWERS:</w:t>
            </w: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BRADY CORPORATION,</w:t>
            </w:r>
          </w:p>
        </w:tc>
      </w:tr>
      <w:tr>
        <w:trPr>
          <w:trHeight w:val="270"/>
        </w:trPr>
        <w:tc>
          <w:tcPr>
            <w:tcW w:w="3060" w:type="dxa"/>
            <w:vAlign w:val="bottom"/>
          </w:tcPr>
          <w:p>
            <w:pPr>
              <w:spacing w:after="0"/>
              <w:rPr>
                <w:sz w:val="23"/>
                <w:szCs w:val="23"/>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a Wisconsin corporation</w:t>
            </w:r>
          </w:p>
        </w:tc>
      </w:tr>
      <w:tr>
        <w:trPr>
          <w:trHeight w:val="482"/>
        </w:trPr>
        <w:tc>
          <w:tcPr>
            <w:tcW w:w="3060" w:type="dxa"/>
            <w:vAlign w:val="bottom"/>
          </w:tcPr>
          <w:p>
            <w:pPr>
              <w:spacing w:after="0"/>
              <w:rPr>
                <w:sz w:val="24"/>
                <w:szCs w:val="24"/>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3060" w:type="dxa"/>
            <w:vAlign w:val="bottom"/>
          </w:tcPr>
          <w:p>
            <w:pPr>
              <w:spacing w:after="0"/>
              <w:rPr>
                <w:sz w:val="22"/>
                <w:szCs w:val="22"/>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Name: Aaron J. Pearce</w:t>
            </w:r>
          </w:p>
        </w:tc>
      </w:tr>
      <w:tr>
        <w:trPr>
          <w:trHeight w:val="250"/>
        </w:trPr>
        <w:tc>
          <w:tcPr>
            <w:tcW w:w="3060" w:type="dxa"/>
            <w:vAlign w:val="bottom"/>
          </w:tcPr>
          <w:p>
            <w:pPr>
              <w:spacing w:after="0"/>
              <w:rPr>
                <w:sz w:val="21"/>
                <w:szCs w:val="21"/>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Title: Chief Financial Officer</w:t>
            </w:r>
          </w:p>
        </w:tc>
      </w:tr>
      <w:tr>
        <w:trPr>
          <w:trHeight w:val="783"/>
        </w:trPr>
        <w:tc>
          <w:tcPr>
            <w:tcW w:w="3060" w:type="dxa"/>
            <w:vAlign w:val="bottom"/>
          </w:tcPr>
          <w:p>
            <w:pPr>
              <w:spacing w:after="0"/>
              <w:rPr>
                <w:sz w:val="24"/>
                <w:szCs w:val="24"/>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w w:val="96"/>
              </w:rPr>
              <w:t>BRADY WORLDWIDE, INC.,</w:t>
            </w:r>
          </w:p>
        </w:tc>
      </w:tr>
      <w:tr>
        <w:trPr>
          <w:trHeight w:val="256"/>
        </w:trPr>
        <w:tc>
          <w:tcPr>
            <w:tcW w:w="3060" w:type="dxa"/>
            <w:vAlign w:val="bottom"/>
          </w:tcPr>
          <w:p>
            <w:pPr>
              <w:spacing w:after="0"/>
              <w:rPr>
                <w:sz w:val="22"/>
                <w:szCs w:val="22"/>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a Wisconsin corporation</w:t>
            </w:r>
          </w:p>
        </w:tc>
      </w:tr>
      <w:tr>
        <w:trPr>
          <w:trHeight w:val="482"/>
        </w:trPr>
        <w:tc>
          <w:tcPr>
            <w:tcW w:w="3060" w:type="dxa"/>
            <w:vAlign w:val="bottom"/>
          </w:tcPr>
          <w:p>
            <w:pPr>
              <w:spacing w:after="0"/>
              <w:rPr>
                <w:sz w:val="24"/>
                <w:szCs w:val="24"/>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3060" w:type="dxa"/>
            <w:vAlign w:val="bottom"/>
          </w:tcPr>
          <w:p>
            <w:pPr>
              <w:spacing w:after="0"/>
              <w:rPr>
                <w:sz w:val="22"/>
                <w:szCs w:val="22"/>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Name: Aaron J. Pearce</w:t>
            </w:r>
          </w:p>
        </w:tc>
      </w:tr>
      <w:tr>
        <w:trPr>
          <w:trHeight w:val="250"/>
        </w:trPr>
        <w:tc>
          <w:tcPr>
            <w:tcW w:w="3060" w:type="dxa"/>
            <w:vAlign w:val="bottom"/>
          </w:tcPr>
          <w:p>
            <w:pPr>
              <w:spacing w:after="0"/>
              <w:rPr>
                <w:sz w:val="21"/>
                <w:szCs w:val="21"/>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Title: Vice President</w:t>
            </w:r>
          </w:p>
        </w:tc>
      </w:tr>
      <w:tr>
        <w:trPr>
          <w:trHeight w:val="783"/>
        </w:trPr>
        <w:tc>
          <w:tcPr>
            <w:tcW w:w="3060" w:type="dxa"/>
            <w:vAlign w:val="bottom"/>
          </w:tcPr>
          <w:p>
            <w:pPr>
              <w:spacing w:after="0"/>
              <w:rPr>
                <w:sz w:val="24"/>
                <w:szCs w:val="24"/>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TRICOR DIRECT, INC.,</w:t>
            </w:r>
          </w:p>
        </w:tc>
      </w:tr>
      <w:tr>
        <w:trPr>
          <w:trHeight w:val="256"/>
        </w:trPr>
        <w:tc>
          <w:tcPr>
            <w:tcW w:w="3060" w:type="dxa"/>
            <w:vAlign w:val="bottom"/>
          </w:tcPr>
          <w:p>
            <w:pPr>
              <w:spacing w:after="0"/>
              <w:rPr>
                <w:sz w:val="22"/>
                <w:szCs w:val="22"/>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a Delaware corporation</w:t>
            </w:r>
          </w:p>
        </w:tc>
      </w:tr>
      <w:tr>
        <w:trPr>
          <w:trHeight w:val="482"/>
        </w:trPr>
        <w:tc>
          <w:tcPr>
            <w:tcW w:w="3060" w:type="dxa"/>
            <w:vAlign w:val="bottom"/>
          </w:tcPr>
          <w:p>
            <w:pPr>
              <w:spacing w:after="0"/>
              <w:rPr>
                <w:sz w:val="24"/>
                <w:szCs w:val="24"/>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By: /s/ AARON J. PEARCE</w:t>
            </w:r>
          </w:p>
        </w:tc>
      </w:tr>
      <w:tr>
        <w:trPr>
          <w:trHeight w:val="20"/>
        </w:trPr>
        <w:tc>
          <w:tcPr>
            <w:tcW w:w="3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3060" w:type="dxa"/>
            <w:vAlign w:val="bottom"/>
          </w:tcPr>
          <w:p>
            <w:pPr>
              <w:spacing w:after="0"/>
              <w:rPr>
                <w:sz w:val="22"/>
                <w:szCs w:val="22"/>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Name: Aaron J. Pearce</w:t>
            </w:r>
          </w:p>
        </w:tc>
      </w:tr>
      <w:tr>
        <w:trPr>
          <w:trHeight w:val="250"/>
        </w:trPr>
        <w:tc>
          <w:tcPr>
            <w:tcW w:w="3060" w:type="dxa"/>
            <w:vAlign w:val="bottom"/>
          </w:tcPr>
          <w:p>
            <w:pPr>
              <w:spacing w:after="0"/>
              <w:rPr>
                <w:sz w:val="21"/>
                <w:szCs w:val="21"/>
                <w:color w:val="auto"/>
              </w:rPr>
            </w:pPr>
          </w:p>
        </w:tc>
        <w:tc>
          <w:tcPr>
            <w:tcW w:w="4280" w:type="dxa"/>
            <w:vAlign w:val="bottom"/>
            <w:gridSpan w:val="3"/>
          </w:tcPr>
          <w:p>
            <w:pPr>
              <w:ind w:left="17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240"/>
          </w:cols>
          <w:pgMar w:left="320" w:top="1419" w:right="339" w:bottom="1440" w:gutter="0" w:footer="0" w:header="0"/>
        </w:sectPr>
      </w:pPr>
    </w:p>
    <w:bookmarkStart w:id="6" w:name="page7"/>
    <w:bookmarkEnd w:id="6"/>
    <w:p>
      <w:pPr>
        <w:spacing w:after="0" w:line="3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BRADY FINANCE LUXEMBOURG,</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Luxembourg private limited liability company</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Aaron J. Pearce</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BRADY S.à r.l.,</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Luxembourg private limited liability company</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ARIANNE VERSTRAETEN</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Arianne Verstraeten</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Manager</w:t>
      </w:r>
    </w:p>
    <w:p>
      <w:pPr>
        <w:spacing w:after="0" w:line="297"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Aaron J. Pearce</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Credit Agreement]</w:t>
      </w:r>
    </w:p>
    <w:p>
      <w:pPr>
        <w:sectPr>
          <w:pgSz w:w="11900" w:h="16838" w:orient="portrait"/>
          <w:cols w:equalWidth="0" w:num="1">
            <w:col w:w="9019"/>
          </w:cols>
          <w:pgMar w:left="1440" w:top="1440" w:right="1440" w:bottom="1440" w:gutter="0" w:footer="0" w:header="0"/>
        </w:sectPr>
      </w:pPr>
    </w:p>
    <w:bookmarkStart w:id="7" w:name="page8"/>
    <w:bookmarkEnd w:id="7"/>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20" w:type="dxa"/>
            <w:vAlign w:val="bottom"/>
          </w:tcPr>
          <w:p>
            <w:pPr>
              <w:spacing w:after="0"/>
              <w:rPr>
                <w:sz w:val="20"/>
                <w:szCs w:val="20"/>
                <w:color w:val="auto"/>
              </w:rPr>
            </w:pPr>
            <w:r>
              <w:rPr>
                <w:rFonts w:ascii="Arial" w:cs="Arial" w:eastAsia="Arial" w:hAnsi="Arial"/>
                <w:sz w:val="20"/>
                <w:szCs w:val="20"/>
                <w:color w:val="auto"/>
              </w:rPr>
              <w:t>GUARANTORS:</w:t>
            </w: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BRADY INTERNATIONAL CO., a Wisconsin corporation</w:t>
            </w:r>
          </w:p>
        </w:tc>
      </w:tr>
      <w:tr>
        <w:trPr>
          <w:trHeight w:val="243"/>
        </w:trPr>
        <w:tc>
          <w:tcPr>
            <w:tcW w:w="3120" w:type="dxa"/>
            <w:vAlign w:val="bottom"/>
          </w:tcPr>
          <w:p>
            <w:pPr>
              <w:spacing w:after="0"/>
              <w:rPr>
                <w:sz w:val="21"/>
                <w:szCs w:val="21"/>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w w:val="93"/>
              </w:rPr>
              <w:t>WORLDMARK OF WISCONSIN INCORPORATED, a Delaware corporation</w:t>
            </w:r>
          </w:p>
        </w:tc>
      </w:tr>
      <w:tr>
        <w:trPr>
          <w:trHeight w:val="192"/>
        </w:trPr>
        <w:tc>
          <w:tcPr>
            <w:tcW w:w="3120" w:type="dxa"/>
            <w:vAlign w:val="bottom"/>
          </w:tcPr>
          <w:p>
            <w:pPr>
              <w:spacing w:after="0"/>
              <w:rPr>
                <w:sz w:val="16"/>
                <w:szCs w:val="16"/>
                <w:color w:val="auto"/>
              </w:rPr>
            </w:pPr>
          </w:p>
        </w:tc>
        <w:tc>
          <w:tcPr>
            <w:tcW w:w="7980" w:type="dxa"/>
            <w:vAlign w:val="bottom"/>
            <w:gridSpan w:val="3"/>
          </w:tcPr>
          <w:p>
            <w:pPr>
              <w:ind w:left="1700"/>
              <w:spacing w:after="0" w:line="192" w:lineRule="exact"/>
              <w:rPr>
                <w:sz w:val="20"/>
                <w:szCs w:val="20"/>
                <w:color w:val="auto"/>
              </w:rPr>
            </w:pPr>
            <w:r>
              <w:rPr>
                <w:rFonts w:ascii="Arial" w:cs="Arial" w:eastAsia="Arial" w:hAnsi="Arial"/>
                <w:sz w:val="20"/>
                <w:szCs w:val="20"/>
                <w:color w:val="auto"/>
              </w:rPr>
              <w:t>CLEMENT COMMUNICATIONS, INCORPORATED, a Pennsylvania</w:t>
            </w:r>
          </w:p>
        </w:tc>
      </w:tr>
      <w:tr>
        <w:trPr>
          <w:trHeight w:val="240"/>
        </w:trPr>
        <w:tc>
          <w:tcPr>
            <w:tcW w:w="3120" w:type="dxa"/>
            <w:vAlign w:val="bottom"/>
          </w:tcPr>
          <w:p>
            <w:pPr>
              <w:spacing w:after="0"/>
              <w:rPr>
                <w:sz w:val="20"/>
                <w:szCs w:val="20"/>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corporation</w:t>
            </w:r>
          </w:p>
        </w:tc>
      </w:tr>
      <w:tr>
        <w:trPr>
          <w:trHeight w:val="243"/>
        </w:trPr>
        <w:tc>
          <w:tcPr>
            <w:tcW w:w="3120" w:type="dxa"/>
            <w:vAlign w:val="bottom"/>
          </w:tcPr>
          <w:p>
            <w:pPr>
              <w:spacing w:after="0"/>
              <w:rPr>
                <w:sz w:val="21"/>
                <w:szCs w:val="21"/>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AIO ACQUISITION, INC., a Delaware corporation</w:t>
            </w:r>
          </w:p>
        </w:tc>
      </w:tr>
      <w:tr>
        <w:trPr>
          <w:trHeight w:val="250"/>
        </w:trPr>
        <w:tc>
          <w:tcPr>
            <w:tcW w:w="3120" w:type="dxa"/>
            <w:vAlign w:val="bottom"/>
          </w:tcPr>
          <w:p>
            <w:pPr>
              <w:spacing w:after="0"/>
              <w:rPr>
                <w:sz w:val="21"/>
                <w:szCs w:val="21"/>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PRECISION DYNAMICS CORPORATION, a California corporation</w:t>
            </w:r>
          </w:p>
        </w:tc>
      </w:tr>
      <w:tr>
        <w:trPr>
          <w:trHeight w:val="468"/>
        </w:trPr>
        <w:tc>
          <w:tcPr>
            <w:tcW w:w="3120" w:type="dxa"/>
            <w:vAlign w:val="bottom"/>
          </w:tcPr>
          <w:p>
            <w:pPr>
              <w:spacing w:after="0"/>
              <w:rPr>
                <w:sz w:val="24"/>
                <w:szCs w:val="24"/>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By: /s/ AARON J. PEARCE</w:t>
            </w:r>
          </w:p>
        </w:tc>
      </w:tr>
      <w:tr>
        <w:trPr>
          <w:trHeight w:val="20"/>
        </w:trPr>
        <w:tc>
          <w:tcPr>
            <w:tcW w:w="3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60"/>
        </w:trPr>
        <w:tc>
          <w:tcPr>
            <w:tcW w:w="3120" w:type="dxa"/>
            <w:vAlign w:val="bottom"/>
          </w:tcPr>
          <w:p>
            <w:pPr>
              <w:spacing w:after="0"/>
              <w:rPr>
                <w:sz w:val="22"/>
                <w:szCs w:val="22"/>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Name: Aaron J. Pearce</w:t>
            </w:r>
          </w:p>
        </w:tc>
      </w:tr>
      <w:tr>
        <w:trPr>
          <w:trHeight w:val="250"/>
        </w:trPr>
        <w:tc>
          <w:tcPr>
            <w:tcW w:w="3120" w:type="dxa"/>
            <w:vAlign w:val="bottom"/>
          </w:tcPr>
          <w:p>
            <w:pPr>
              <w:spacing w:after="0"/>
              <w:rPr>
                <w:sz w:val="21"/>
                <w:szCs w:val="21"/>
                <w:color w:val="auto"/>
              </w:rPr>
            </w:pPr>
          </w:p>
        </w:tc>
        <w:tc>
          <w:tcPr>
            <w:tcW w:w="7980" w:type="dxa"/>
            <w:vAlign w:val="bottom"/>
            <w:gridSpan w:val="3"/>
          </w:tcPr>
          <w:p>
            <w:pPr>
              <w:ind w:left="170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100"/>
          </w:cols>
          <w:pgMar w:left="340" w:top="1440" w:right="459" w:bottom="1440" w:gutter="0" w:footer="0" w:header="0"/>
        </w:sectPr>
      </w:pPr>
    </w:p>
    <w:bookmarkStart w:id="8" w:name="page9"/>
    <w:bookmarkEnd w:id="8"/>
    <w:p>
      <w:pPr>
        <w:spacing w:after="0" w:line="20" w:lineRule="exact"/>
        <w:rPr>
          <w:sz w:val="20"/>
          <w:szCs w:val="20"/>
          <w:color w:val="auto"/>
        </w:rPr>
      </w:pPr>
    </w:p>
    <w:p>
      <w:pPr>
        <w:ind w:left="3720"/>
        <w:spacing w:after="0" w:line="229" w:lineRule="auto"/>
        <w:rPr>
          <w:sz w:val="20"/>
          <w:szCs w:val="20"/>
          <w:color w:val="auto"/>
        </w:rPr>
      </w:pPr>
      <w:r>
        <w:rPr>
          <w:rFonts w:ascii="Arial" w:cs="Arial" w:eastAsia="Arial" w:hAnsi="Arial"/>
          <w:sz w:val="20"/>
          <w:szCs w:val="20"/>
          <w:color w:val="auto"/>
        </w:rPr>
        <w:t>BMO HARRIS BANK N.A., individually as a Lender and as Administrative Agent</w:t>
      </w:r>
    </w:p>
    <w:p>
      <w:pPr>
        <w:spacing w:after="0" w:line="26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DEBORAH ROESNER</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Deborah Roesner</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9780"/>
          </w:cols>
          <w:pgMar w:left="1440" w:top="1440" w:right="679" w:bottom="1440" w:gutter="0" w:footer="0" w:header="0"/>
        </w:sectPr>
      </w:pPr>
    </w:p>
    <w:bookmarkStart w:id="9" w:name="page10"/>
    <w:bookmarkEnd w:id="9"/>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BANK OF AMERICA, N.A., as a Lender</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K. KESSLER</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Steven K. Kessler</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Credit Agreement]</w:t>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WELLS FARGO BANK, NATIONAL ASSOCIATION, as a Lender</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J. VALCQ</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Robert J. Valcq</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First Amendment to Credit Agreement]</w:t>
      </w:r>
    </w:p>
    <w:p>
      <w:pPr>
        <w:sectPr>
          <w:pgSz w:w="11900" w:h="16838" w:orient="portrait"/>
          <w:cols w:equalWidth="0" w:num="1">
            <w:col w:w="9140"/>
          </w:cols>
          <w:pgMar w:left="1440" w:top="1440" w:right="1319" w:bottom="1440" w:gutter="0" w:footer="0" w:header="0"/>
        </w:sectPr>
      </w:pPr>
    </w:p>
    <w:bookmarkStart w:id="11" w:name="page12"/>
    <w:bookmarkEnd w:id="11"/>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PNC BANK, NATIONAL ASSOCIATION, as a Lender</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DEBRA HOFFNENKAMP</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Debra Hoffenkamp</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Credit Agreement]</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ASSOCIATED BANK, NATIONAL ASSOCIATION, as a Lender</w:t>
      </w:r>
    </w:p>
    <w:p>
      <w:pPr>
        <w:spacing w:after="0" w:line="32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KRUG</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 Kevin Krug</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Amendment to Credit Agreement]</w:t>
      </w:r>
    </w:p>
    <w:p>
      <w:pPr>
        <w:sectPr>
          <w:pgSz w:w="11900" w:h="16838" w:orient="portrait"/>
          <w:cols w:equalWidth="0" w:num="1">
            <w:col w:w="9019"/>
          </w:cols>
          <w:pgMar w:left="1440" w:top="1440" w:right="1440" w:bottom="1440" w:gutter="0" w:footer="0" w:header="0"/>
        </w:sectPr>
      </w:pPr>
    </w:p>
    <w:bookmarkStart w:id="13" w:name="page14"/>
    <w:bookmarkEnd w:id="13"/>
    <w:p>
      <w:pPr>
        <w:ind w:left="4180"/>
        <w:spacing w:after="0"/>
        <w:rPr>
          <w:sz w:val="20"/>
          <w:szCs w:val="20"/>
          <w:color w:val="auto"/>
        </w:rPr>
      </w:pPr>
      <w:r>
        <w:rPr>
          <w:rFonts w:ascii="Arial" w:cs="Arial" w:eastAsia="Arial" w:hAnsi="Arial"/>
          <w:sz w:val="20"/>
          <w:szCs w:val="20"/>
          <w:u w:val="single" w:color="auto"/>
          <w:color w:val="auto"/>
        </w:rPr>
        <w:t>Annex I</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u w:val="single" w:color="auto"/>
          <w:color w:val="0000FF"/>
        </w:rPr>
        <w:t>Confirmed through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August 1, 2019</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BRADY CORPORATION</w:t>
      </w:r>
      <w:r>
        <w:rPr>
          <w:rFonts w:ascii="Arial" w:cs="Arial" w:eastAsia="Arial" w:hAnsi="Arial"/>
          <w:sz w:val="20"/>
          <w:szCs w:val="20"/>
          <w:color w:val="auto"/>
        </w:rPr>
        <w:t>,</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and</w:t>
      </w:r>
    </w:p>
    <w:p>
      <w:pPr>
        <w:jc w:val="center"/>
        <w:ind w:right="1180"/>
        <w:spacing w:after="0"/>
        <w:rPr>
          <w:sz w:val="20"/>
          <w:szCs w:val="20"/>
          <w:color w:val="auto"/>
        </w:rPr>
      </w:pPr>
      <w:r>
        <w:rPr>
          <w:rFonts w:ascii="Arial" w:cs="Arial" w:eastAsia="Arial" w:hAnsi="Arial"/>
          <w:sz w:val="20"/>
          <w:szCs w:val="20"/>
          <w:b w:val="1"/>
          <w:bCs w:val="1"/>
          <w:color w:val="auto"/>
        </w:rPr>
        <w:t>CERTAIN SUBSIDIARIES OF BRADY CORPORATION IDENTIFIED HEREIN</w:t>
      </w:r>
      <w:r>
        <w:rPr>
          <w:rFonts w:ascii="Arial" w:cs="Arial" w:eastAsia="Arial" w:hAnsi="Arial"/>
          <w:sz w:val="20"/>
          <w:szCs w:val="20"/>
          <w:color w:val="auto"/>
        </w:rPr>
        <w:t>,</w:t>
      </w:r>
    </w:p>
    <w:p>
      <w:pPr>
        <w:jc w:val="center"/>
        <w:ind w:right="1120"/>
        <w:spacing w:after="0"/>
        <w:rPr>
          <w:sz w:val="20"/>
          <w:szCs w:val="20"/>
          <w:color w:val="auto"/>
        </w:rPr>
      </w:pPr>
      <w:r>
        <w:rPr>
          <w:rFonts w:ascii="Arial" w:cs="Arial" w:eastAsia="Arial" w:hAnsi="Arial"/>
          <w:sz w:val="20"/>
          <w:szCs w:val="20"/>
          <w:color w:val="auto"/>
        </w:rPr>
        <w:t>as Borrowers,</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CERTAIN SUBSIDIARIES OF THE BORROWERS IDENTIFIED HEREIN</w:t>
      </w:r>
      <w:r>
        <w:rPr>
          <w:rFonts w:ascii="Arial" w:cs="Arial" w:eastAsia="Arial" w:hAnsi="Arial"/>
          <w:sz w:val="20"/>
          <w:szCs w:val="20"/>
          <w:color w:val="auto"/>
        </w:rPr>
        <w:t>,</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Guarantors,</w:t>
      </w:r>
    </w:p>
    <w:p>
      <w:pPr>
        <w:spacing w:after="0" w:line="194"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THE LENDERS PARTY HERETO</w:t>
      </w:r>
      <w:r>
        <w:rPr>
          <w:rFonts w:ascii="Arial" w:cs="Arial" w:eastAsia="Arial" w:hAnsi="Arial"/>
          <w:sz w:val="20"/>
          <w:szCs w:val="20"/>
          <w:color w:val="auto"/>
        </w:rPr>
        <w:t>,</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 Swing Line Lender and L/C Issuer,</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as Syndication Agent and L/C Issuer,</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as Documentation Agent</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Arranged By:</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BMO CAPITAL MARKETS</w:t>
      </w:r>
    </w:p>
    <w:p>
      <w:pPr>
        <w:jc w:val="center"/>
        <w:ind w:right="1160"/>
        <w:spacing w:after="0"/>
        <w:rPr>
          <w:sz w:val="20"/>
          <w:szCs w:val="20"/>
          <w:color w:val="auto"/>
        </w:rPr>
      </w:pPr>
      <w:r>
        <w:rPr>
          <w:rFonts w:ascii="Arial" w:cs="Arial" w:eastAsia="Arial" w:hAnsi="Arial"/>
          <w:sz w:val="20"/>
          <w:szCs w:val="20"/>
          <w:color w:val="auto"/>
        </w:rPr>
        <w:t>and</w:t>
      </w:r>
    </w:p>
    <w:p>
      <w:pPr>
        <w:jc w:val="center"/>
        <w:ind w:right="1160"/>
        <w:spacing w:after="0"/>
        <w:rPr>
          <w:sz w:val="20"/>
          <w:szCs w:val="20"/>
          <w:color w:val="auto"/>
        </w:rPr>
      </w:pPr>
      <w:r>
        <w:rPr>
          <w:rFonts w:ascii="Arial" w:cs="Arial" w:eastAsia="Arial" w:hAnsi="Arial"/>
          <w:sz w:val="20"/>
          <w:szCs w:val="20"/>
          <w:b w:val="1"/>
          <w:bCs w:val="1"/>
          <w:color w:val="auto"/>
        </w:rPr>
        <w:t>BOFA SECURITIES, INC.</w:t>
      </w:r>
      <w:r>
        <w:rPr>
          <w:rFonts w:ascii="Arial" w:cs="Arial" w:eastAsia="Arial" w:hAnsi="Arial"/>
          <w:sz w:val="20"/>
          <w:szCs w:val="20"/>
          <w:color w:val="auto"/>
        </w:rPr>
        <w:t>,</w:t>
      </w:r>
    </w:p>
    <w:p>
      <w:pPr>
        <w:jc w:val="center"/>
        <w:ind w:right="1120"/>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0120"/>
          </w:cols>
          <w:pgMar w:left="1440" w:top="1419" w:right="339" w:bottom="1440" w:gutter="0" w:footer="0" w:header="0"/>
        </w:sectPr>
      </w:pPr>
    </w:p>
    <w:bookmarkStart w:id="14" w:name="page15"/>
    <w:bookmarkEnd w:id="1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80" w:type="dxa"/>
            <w:vAlign w:val="bottom"/>
            <w:gridSpan w:val="6"/>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9"/>
        </w:trPr>
        <w:tc>
          <w:tcPr>
            <w:tcW w:w="11040" w:type="dxa"/>
            <w:vAlign w:val="bottom"/>
            <w:gridSpan w:val="40"/>
            <w:shd w:val="clear" w:color="auto" w:fill="CCEEFF"/>
          </w:tcPr>
          <w:p>
            <w:pPr>
              <w:ind w:left="20"/>
              <w:spacing w:after="0" w:line="189" w:lineRule="exact"/>
              <w:rPr>
                <w:sz w:val="20"/>
                <w:szCs w:val="20"/>
                <w:color w:val="auto"/>
              </w:rPr>
            </w:pPr>
            <w:r>
              <w:rPr>
                <w:rFonts w:ascii="Arial" w:cs="Arial" w:eastAsia="Arial" w:hAnsi="Arial"/>
                <w:sz w:val="18"/>
                <w:szCs w:val="18"/>
                <w:color w:val="auto"/>
              </w:rPr>
              <w:t>ARTICLE I DEFINITIONS AND ACCOUNTING TERMS</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w:t>
              </w:r>
            </w:hyperlink>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1.01 Defined Terms</w:t>
            </w:r>
          </w:p>
        </w:tc>
        <w:tc>
          <w:tcPr>
            <w:tcW w:w="200" w:type="dxa"/>
            <w:vAlign w:val="bottom"/>
            <w:gridSpan w:val="3"/>
          </w:tcPr>
          <w:p>
            <w:pPr>
              <w:jc w:val="right"/>
              <w:ind w:right="2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1.02 Other Interpretive Provisions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41</w:t>
              </w:r>
            </w:hyperlink>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1.03 Accounting Terms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41</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1.04 Rounding</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42</w:t>
              </w:r>
            </w:hyperlink>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1.05 References to Agreements and Laws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42</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1.06 Exchange Rates; Currency Equivalents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42</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1.07 Additional Alternative Currencies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61">
              <w:r>
                <w:rPr>
                  <w:rFonts w:ascii="Arial" w:cs="Arial" w:eastAsia="Arial" w:hAnsi="Arial"/>
                  <w:sz w:val="18"/>
                  <w:szCs w:val="18"/>
                  <w:color w:val="0000FF"/>
                  <w:w w:val="79"/>
                </w:rPr>
                <w:t>43</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1.08 Change of Currency</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44</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1.09 Times of Day</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44</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1.10 Letter of Credit Amounts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44</w:t>
              </w:r>
            </w:hyperlink>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tcPr>
          <w:p>
            <w:pPr>
              <w:spacing w:after="0"/>
              <w:rPr>
                <w:sz w:val="16"/>
                <w:szCs w:val="16"/>
                <w:color w:val="auto"/>
              </w:rPr>
            </w:pPr>
          </w:p>
        </w:tc>
        <w:tc>
          <w:tcPr>
            <w:tcW w:w="10360" w:type="dxa"/>
            <w:vAlign w:val="bottom"/>
            <w:gridSpan w:val="39"/>
          </w:tcPr>
          <w:p>
            <w:pPr>
              <w:ind w:left="20"/>
              <w:spacing w:after="0" w:line="189" w:lineRule="exact"/>
              <w:rPr>
                <w:sz w:val="20"/>
                <w:szCs w:val="20"/>
                <w:color w:val="auto"/>
              </w:rPr>
            </w:pPr>
            <w:r>
              <w:rPr>
                <w:rFonts w:ascii="Arial" w:cs="Arial" w:eastAsia="Arial" w:hAnsi="Arial"/>
                <w:sz w:val="18"/>
                <w:szCs w:val="18"/>
                <w:color w:val="auto"/>
              </w:rPr>
              <w:t>1.11 Luxembourg Terms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44</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shd w:val="clear" w:color="auto" w:fill="CCEEFF"/>
          </w:tcPr>
          <w:p>
            <w:pPr>
              <w:spacing w:after="0"/>
              <w:rPr>
                <w:sz w:val="16"/>
                <w:szCs w:val="16"/>
                <w:color w:val="auto"/>
              </w:rPr>
            </w:pPr>
          </w:p>
        </w:tc>
        <w:tc>
          <w:tcPr>
            <w:tcW w:w="10360" w:type="dxa"/>
            <w:vAlign w:val="bottom"/>
            <w:gridSpan w:val="39"/>
            <w:shd w:val="clear" w:color="auto" w:fill="CCEEFF"/>
          </w:tcPr>
          <w:p>
            <w:pPr>
              <w:spacing w:after="0" w:line="189" w:lineRule="exact"/>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Interest Rates; LIBOR Notification</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45</w:t>
              </w:r>
            </w:hyperlink>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20"/>
              <w:spacing w:after="0" w:line="189" w:lineRule="exact"/>
              <w:rPr>
                <w:sz w:val="20"/>
                <w:szCs w:val="20"/>
                <w:color w:val="auto"/>
              </w:rPr>
            </w:pPr>
            <w:r>
              <w:rPr>
                <w:rFonts w:ascii="Arial" w:cs="Arial" w:eastAsia="Arial" w:hAnsi="Arial"/>
                <w:sz w:val="18"/>
                <w:szCs w:val="18"/>
                <w:color w:val="auto"/>
              </w:rPr>
              <w:t>ARTICLE II THE COMMITMENTS AND CREDIT EXTENSIONS</w:t>
            </w:r>
          </w:p>
        </w:tc>
        <w:tc>
          <w:tcPr>
            <w:tcW w:w="18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79"/>
              </w:rPr>
            </w:pPr>
            <w:hyperlink w:anchor="page64">
              <w:r>
                <w:rPr>
                  <w:rFonts w:ascii="Arial" w:cs="Arial" w:eastAsia="Arial" w:hAnsi="Arial"/>
                  <w:sz w:val="18"/>
                  <w:szCs w:val="18"/>
                  <w:color w:val="0000FF"/>
                  <w:w w:val="79"/>
                </w:rPr>
                <w:t>46</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2.01 Revolving Loans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4">
              <w:r>
                <w:rPr>
                  <w:rFonts w:ascii="Arial" w:cs="Arial" w:eastAsia="Arial" w:hAnsi="Arial"/>
                  <w:sz w:val="18"/>
                  <w:szCs w:val="18"/>
                  <w:color w:val="0000FF"/>
                  <w:w w:val="79"/>
                </w:rPr>
                <w:t>46</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2.02 Borrowings, Conversions and Continuations of Loans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65">
              <w:r>
                <w:rPr>
                  <w:rFonts w:ascii="Arial" w:cs="Arial" w:eastAsia="Arial" w:hAnsi="Arial"/>
                  <w:sz w:val="18"/>
                  <w:szCs w:val="18"/>
                  <w:color w:val="0000FF"/>
                  <w:w w:val="79"/>
                </w:rPr>
                <w:t>47</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2.03 Letters of Credit</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67">
              <w:r>
                <w:rPr>
                  <w:rFonts w:ascii="Arial" w:cs="Arial" w:eastAsia="Arial" w:hAnsi="Arial"/>
                  <w:sz w:val="18"/>
                  <w:szCs w:val="18"/>
                  <w:color w:val="0000FF"/>
                  <w:w w:val="79"/>
                </w:rPr>
                <w:t>49</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2.04 Swing Line Loans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76">
              <w:r>
                <w:rPr>
                  <w:rFonts w:ascii="Arial" w:cs="Arial" w:eastAsia="Arial" w:hAnsi="Arial"/>
                  <w:sz w:val="18"/>
                  <w:szCs w:val="18"/>
                  <w:color w:val="0000FF"/>
                  <w:w w:val="79"/>
                </w:rPr>
                <w:t>58</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2.05 Prepayments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78">
              <w:r>
                <w:rPr>
                  <w:rFonts w:ascii="Arial" w:cs="Arial" w:eastAsia="Arial" w:hAnsi="Arial"/>
                  <w:sz w:val="18"/>
                  <w:szCs w:val="18"/>
                  <w:color w:val="0000FF"/>
                  <w:w w:val="79"/>
                </w:rPr>
                <w:t>60</w:t>
              </w:r>
            </w:hyperlink>
          </w:p>
        </w:tc>
        <w:tc>
          <w:tcPr>
            <w:tcW w:w="20" w:type="dxa"/>
            <w:vAlign w:val="bottom"/>
            <w:shd w:val="clear" w:color="auto" w:fill="CCEEFF"/>
          </w:tcPr>
          <w:p>
            <w:pPr>
              <w:spacing w:after="0"/>
              <w:rPr>
                <w:sz w:val="16"/>
                <w:szCs w:val="16"/>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2.06 Termination or Reduction of Aggregate Revolving Commitments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0">
              <w:r>
                <w:rPr>
                  <w:rFonts w:ascii="Arial" w:cs="Arial" w:eastAsia="Arial" w:hAnsi="Arial"/>
                  <w:sz w:val="18"/>
                  <w:szCs w:val="18"/>
                  <w:color w:val="0000FF"/>
                  <w:w w:val="79"/>
                </w:rPr>
                <w:t>62</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2.07 Repayment of Loans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80">
              <w:r>
                <w:rPr>
                  <w:rFonts w:ascii="Arial" w:cs="Arial" w:eastAsia="Arial" w:hAnsi="Arial"/>
                  <w:sz w:val="18"/>
                  <w:szCs w:val="18"/>
                  <w:color w:val="0000FF"/>
                  <w:w w:val="79"/>
                </w:rPr>
                <w:t>62</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2.08 Interest</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0">
              <w:r>
                <w:rPr>
                  <w:rFonts w:ascii="Arial" w:cs="Arial" w:eastAsia="Arial" w:hAnsi="Arial"/>
                  <w:sz w:val="18"/>
                  <w:szCs w:val="18"/>
                  <w:color w:val="0000FF"/>
                  <w:w w:val="79"/>
                </w:rPr>
                <w:t>63</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2.09 Fees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81">
              <w:r>
                <w:rPr>
                  <w:rFonts w:ascii="Arial" w:cs="Arial" w:eastAsia="Arial" w:hAnsi="Arial"/>
                  <w:sz w:val="18"/>
                  <w:szCs w:val="18"/>
                  <w:color w:val="0000FF"/>
                  <w:w w:val="79"/>
                </w:rPr>
                <w:t>63</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2.10 Computation of Interest and Fees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2">
              <w:r>
                <w:rPr>
                  <w:rFonts w:ascii="Arial" w:cs="Arial" w:eastAsia="Arial" w:hAnsi="Arial"/>
                  <w:sz w:val="18"/>
                  <w:szCs w:val="18"/>
                  <w:color w:val="0000FF"/>
                  <w:w w:val="79"/>
                </w:rPr>
                <w:t>64</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shd w:val="clear" w:color="auto" w:fill="CCEEFF"/>
          </w:tcPr>
          <w:p>
            <w:pPr>
              <w:spacing w:after="0"/>
              <w:rPr>
                <w:sz w:val="16"/>
                <w:szCs w:val="16"/>
                <w:color w:val="auto"/>
              </w:rPr>
            </w:pPr>
          </w:p>
        </w:tc>
        <w:tc>
          <w:tcPr>
            <w:tcW w:w="10360" w:type="dxa"/>
            <w:vAlign w:val="bottom"/>
            <w:gridSpan w:val="39"/>
            <w:shd w:val="clear" w:color="auto" w:fill="CCEEFF"/>
          </w:tcPr>
          <w:p>
            <w:pPr>
              <w:ind w:left="20"/>
              <w:spacing w:after="0" w:line="189" w:lineRule="exact"/>
              <w:rPr>
                <w:sz w:val="20"/>
                <w:szCs w:val="20"/>
                <w:color w:val="auto"/>
              </w:rPr>
            </w:pPr>
            <w:r>
              <w:rPr>
                <w:rFonts w:ascii="Arial" w:cs="Arial" w:eastAsia="Arial" w:hAnsi="Arial"/>
                <w:sz w:val="18"/>
                <w:szCs w:val="18"/>
                <w:color w:val="auto"/>
              </w:rPr>
              <w:t>2.11 Evidence of Debt</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82">
              <w:r>
                <w:rPr>
                  <w:rFonts w:ascii="Arial" w:cs="Arial" w:eastAsia="Arial" w:hAnsi="Arial"/>
                  <w:sz w:val="18"/>
                  <w:szCs w:val="18"/>
                  <w:color w:val="0000FF"/>
                  <w:w w:val="79"/>
                </w:rPr>
                <w:t>64</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2.12 Payments Generally; Administrative Agent’s Clawback</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3">
              <w:r>
                <w:rPr>
                  <w:rFonts w:ascii="Arial" w:cs="Arial" w:eastAsia="Arial" w:hAnsi="Arial"/>
                  <w:sz w:val="18"/>
                  <w:szCs w:val="18"/>
                  <w:color w:val="0000FF"/>
                  <w:w w:val="79"/>
                </w:rPr>
                <w:t>65</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2.13 Sharing of Payments by Lenders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84">
              <w:r>
                <w:rPr>
                  <w:rFonts w:ascii="Arial" w:cs="Arial" w:eastAsia="Arial" w:hAnsi="Arial"/>
                  <w:sz w:val="18"/>
                  <w:szCs w:val="18"/>
                  <w:color w:val="0000FF"/>
                  <w:w w:val="79"/>
                </w:rPr>
                <w:t>67</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2.14 Designated Borrowers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67</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2.15 Cash Collateral</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86">
              <w:r>
                <w:rPr>
                  <w:rFonts w:ascii="Arial" w:cs="Arial" w:eastAsia="Arial" w:hAnsi="Arial"/>
                  <w:sz w:val="18"/>
                  <w:szCs w:val="18"/>
                  <w:color w:val="0000FF"/>
                  <w:w w:val="79"/>
                </w:rPr>
                <w:t>68</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2.16 Defaulting Lenders</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87">
              <w:r>
                <w:rPr>
                  <w:rFonts w:ascii="Arial" w:cs="Arial" w:eastAsia="Arial" w:hAnsi="Arial"/>
                  <w:sz w:val="18"/>
                  <w:szCs w:val="18"/>
                  <w:color w:val="0000FF"/>
                  <w:w w:val="79"/>
                </w:rPr>
                <w:t>69</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2.17 Extension of Maturity Date</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90">
              <w:r>
                <w:rPr>
                  <w:rFonts w:ascii="Arial" w:cs="Arial" w:eastAsia="Arial" w:hAnsi="Arial"/>
                  <w:sz w:val="18"/>
                  <w:szCs w:val="18"/>
                  <w:color w:val="0000FF"/>
                  <w:w w:val="79"/>
                </w:rPr>
                <w:t>72</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20"/>
              <w:spacing w:after="0" w:line="189" w:lineRule="exact"/>
              <w:rPr>
                <w:sz w:val="20"/>
                <w:szCs w:val="20"/>
                <w:color w:val="auto"/>
              </w:rPr>
            </w:pPr>
            <w:r>
              <w:rPr>
                <w:rFonts w:ascii="Arial" w:cs="Arial" w:eastAsia="Arial" w:hAnsi="Arial"/>
                <w:sz w:val="18"/>
                <w:szCs w:val="18"/>
                <w:color w:val="auto"/>
              </w:rPr>
              <w:t>ARTICLE III TAXES, YIELD PROTECTION AND ILLEGALITY</w:t>
            </w:r>
          </w:p>
        </w:tc>
        <w:tc>
          <w:tcPr>
            <w:tcW w:w="18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79"/>
              </w:rPr>
            </w:pPr>
            <w:hyperlink w:anchor="page91">
              <w:r>
                <w:rPr>
                  <w:rFonts w:ascii="Arial" w:cs="Arial" w:eastAsia="Arial" w:hAnsi="Arial"/>
                  <w:sz w:val="18"/>
                  <w:szCs w:val="18"/>
                  <w:color w:val="0000FF"/>
                  <w:w w:val="79"/>
                </w:rPr>
                <w:t>73</w:t>
              </w:r>
            </w:hyperlink>
          </w:p>
        </w:tc>
        <w:tc>
          <w:tcPr>
            <w:tcW w:w="20" w:type="dxa"/>
            <w:vAlign w:val="bottom"/>
          </w:tcPr>
          <w:p>
            <w:pPr>
              <w:spacing w:after="0"/>
              <w:rPr>
                <w:sz w:val="16"/>
                <w:szCs w:val="16"/>
                <w:color w:val="auto"/>
              </w:rPr>
            </w:pPr>
          </w:p>
        </w:tc>
      </w:tr>
      <w:tr>
        <w:trPr>
          <w:trHeight w:val="21"/>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3.01 Taxes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91">
              <w:r>
                <w:rPr>
                  <w:rFonts w:ascii="Arial" w:cs="Arial" w:eastAsia="Arial" w:hAnsi="Arial"/>
                  <w:sz w:val="18"/>
                  <w:szCs w:val="18"/>
                  <w:color w:val="0000FF"/>
                  <w:w w:val="79"/>
                </w:rPr>
                <w:t>73</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3.02 Illegality</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96">
              <w:r>
                <w:rPr>
                  <w:rFonts w:ascii="Arial" w:cs="Arial" w:eastAsia="Arial" w:hAnsi="Arial"/>
                  <w:sz w:val="18"/>
                  <w:szCs w:val="18"/>
                  <w:color w:val="0000FF"/>
                  <w:w w:val="79"/>
                </w:rPr>
                <w:t>78</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3.03 Inability to Determine Rates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97">
              <w:r>
                <w:rPr>
                  <w:rFonts w:ascii="Arial" w:cs="Arial" w:eastAsia="Arial" w:hAnsi="Arial"/>
                  <w:sz w:val="18"/>
                  <w:szCs w:val="18"/>
                  <w:color w:val="0000FF"/>
                  <w:w w:val="79"/>
                </w:rPr>
                <w:t>79</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3.04 Increased Cost and Reduced Return; Capital Adequacy</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81</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3.05 Compensation for Losses</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83</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40" w:type="dxa"/>
            <w:vAlign w:val="bottom"/>
            <w:gridSpan w:val="40"/>
          </w:tcPr>
          <w:p>
            <w:pPr>
              <w:ind w:left="680"/>
              <w:spacing w:after="0" w:line="189" w:lineRule="exact"/>
              <w:rPr>
                <w:sz w:val="20"/>
                <w:szCs w:val="20"/>
                <w:color w:val="auto"/>
              </w:rPr>
            </w:pPr>
            <w:r>
              <w:rPr>
                <w:rFonts w:ascii="Arial" w:cs="Arial" w:eastAsia="Arial" w:hAnsi="Arial"/>
                <w:sz w:val="18"/>
                <w:szCs w:val="18"/>
                <w:color w:val="auto"/>
              </w:rPr>
              <w:t>3.06 Matters Applicable to all Requests for Compensation</w:t>
            </w:r>
          </w:p>
        </w:tc>
        <w:tc>
          <w:tcPr>
            <w:tcW w:w="180" w:type="dxa"/>
            <w:vAlign w:val="bottom"/>
            <w:gridSpan w:val="2"/>
          </w:tcPr>
          <w:p>
            <w:pPr>
              <w:jc w:val="right"/>
              <w:spacing w:after="0" w:line="189"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83</w:t>
              </w:r>
            </w:hyperlink>
          </w:p>
        </w:tc>
        <w:tc>
          <w:tcPr>
            <w:tcW w:w="2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spacing w:after="0"/>
              <w:rPr>
                <w:sz w:val="18"/>
                <w:szCs w:val="18"/>
                <w:color w:val="auto"/>
              </w:rPr>
            </w:pPr>
          </w:p>
        </w:tc>
        <w:tc>
          <w:tcPr>
            <w:tcW w:w="10360" w:type="dxa"/>
            <w:vAlign w:val="bottom"/>
            <w:gridSpan w:val="39"/>
            <w:shd w:val="clear" w:color="auto" w:fill="CCEEFF"/>
          </w:tcPr>
          <w:p>
            <w:pPr>
              <w:spacing w:after="0" w:line="189" w:lineRule="exact"/>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07</w:t>
            </w:r>
            <w:r>
              <w:rPr>
                <w:rFonts w:ascii="Arial" w:cs="Arial" w:eastAsia="Arial" w:hAnsi="Arial"/>
                <w:sz w:val="18"/>
                <w:szCs w:val="18"/>
                <w:color w:val="0000FF"/>
              </w:rPr>
              <w:t xml:space="preserve"> Effect of Benchmark Transition Event</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102">
              <w:r>
                <w:rPr>
                  <w:rFonts w:ascii="Arial" w:cs="Arial" w:eastAsia="Arial" w:hAnsi="Arial"/>
                  <w:sz w:val="18"/>
                  <w:szCs w:val="18"/>
                  <w:color w:val="0000FF"/>
                  <w:w w:val="79"/>
                </w:rPr>
                <w:t>84</w:t>
              </w:r>
            </w:hyperlink>
          </w:p>
        </w:tc>
        <w:tc>
          <w:tcPr>
            <w:tcW w:w="20" w:type="dxa"/>
            <w:vAlign w:val="bottom"/>
            <w:shd w:val="clear" w:color="auto" w:fill="CCEEFF"/>
          </w:tcPr>
          <w:p>
            <w:pPr>
              <w:spacing w:after="0"/>
              <w:rPr>
                <w:sz w:val="18"/>
                <w:szCs w:val="18"/>
                <w:color w:val="auto"/>
              </w:rPr>
            </w:pPr>
          </w:p>
        </w:tc>
      </w:tr>
      <w:tr>
        <w:trPr>
          <w:trHeight w:val="189"/>
        </w:trPr>
        <w:tc>
          <w:tcPr>
            <w:tcW w:w="680" w:type="dxa"/>
            <w:vAlign w:val="bottom"/>
            <w:tcBorders>
              <w:top w:val="single" w:sz="8" w:color="CCEEFF"/>
            </w:tcBorders>
          </w:tcPr>
          <w:p>
            <w:pPr>
              <w:spacing w:after="0"/>
              <w:rPr>
                <w:sz w:val="16"/>
                <w:szCs w:val="16"/>
                <w:color w:val="auto"/>
              </w:rPr>
            </w:pPr>
          </w:p>
        </w:tc>
        <w:tc>
          <w:tcPr>
            <w:tcW w:w="3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FF0000"/>
                <w:strike w:val="1"/>
                <w:w w:val="85"/>
              </w:rPr>
              <w:t>3.07</w:t>
            </w:r>
          </w:p>
        </w:tc>
        <w:tc>
          <w:tcPr>
            <w:tcW w:w="40" w:type="dxa"/>
            <w:vAlign w:val="bottom"/>
            <w:tcBorders>
              <w:top w:val="single" w:sz="8" w:color="CCEEFF"/>
            </w:tcBorders>
          </w:tcPr>
          <w:p>
            <w:pPr>
              <w:spacing w:after="0"/>
              <w:rPr>
                <w:sz w:val="16"/>
                <w:szCs w:val="16"/>
                <w:color w:val="auto"/>
              </w:rPr>
            </w:pPr>
          </w:p>
        </w:tc>
        <w:tc>
          <w:tcPr>
            <w:tcW w:w="1300" w:type="dxa"/>
            <w:vAlign w:val="bottom"/>
            <w:tcBorders>
              <w:top w:val="single" w:sz="8" w:color="0000FF"/>
              <w:bottom w:val="single" w:sz="8" w:color="FF0000"/>
            </w:tcBorders>
            <w:gridSpan w:val="14"/>
          </w:tcPr>
          <w:p>
            <w:pPr>
              <w:spacing w:after="0" w:line="189" w:lineRule="exact"/>
              <w:rPr>
                <w:sz w:val="20"/>
                <w:szCs w:val="20"/>
                <w:color w:val="auto"/>
              </w:rPr>
            </w:pPr>
            <w:r>
              <w:rPr>
                <w:rFonts w:ascii="Arial" w:cs="Arial" w:eastAsia="Arial" w:hAnsi="Arial"/>
                <w:sz w:val="18"/>
                <w:szCs w:val="18"/>
                <w:color w:val="FF0000"/>
                <w:strike w:val="1"/>
                <w:w w:val="89"/>
              </w:rPr>
              <w:t>Successor LIBOR</w:t>
            </w:r>
          </w:p>
        </w:tc>
        <w:tc>
          <w:tcPr>
            <w:tcW w:w="1440" w:type="dxa"/>
            <w:vAlign w:val="bottom"/>
            <w:tcBorders>
              <w:top w:val="single" w:sz="8" w:color="0000FF"/>
            </w:tcBorders>
            <w:gridSpan w:val="16"/>
          </w:tcPr>
          <w:p>
            <w:pPr>
              <w:spacing w:after="0"/>
              <w:rPr>
                <w:sz w:val="16"/>
                <w:szCs w:val="16"/>
                <w:color w:val="auto"/>
              </w:rPr>
            </w:pPr>
          </w:p>
        </w:tc>
        <w:tc>
          <w:tcPr>
            <w:tcW w:w="726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0000FF"/>
              <w:bottom w:val="single" w:sz="8" w:color="FF0000"/>
            </w:tcBorders>
            <w:gridSpan w:val="2"/>
          </w:tcPr>
          <w:p>
            <w:pPr>
              <w:jc w:val="right"/>
              <w:spacing w:after="0" w:line="189" w:lineRule="exact"/>
              <w:rPr>
                <w:rFonts w:ascii="Arial" w:cs="Arial" w:eastAsia="Arial" w:hAnsi="Arial"/>
                <w:sz w:val="18"/>
                <w:szCs w:val="18"/>
                <w:color w:val="FF0000"/>
                <w:strike w:val="1"/>
                <w:w w:val="79"/>
              </w:rPr>
            </w:pPr>
            <w:hyperlink w:anchor="page102">
              <w:r>
                <w:rPr>
                  <w:rFonts w:ascii="Arial" w:cs="Arial" w:eastAsia="Arial" w:hAnsi="Arial"/>
                  <w:sz w:val="18"/>
                  <w:szCs w:val="18"/>
                  <w:color w:val="FF0000"/>
                  <w:strike w:val="1"/>
                  <w:w w:val="79"/>
                </w:rPr>
                <w:t>84</w:t>
              </w:r>
            </w:hyperlink>
          </w:p>
        </w:tc>
        <w:tc>
          <w:tcPr>
            <w:tcW w:w="20" w:type="dxa"/>
            <w:vAlign w:val="bottom"/>
            <w:tcBorders>
              <w:top w:val="single" w:sz="8" w:color="CCEEFF"/>
            </w:tcBorders>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40" w:type="dxa"/>
            <w:vAlign w:val="bottom"/>
            <w:gridSpan w:val="40"/>
            <w:shd w:val="clear" w:color="auto" w:fill="CCEEFF"/>
          </w:tcPr>
          <w:p>
            <w:pPr>
              <w:ind w:left="680"/>
              <w:spacing w:after="0" w:line="189" w:lineRule="exact"/>
              <w:rPr>
                <w:sz w:val="20"/>
                <w:szCs w:val="20"/>
                <w:color w:val="auto"/>
              </w:rPr>
            </w:pPr>
            <w:r>
              <w:rPr>
                <w:rFonts w:ascii="Arial" w:cs="Arial" w:eastAsia="Arial" w:hAnsi="Arial"/>
                <w:sz w:val="18"/>
                <w:szCs w:val="18"/>
                <w:color w:val="auto"/>
              </w:rPr>
              <w:t>3.08 Survival</w:t>
            </w: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FF"/>
                <w:w w:val="79"/>
              </w:rPr>
            </w:pPr>
            <w:hyperlink w:anchor="page105">
              <w:r>
                <w:rPr>
                  <w:rFonts w:ascii="Arial" w:cs="Arial" w:eastAsia="Arial" w:hAnsi="Arial"/>
                  <w:sz w:val="18"/>
                  <w:szCs w:val="18"/>
                  <w:color w:val="0000FF"/>
                  <w:w w:val="79"/>
                </w:rPr>
                <w:t>87</w:t>
              </w:r>
            </w:hyperlink>
          </w:p>
        </w:tc>
        <w:tc>
          <w:tcPr>
            <w:tcW w:w="20" w:type="dxa"/>
            <w:vAlign w:val="bottom"/>
            <w:shd w:val="clear" w:color="auto" w:fill="CCEEFF"/>
          </w:tcPr>
          <w:p>
            <w:pPr>
              <w:spacing w:after="0"/>
              <w:rPr>
                <w:sz w:val="16"/>
                <w:szCs w:val="16"/>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36"/>
          </w:tcPr>
          <w:p>
            <w:pPr>
              <w:ind w:left="20"/>
              <w:spacing w:after="0"/>
              <w:rPr>
                <w:sz w:val="20"/>
                <w:szCs w:val="20"/>
                <w:color w:val="auto"/>
              </w:rPr>
            </w:pPr>
            <w:r>
              <w:rPr>
                <w:rFonts w:ascii="Arial" w:cs="Arial" w:eastAsia="Arial" w:hAnsi="Arial"/>
                <w:sz w:val="18"/>
                <w:szCs w:val="18"/>
                <w:color w:val="auto"/>
              </w:rPr>
              <w:t>ARTICLE IV GUARANTY</w:t>
            </w:r>
          </w:p>
        </w:tc>
        <w:tc>
          <w:tcPr>
            <w:tcW w:w="3080" w:type="dxa"/>
            <w:vAlign w:val="bottom"/>
            <w:gridSpan w:val="3"/>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88</w:t>
              </w:r>
            </w:hyperlink>
          </w:p>
        </w:tc>
        <w:tc>
          <w:tcPr>
            <w:tcW w:w="2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4.01 The Guaranty</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05">
              <w:r>
                <w:rPr>
                  <w:rFonts w:ascii="Arial" w:cs="Arial" w:eastAsia="Arial" w:hAnsi="Arial"/>
                  <w:sz w:val="18"/>
                  <w:szCs w:val="18"/>
                  <w:color w:val="0000FF"/>
                </w:rPr>
                <w:t>88</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4.02 Obligations Unconditional</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88</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4.03 Reinstatement</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89</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4.04 Certain Additional Waivers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89</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4.05 Remedies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90</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4.06 Rights of Contribution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08">
              <w:r>
                <w:rPr>
                  <w:rFonts w:ascii="Arial" w:cs="Arial" w:eastAsia="Arial" w:hAnsi="Arial"/>
                  <w:sz w:val="18"/>
                  <w:szCs w:val="18"/>
                  <w:color w:val="0000FF"/>
                </w:rPr>
                <w:t>90</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4.07 Guarantee of Payment; Continuing Guarantee</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08">
              <w:r>
                <w:rPr>
                  <w:rFonts w:ascii="Arial" w:cs="Arial" w:eastAsia="Arial" w:hAnsi="Arial"/>
                  <w:sz w:val="18"/>
                  <w:szCs w:val="18"/>
                  <w:color w:val="0000FF"/>
                </w:rPr>
                <w:t>90</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4.08 Keepwell</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08">
              <w:r>
                <w:rPr>
                  <w:rFonts w:ascii="Arial" w:cs="Arial" w:eastAsia="Arial" w:hAnsi="Arial"/>
                  <w:sz w:val="18"/>
                  <w:szCs w:val="18"/>
                  <w:color w:val="0000FF"/>
                </w:rPr>
                <w:t>90</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gridSpan w:val="36"/>
            <w:shd w:val="clear" w:color="auto" w:fill="CCEEFF"/>
          </w:tcPr>
          <w:p>
            <w:pPr>
              <w:ind w:left="20"/>
              <w:spacing w:after="0" w:line="189" w:lineRule="exact"/>
              <w:rPr>
                <w:sz w:val="20"/>
                <w:szCs w:val="20"/>
                <w:color w:val="auto"/>
              </w:rPr>
            </w:pPr>
            <w:r>
              <w:rPr>
                <w:rFonts w:ascii="Arial" w:cs="Arial" w:eastAsia="Arial" w:hAnsi="Arial"/>
                <w:sz w:val="18"/>
                <w:szCs w:val="18"/>
                <w:color w:val="auto"/>
              </w:rPr>
              <w:t>ARTICLE V CONDITIONS PRECEDENT TO CREDIT EXTENSIONS</w:t>
            </w:r>
          </w:p>
        </w:tc>
        <w:tc>
          <w:tcPr>
            <w:tcW w:w="29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09">
              <w:r>
                <w:rPr>
                  <w:rFonts w:ascii="Arial" w:cs="Arial" w:eastAsia="Arial" w:hAnsi="Arial"/>
                  <w:sz w:val="18"/>
                  <w:szCs w:val="18"/>
                  <w:color w:val="0000FF"/>
                  <w:w w:val="79"/>
                </w:rPr>
                <w:t>91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5.01 Conditions of Initial Credit Extension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91</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5.02 Conditions to all Credit Extensions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93</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20"/>
              <w:spacing w:after="0" w:line="189" w:lineRule="exact"/>
              <w:rPr>
                <w:sz w:val="20"/>
                <w:szCs w:val="20"/>
                <w:color w:val="auto"/>
              </w:rPr>
            </w:pPr>
            <w:r>
              <w:rPr>
                <w:rFonts w:ascii="Arial" w:cs="Arial" w:eastAsia="Arial" w:hAnsi="Arial"/>
                <w:sz w:val="18"/>
                <w:szCs w:val="18"/>
                <w:color w:val="auto"/>
              </w:rPr>
              <w:t>ARTICLE VI REPRESENTATIONS AND WARRANTIES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94</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6.01 Organization, etc</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1">
              <w:r>
                <w:rPr>
                  <w:rFonts w:ascii="Arial" w:cs="Arial" w:eastAsia="Arial" w:hAnsi="Arial"/>
                  <w:sz w:val="18"/>
                  <w:szCs w:val="18"/>
                  <w:color w:val="0000FF"/>
                </w:rPr>
                <w:t>94</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6.02 Authorization; No Conflict</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94</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6.03 Validity and Binding Nature</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94</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6.04 Financial Condition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94</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6.05 No Material Adverse Change</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94</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6.06 Litigation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95</w:t>
              </w:r>
            </w:hyperlink>
          </w:p>
        </w:tc>
        <w:tc>
          <w:tcPr>
            <w:tcW w:w="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6.07 Ownership of Properties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95</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6.08 Subsidiaries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95</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6.09 Pension Plans and Plan Assets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95</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6.10 Investment Company Act</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3">
              <w:r>
                <w:rPr>
                  <w:rFonts w:ascii="Arial" w:cs="Arial" w:eastAsia="Arial" w:hAnsi="Arial"/>
                  <w:sz w:val="18"/>
                  <w:szCs w:val="18"/>
                  <w:color w:val="0000FF"/>
                </w:rPr>
                <w:t>96</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700"/>
              <w:spacing w:after="0" w:line="189" w:lineRule="exact"/>
              <w:rPr>
                <w:sz w:val="20"/>
                <w:szCs w:val="20"/>
                <w:color w:val="auto"/>
              </w:rPr>
            </w:pPr>
            <w:r>
              <w:rPr>
                <w:rFonts w:ascii="Arial" w:cs="Arial" w:eastAsia="Arial" w:hAnsi="Arial"/>
                <w:sz w:val="18"/>
                <w:szCs w:val="18"/>
                <w:color w:val="auto"/>
              </w:rPr>
              <w:t>6.11 Regulation U</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96</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6.12 Taxes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96</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6.13 Environmental Matters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96</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6.14 Information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96</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6.15 No Default</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97</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6.16 Designated Borrower Joinder Agreement</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97</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6.17 OFAC</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97</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6.18 Anti-Corruption Laws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97</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6.19 Luxembourg Specific Representations</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97</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6.20 Beneficial Ownership Certification</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98</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6.21 No EEA Financial Institution</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98</w:t>
              </w:r>
            </w:hyperlink>
          </w:p>
        </w:tc>
        <w:tc>
          <w:tcPr>
            <w:tcW w:w="20" w:type="dxa"/>
            <w:vAlign w:val="bottom"/>
            <w:shd w:val="clear" w:color="auto" w:fill="CCEEFF"/>
          </w:tcPr>
          <w:p>
            <w:pPr>
              <w:spacing w:after="0"/>
              <w:rPr>
                <w:sz w:val="16"/>
                <w:szCs w:val="16"/>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20"/>
              <w:spacing w:after="0" w:line="189" w:lineRule="exact"/>
              <w:rPr>
                <w:sz w:val="20"/>
                <w:szCs w:val="20"/>
                <w:color w:val="auto"/>
              </w:rPr>
            </w:pPr>
            <w:r>
              <w:rPr>
                <w:rFonts w:ascii="Arial" w:cs="Arial" w:eastAsia="Arial" w:hAnsi="Arial"/>
                <w:sz w:val="18"/>
                <w:szCs w:val="18"/>
                <w:color w:val="auto"/>
              </w:rPr>
              <w:t>ARTICLE VII COVENANTS</w:t>
            </w:r>
          </w:p>
        </w:tc>
        <w:tc>
          <w:tcPr>
            <w:tcW w:w="3080" w:type="dxa"/>
            <w:vAlign w:val="bottom"/>
            <w:gridSpan w:val="3"/>
          </w:tcPr>
          <w:p>
            <w:pPr>
              <w:jc w:val="right"/>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98</w:t>
              </w:r>
            </w:hyperlink>
          </w:p>
        </w:tc>
        <w:tc>
          <w:tcPr>
            <w:tcW w:w="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7.01 Reports, Certificates and Other Information</w:t>
            </w:r>
          </w:p>
        </w:tc>
        <w:tc>
          <w:tcPr>
            <w:tcW w:w="308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98</w:t>
              </w:r>
            </w:hyperlink>
          </w:p>
        </w:tc>
        <w:tc>
          <w:tcPr>
            <w:tcW w:w="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7.02 Books, Records and Inspections</w:t>
            </w:r>
          </w:p>
        </w:tc>
        <w:tc>
          <w:tcPr>
            <w:tcW w:w="3100" w:type="dxa"/>
            <w:vAlign w:val="bottom"/>
            <w:gridSpan w:val="4"/>
          </w:tcPr>
          <w:p>
            <w:pPr>
              <w:jc w:val="right"/>
              <w:ind w:right="20"/>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101</w:t>
              </w:r>
            </w:hyperlink>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7.03 Insurance</w:t>
            </w:r>
          </w:p>
        </w:tc>
        <w:tc>
          <w:tcPr>
            <w:tcW w:w="310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101</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7.04 Compliance with Laws; Payment of Taxes</w:t>
            </w:r>
          </w:p>
        </w:tc>
        <w:tc>
          <w:tcPr>
            <w:tcW w:w="3100" w:type="dxa"/>
            <w:vAlign w:val="bottom"/>
            <w:gridSpan w:val="4"/>
          </w:tcPr>
          <w:p>
            <w:pPr>
              <w:jc w:val="right"/>
              <w:ind w:right="20"/>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101</w:t>
              </w:r>
            </w:hyperlink>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7.05 Maintenance of Existence, etc</w:t>
            </w:r>
          </w:p>
        </w:tc>
        <w:tc>
          <w:tcPr>
            <w:tcW w:w="310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102</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7.06 Financial Covenants</w:t>
            </w:r>
          </w:p>
        </w:tc>
        <w:tc>
          <w:tcPr>
            <w:tcW w:w="3100" w:type="dxa"/>
            <w:vAlign w:val="bottom"/>
            <w:gridSpan w:val="4"/>
          </w:tcPr>
          <w:p>
            <w:pPr>
              <w:jc w:val="right"/>
              <w:ind w:right="2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102</w:t>
              </w:r>
            </w:hyperlink>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4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7.07 Limitations on Debt</w:t>
            </w:r>
          </w:p>
        </w:tc>
        <w:tc>
          <w:tcPr>
            <w:tcW w:w="310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20">
              <w:r>
                <w:rPr>
                  <w:rFonts w:ascii="Arial" w:cs="Arial" w:eastAsia="Arial" w:hAnsi="Arial"/>
                  <w:sz w:val="18"/>
                  <w:szCs w:val="18"/>
                  <w:color w:val="0000FF"/>
                </w:rPr>
                <w:t>102</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4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7.08 Liens</w:t>
            </w:r>
          </w:p>
        </w:tc>
        <w:tc>
          <w:tcPr>
            <w:tcW w:w="3100" w:type="dxa"/>
            <w:vAlign w:val="bottom"/>
            <w:gridSpan w:val="4"/>
          </w:tcPr>
          <w:p>
            <w:pPr>
              <w:jc w:val="right"/>
              <w:ind w:right="20"/>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104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36"/>
            <w:shd w:val="clear" w:color="auto" w:fill="CCEEFF"/>
          </w:tcPr>
          <w:p>
            <w:pPr>
              <w:ind w:left="680"/>
              <w:spacing w:after="0"/>
              <w:rPr>
                <w:sz w:val="20"/>
                <w:szCs w:val="20"/>
                <w:color w:val="auto"/>
              </w:rPr>
            </w:pPr>
            <w:r>
              <w:rPr>
                <w:rFonts w:ascii="Arial" w:cs="Arial" w:eastAsia="Arial" w:hAnsi="Arial"/>
                <w:sz w:val="18"/>
                <w:szCs w:val="18"/>
                <w:color w:val="auto"/>
              </w:rPr>
              <w:t>7.09 Fundamental Changes, Consolidations, Sales</w:t>
            </w:r>
          </w:p>
        </w:tc>
        <w:tc>
          <w:tcPr>
            <w:tcW w:w="3120" w:type="dxa"/>
            <w:vAlign w:val="bottom"/>
            <w:gridSpan w:val="3"/>
            <w:shd w:val="clear" w:color="auto" w:fill="CCEEFF"/>
          </w:tcPr>
          <w:p>
            <w:pPr>
              <w:jc w:val="right"/>
              <w:ind w:right="20"/>
              <w:spacing w:after="0"/>
              <w:rPr>
                <w:rFonts w:ascii="Arial" w:cs="Arial" w:eastAsia="Arial" w:hAnsi="Arial"/>
                <w:sz w:val="18"/>
                <w:szCs w:val="18"/>
                <w:color w:val="0000FF"/>
              </w:rPr>
            </w:pPr>
            <w:hyperlink w:anchor="page124">
              <w:r>
                <w:rPr>
                  <w:rFonts w:ascii="Arial" w:cs="Arial" w:eastAsia="Arial" w:hAnsi="Arial"/>
                  <w:sz w:val="18"/>
                  <w:szCs w:val="18"/>
                  <w:color w:val="0000FF"/>
                </w:rPr>
                <w:t>106</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7.10 Use of Proceeds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108</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700"/>
              <w:spacing w:after="0" w:line="189" w:lineRule="exact"/>
              <w:rPr>
                <w:sz w:val="20"/>
                <w:szCs w:val="20"/>
                <w:color w:val="auto"/>
              </w:rPr>
            </w:pPr>
            <w:r>
              <w:rPr>
                <w:rFonts w:ascii="Arial" w:cs="Arial" w:eastAsia="Arial" w:hAnsi="Arial"/>
                <w:sz w:val="18"/>
                <w:szCs w:val="18"/>
                <w:color w:val="auto"/>
              </w:rPr>
              <w:t>7.11 Further Assurances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108</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7.12 Transactions with Affiliates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108</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7.13 Employee Benefit Plans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109</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7.14 Environmental Laws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109</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7.15 Business Activities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109</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7.16 Non-Guarantor Domestic Subsidiaries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109</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7.17 Investments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109</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7.18 Burdensome Agreements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9">
              <w:r>
                <w:rPr>
                  <w:rFonts w:ascii="Arial" w:cs="Arial" w:eastAsia="Arial" w:hAnsi="Arial"/>
                  <w:sz w:val="18"/>
                  <w:szCs w:val="18"/>
                  <w:color w:val="0000FF"/>
                </w:rPr>
                <w:t>111</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7.19 Organization Documents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29">
              <w:r>
                <w:rPr>
                  <w:rFonts w:ascii="Arial" w:cs="Arial" w:eastAsia="Arial" w:hAnsi="Arial"/>
                  <w:sz w:val="18"/>
                  <w:szCs w:val="18"/>
                  <w:color w:val="0000FF"/>
                </w:rPr>
                <w:t>111</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7.20 Sanctions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29">
              <w:r>
                <w:rPr>
                  <w:rFonts w:ascii="Arial" w:cs="Arial" w:eastAsia="Arial" w:hAnsi="Arial"/>
                  <w:sz w:val="18"/>
                  <w:szCs w:val="18"/>
                  <w:color w:val="0000FF"/>
                </w:rPr>
                <w:t>112</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7.21 Anti-Corruption Laws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0">
              <w:r>
                <w:rPr>
                  <w:rFonts w:ascii="Arial" w:cs="Arial" w:eastAsia="Arial" w:hAnsi="Arial"/>
                  <w:sz w:val="18"/>
                  <w:szCs w:val="18"/>
                  <w:color w:val="0000FF"/>
                </w:rPr>
                <w:t>112</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20"/>
              <w:spacing w:after="0" w:line="189" w:lineRule="exact"/>
              <w:rPr>
                <w:sz w:val="20"/>
                <w:szCs w:val="20"/>
                <w:color w:val="auto"/>
              </w:rPr>
            </w:pPr>
            <w:r>
              <w:rPr>
                <w:rFonts w:ascii="Arial" w:cs="Arial" w:eastAsia="Arial" w:hAnsi="Arial"/>
                <w:sz w:val="18"/>
                <w:szCs w:val="18"/>
                <w:color w:val="auto"/>
              </w:rPr>
              <w:t>ARTICLE VIII [RESERVED]</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0">
              <w:r>
                <w:rPr>
                  <w:rFonts w:ascii="Arial" w:cs="Arial" w:eastAsia="Arial" w:hAnsi="Arial"/>
                  <w:sz w:val="18"/>
                  <w:szCs w:val="18"/>
                  <w:color w:val="0000FF"/>
                </w:rPr>
                <w:t>112</w:t>
              </w:r>
            </w:hyperlink>
          </w:p>
        </w:tc>
      </w:tr>
      <w:tr>
        <w:trPr>
          <w:trHeight w:val="21"/>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Arial" w:cs="Arial" w:eastAsia="Arial" w:hAnsi="Arial"/>
                <w:sz w:val="18"/>
                <w:szCs w:val="18"/>
                <w:color w:val="auto"/>
              </w:rPr>
              <w:t>ARTICLE IX EVENTS OF DEFAULT AND REMEDIES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0">
              <w:r>
                <w:rPr>
                  <w:rFonts w:ascii="Arial" w:cs="Arial" w:eastAsia="Arial" w:hAnsi="Arial"/>
                  <w:sz w:val="18"/>
                  <w:szCs w:val="18"/>
                  <w:color w:val="0000FF"/>
                </w:rPr>
                <w:t>112</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9.01 Events of Default</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0">
              <w:r>
                <w:rPr>
                  <w:rFonts w:ascii="Arial" w:cs="Arial" w:eastAsia="Arial" w:hAnsi="Arial"/>
                  <w:sz w:val="18"/>
                  <w:szCs w:val="18"/>
                  <w:color w:val="0000FF"/>
                </w:rPr>
                <w:t>112</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80"/>
              <w:spacing w:after="0" w:line="189" w:lineRule="exact"/>
              <w:rPr>
                <w:sz w:val="20"/>
                <w:szCs w:val="20"/>
                <w:color w:val="auto"/>
              </w:rPr>
            </w:pPr>
            <w:r>
              <w:rPr>
                <w:rFonts w:ascii="Arial" w:cs="Arial" w:eastAsia="Arial" w:hAnsi="Arial"/>
                <w:sz w:val="18"/>
                <w:szCs w:val="18"/>
                <w:color w:val="auto"/>
              </w:rPr>
              <w:t>9.02 Remedies Upon Event of Default</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2">
              <w:r>
                <w:rPr>
                  <w:rFonts w:ascii="Arial" w:cs="Arial" w:eastAsia="Arial" w:hAnsi="Arial"/>
                  <w:sz w:val="18"/>
                  <w:szCs w:val="18"/>
                  <w:color w:val="0000FF"/>
                </w:rPr>
                <w:t>114</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80"/>
              <w:spacing w:after="0" w:line="189" w:lineRule="exact"/>
              <w:rPr>
                <w:sz w:val="20"/>
                <w:szCs w:val="20"/>
                <w:color w:val="auto"/>
              </w:rPr>
            </w:pPr>
            <w:r>
              <w:rPr>
                <w:rFonts w:ascii="Arial" w:cs="Arial" w:eastAsia="Arial" w:hAnsi="Arial"/>
                <w:sz w:val="18"/>
                <w:szCs w:val="18"/>
                <w:color w:val="auto"/>
              </w:rPr>
              <w:t>9.03 Application of Funds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3">
              <w:r>
                <w:rPr>
                  <w:rFonts w:ascii="Arial" w:cs="Arial" w:eastAsia="Arial" w:hAnsi="Arial"/>
                  <w:sz w:val="18"/>
                  <w:szCs w:val="18"/>
                  <w:color w:val="0000FF"/>
                </w:rPr>
                <w:t>115</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Arial" w:cs="Arial" w:eastAsia="Arial" w:hAnsi="Arial"/>
                <w:sz w:val="18"/>
                <w:szCs w:val="18"/>
                <w:color w:val="auto"/>
              </w:rPr>
              <w:t>ARTICLE X ADMINISTRATIVE AGENT</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116</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10.01 Appointment and Authority</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116</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10.02 Rights as a Lender</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116</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10.03 Exculpatory Provisions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117</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10.04 Reliance by Administrative Agent</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6">
              <w:r>
                <w:rPr>
                  <w:rFonts w:ascii="Arial" w:cs="Arial" w:eastAsia="Arial" w:hAnsi="Arial"/>
                  <w:sz w:val="18"/>
                  <w:szCs w:val="18"/>
                  <w:color w:val="0000FF"/>
                </w:rPr>
                <w:t>118</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10.05 Delegation of Duties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6">
              <w:r>
                <w:rPr>
                  <w:rFonts w:ascii="Arial" w:cs="Arial" w:eastAsia="Arial" w:hAnsi="Arial"/>
                  <w:sz w:val="18"/>
                  <w:szCs w:val="18"/>
                  <w:color w:val="0000FF"/>
                </w:rPr>
                <w:t>118</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10.06 Resignation of Administrative Agent</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6">
              <w:r>
                <w:rPr>
                  <w:rFonts w:ascii="Arial" w:cs="Arial" w:eastAsia="Arial" w:hAnsi="Arial"/>
                  <w:sz w:val="18"/>
                  <w:szCs w:val="18"/>
                  <w:color w:val="0000FF"/>
                </w:rPr>
                <w:t>118</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10.07 Non-Reliance on Administrative Agent and Other Lenders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8">
              <w:r>
                <w:rPr>
                  <w:rFonts w:ascii="Arial" w:cs="Arial" w:eastAsia="Arial" w:hAnsi="Arial"/>
                  <w:sz w:val="18"/>
                  <w:szCs w:val="18"/>
                  <w:color w:val="0000FF"/>
                </w:rPr>
                <w:t>120</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10.08 No Other Duties; Etc</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8">
              <w:r>
                <w:rPr>
                  <w:rFonts w:ascii="Arial" w:cs="Arial" w:eastAsia="Arial" w:hAnsi="Arial"/>
                  <w:sz w:val="18"/>
                  <w:szCs w:val="18"/>
                  <w:color w:val="0000FF"/>
                </w:rPr>
                <w:t>120</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10.09 Administrative Agent May File Proofs of Claim</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8">
              <w:r>
                <w:rPr>
                  <w:rFonts w:ascii="Arial" w:cs="Arial" w:eastAsia="Arial" w:hAnsi="Arial"/>
                  <w:sz w:val="18"/>
                  <w:szCs w:val="18"/>
                  <w:color w:val="0000FF"/>
                </w:rPr>
                <w:t>120</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10.10 Guaranty Matters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9">
              <w:r>
                <w:rPr>
                  <w:rFonts w:ascii="Arial" w:cs="Arial" w:eastAsia="Arial" w:hAnsi="Arial"/>
                  <w:sz w:val="18"/>
                  <w:szCs w:val="18"/>
                  <w:color w:val="0000FF"/>
                </w:rPr>
                <w:t>121</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10.11 Treasury Management Agreements and Hedge Agreements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9">
              <w:r>
                <w:rPr>
                  <w:rFonts w:ascii="Arial" w:cs="Arial" w:eastAsia="Arial" w:hAnsi="Arial"/>
                  <w:sz w:val="18"/>
                  <w:szCs w:val="18"/>
                  <w:color w:val="0000FF"/>
                </w:rPr>
                <w:t>121</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20"/>
              <w:spacing w:after="0" w:line="189" w:lineRule="exact"/>
              <w:rPr>
                <w:sz w:val="20"/>
                <w:szCs w:val="20"/>
                <w:color w:val="auto"/>
              </w:rPr>
            </w:pPr>
            <w:r>
              <w:rPr>
                <w:rFonts w:ascii="Arial" w:cs="Arial" w:eastAsia="Arial" w:hAnsi="Arial"/>
                <w:sz w:val="18"/>
                <w:szCs w:val="18"/>
                <w:color w:val="auto"/>
              </w:rPr>
              <w:t>ARTICLE XI MISCELLANEOUS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39">
              <w:r>
                <w:rPr>
                  <w:rFonts w:ascii="Arial" w:cs="Arial" w:eastAsia="Arial" w:hAnsi="Arial"/>
                  <w:sz w:val="18"/>
                  <w:szCs w:val="18"/>
                  <w:color w:val="0000FF"/>
                </w:rPr>
                <w:t>121</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11.01 Amendments, Etc</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39">
              <w:r>
                <w:rPr>
                  <w:rFonts w:ascii="Arial" w:cs="Arial" w:eastAsia="Arial" w:hAnsi="Arial"/>
                  <w:sz w:val="18"/>
                  <w:szCs w:val="18"/>
                  <w:color w:val="0000FF"/>
                </w:rPr>
                <w:t>121</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11.02 Notices; Effectiveness; Electronic Communications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41">
              <w:r>
                <w:rPr>
                  <w:rFonts w:ascii="Arial" w:cs="Arial" w:eastAsia="Arial" w:hAnsi="Arial"/>
                  <w:sz w:val="18"/>
                  <w:szCs w:val="18"/>
                  <w:color w:val="0000FF"/>
                </w:rPr>
                <w:t>123</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11.03 No Waiver; Cumulative Remedies; Enforcement</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43">
              <w:r>
                <w:rPr>
                  <w:rFonts w:ascii="Arial" w:cs="Arial" w:eastAsia="Arial" w:hAnsi="Arial"/>
                  <w:sz w:val="18"/>
                  <w:szCs w:val="18"/>
                  <w:color w:val="0000FF"/>
                </w:rPr>
                <w:t>125</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11.04 Expenses; Indemnity; Damage Waiver</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44">
              <w:r>
                <w:rPr>
                  <w:rFonts w:ascii="Arial" w:cs="Arial" w:eastAsia="Arial" w:hAnsi="Arial"/>
                  <w:sz w:val="18"/>
                  <w:szCs w:val="18"/>
                  <w:color w:val="0000FF"/>
                </w:rPr>
                <w:t>126</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11.05 Payments Set Aside</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46">
              <w:r>
                <w:rPr>
                  <w:rFonts w:ascii="Arial" w:cs="Arial" w:eastAsia="Arial" w:hAnsi="Arial"/>
                  <w:sz w:val="18"/>
                  <w:szCs w:val="18"/>
                  <w:color w:val="0000FF"/>
                </w:rPr>
                <w:t>128</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11.06 Successors and Assigns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47">
              <w:r>
                <w:rPr>
                  <w:rFonts w:ascii="Arial" w:cs="Arial" w:eastAsia="Arial" w:hAnsi="Arial"/>
                  <w:sz w:val="18"/>
                  <w:szCs w:val="18"/>
                  <w:color w:val="0000FF"/>
                </w:rPr>
                <w:t>129</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11.07 Confidentiality</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52">
              <w:r>
                <w:rPr>
                  <w:rFonts w:ascii="Arial" w:cs="Arial" w:eastAsia="Arial" w:hAnsi="Arial"/>
                  <w:sz w:val="18"/>
                  <w:szCs w:val="18"/>
                  <w:color w:val="0000FF"/>
                </w:rPr>
                <w:t>134</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11.08 Set-off</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3">
              <w:r>
                <w:rPr>
                  <w:rFonts w:ascii="Arial" w:cs="Arial" w:eastAsia="Arial" w:hAnsi="Arial"/>
                  <w:sz w:val="18"/>
                  <w:szCs w:val="18"/>
                  <w:color w:val="0000FF"/>
                </w:rPr>
                <w:t>135</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00"/>
              <w:spacing w:after="0" w:line="189" w:lineRule="exact"/>
              <w:rPr>
                <w:sz w:val="20"/>
                <w:szCs w:val="20"/>
                <w:color w:val="auto"/>
              </w:rPr>
            </w:pPr>
            <w:r>
              <w:rPr>
                <w:rFonts w:ascii="Arial" w:cs="Arial" w:eastAsia="Arial" w:hAnsi="Arial"/>
                <w:sz w:val="18"/>
                <w:szCs w:val="18"/>
                <w:color w:val="auto"/>
              </w:rPr>
              <w:t>11.09 Interest Rate Limitation</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136</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11.10 Counterparts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136</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120" w:type="dxa"/>
            <w:vAlign w:val="bottom"/>
            <w:gridSpan w:val="36"/>
          </w:tcPr>
          <w:p>
            <w:pPr>
              <w:ind w:left="620"/>
              <w:spacing w:after="0" w:line="189" w:lineRule="exact"/>
              <w:rPr>
                <w:sz w:val="20"/>
                <w:szCs w:val="20"/>
                <w:color w:val="auto"/>
              </w:rPr>
            </w:pPr>
            <w:r>
              <w:rPr>
                <w:rFonts w:ascii="Arial" w:cs="Arial" w:eastAsia="Arial" w:hAnsi="Arial"/>
                <w:sz w:val="18"/>
                <w:szCs w:val="18"/>
                <w:color w:val="auto"/>
              </w:rPr>
              <w:t>11.11 Integration; Effectiveness</w:t>
            </w:r>
          </w:p>
        </w:tc>
        <w:tc>
          <w:tcPr>
            <w:tcW w:w="3120" w:type="dxa"/>
            <w:vAlign w:val="bottom"/>
            <w:gridSpan w:val="3"/>
          </w:tcPr>
          <w:p>
            <w:pPr>
              <w:jc w:val="right"/>
              <w:ind w:right="20"/>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136</w:t>
              </w:r>
            </w:hyperlink>
          </w:p>
        </w:tc>
      </w:tr>
      <w:tr>
        <w:trPr>
          <w:trHeight w:val="21"/>
        </w:trPr>
        <w:tc>
          <w:tcPr>
            <w:tcW w:w="10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120" w:type="dxa"/>
            <w:vAlign w:val="bottom"/>
            <w:gridSpan w:val="36"/>
            <w:shd w:val="clear" w:color="auto" w:fill="CCEEFF"/>
          </w:tcPr>
          <w:p>
            <w:pPr>
              <w:ind w:left="600"/>
              <w:spacing w:after="0" w:line="189" w:lineRule="exact"/>
              <w:rPr>
                <w:sz w:val="20"/>
                <w:szCs w:val="20"/>
                <w:color w:val="auto"/>
              </w:rPr>
            </w:pPr>
            <w:r>
              <w:rPr>
                <w:rFonts w:ascii="Arial" w:cs="Arial" w:eastAsia="Arial" w:hAnsi="Arial"/>
                <w:sz w:val="18"/>
                <w:szCs w:val="18"/>
                <w:color w:val="auto"/>
              </w:rPr>
              <w:t>11.12 Survival of Representations and Warranties</w:t>
            </w:r>
          </w:p>
        </w:tc>
        <w:tc>
          <w:tcPr>
            <w:tcW w:w="312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5">
              <w:r>
                <w:rPr>
                  <w:rFonts w:ascii="Arial" w:cs="Arial" w:eastAsia="Arial" w:hAnsi="Arial"/>
                  <w:sz w:val="18"/>
                  <w:szCs w:val="18"/>
                  <w:color w:val="0000FF"/>
                </w:rPr>
                <w:t>137</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11.13 Severability</w:t>
            </w:r>
          </w:p>
        </w:tc>
        <w:tc>
          <w:tcPr>
            <w:tcW w:w="2640" w:type="dxa"/>
            <w:vAlign w:val="bottom"/>
            <w:gridSpan w:val="3"/>
          </w:tcPr>
          <w:p>
            <w:pPr>
              <w:jc w:val="right"/>
              <w:ind w:right="20"/>
              <w:spacing w:after="0"/>
              <w:rPr>
                <w:rFonts w:ascii="Arial" w:cs="Arial" w:eastAsia="Arial" w:hAnsi="Arial"/>
                <w:sz w:val="18"/>
                <w:szCs w:val="18"/>
                <w:color w:val="0000FF"/>
              </w:rPr>
            </w:pPr>
            <w:hyperlink w:anchor="page155">
              <w:r>
                <w:rPr>
                  <w:rFonts w:ascii="Arial" w:cs="Arial" w:eastAsia="Arial" w:hAnsi="Arial"/>
                  <w:sz w:val="18"/>
                  <w:szCs w:val="18"/>
                  <w:color w:val="0000FF"/>
                </w:rPr>
                <w:t>137</w:t>
              </w:r>
            </w:hyperlink>
          </w:p>
        </w:tc>
      </w:tr>
      <w:tr>
        <w:trPr>
          <w:trHeight w:val="21"/>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11.14 Replacement of Lenders</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5">
              <w:r>
                <w:rPr>
                  <w:rFonts w:ascii="Arial" w:cs="Arial" w:eastAsia="Arial" w:hAnsi="Arial"/>
                  <w:sz w:val="18"/>
                  <w:szCs w:val="18"/>
                  <w:color w:val="0000FF"/>
                </w:rPr>
                <w:t>137</w:t>
              </w:r>
            </w:hyperlink>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auto"/>
              </w:rPr>
              <w:t>11.15 Governing Law</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56">
              <w:r>
                <w:rPr>
                  <w:rFonts w:ascii="Arial" w:cs="Arial" w:eastAsia="Arial" w:hAnsi="Arial"/>
                  <w:sz w:val="18"/>
                  <w:szCs w:val="18"/>
                  <w:color w:val="0000FF"/>
                </w:rPr>
                <w:t>138</w:t>
              </w:r>
            </w:hyperlink>
          </w:p>
        </w:tc>
      </w:tr>
      <w:tr>
        <w:trPr>
          <w:trHeight w:val="21"/>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11.16 Waiver of Right to Trial by Jury</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6">
              <w:r>
                <w:rPr>
                  <w:rFonts w:ascii="Arial" w:cs="Arial" w:eastAsia="Arial" w:hAnsi="Arial"/>
                  <w:sz w:val="18"/>
                  <w:szCs w:val="18"/>
                  <w:color w:val="0000FF"/>
                </w:rPr>
                <w:t>139</w:t>
              </w:r>
            </w:hyperlink>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auto"/>
              </w:rPr>
              <w:t>11.17 USA PATRIOT Act Notice</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57">
              <w:r>
                <w:rPr>
                  <w:rFonts w:ascii="Arial" w:cs="Arial" w:eastAsia="Arial" w:hAnsi="Arial"/>
                  <w:sz w:val="18"/>
                  <w:szCs w:val="18"/>
                  <w:color w:val="0000FF"/>
                </w:rPr>
                <w:t>139</w:t>
              </w:r>
            </w:hyperlink>
          </w:p>
        </w:tc>
      </w:tr>
      <w:tr>
        <w:trPr>
          <w:trHeight w:val="20"/>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11.18 Judgment Currency</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7">
              <w:r>
                <w:rPr>
                  <w:rFonts w:ascii="Arial" w:cs="Arial" w:eastAsia="Arial" w:hAnsi="Arial"/>
                  <w:sz w:val="18"/>
                  <w:szCs w:val="18"/>
                  <w:color w:val="0000FF"/>
                </w:rPr>
                <w:t>139</w:t>
              </w:r>
            </w:hyperlink>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auto"/>
              </w:rPr>
              <w:t>11.19 Concerning Joint and Several Liability of the Domestic Borrowers</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57">
              <w:r>
                <w:rPr>
                  <w:rFonts w:ascii="Arial" w:cs="Arial" w:eastAsia="Arial" w:hAnsi="Arial"/>
                  <w:sz w:val="18"/>
                  <w:szCs w:val="18"/>
                  <w:color w:val="0000FF"/>
                </w:rPr>
                <w:t>140</w:t>
              </w:r>
            </w:hyperlink>
          </w:p>
        </w:tc>
      </w:tr>
      <w:tr>
        <w:trPr>
          <w:trHeight w:val="20"/>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11.20 Subordination of Intercompany Debt</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59">
              <w:r>
                <w:rPr>
                  <w:rFonts w:ascii="Arial" w:cs="Arial" w:eastAsia="Arial" w:hAnsi="Arial"/>
                  <w:sz w:val="18"/>
                  <w:szCs w:val="18"/>
                  <w:color w:val="0000FF"/>
                </w:rPr>
                <w:t>141</w:t>
              </w:r>
            </w:hyperlink>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auto"/>
              </w:rPr>
              <w:t>11.21 No Advisory or Fiduciary Responsibility</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59">
              <w:r>
                <w:rPr>
                  <w:rFonts w:ascii="Arial" w:cs="Arial" w:eastAsia="Arial" w:hAnsi="Arial"/>
                  <w:sz w:val="18"/>
                  <w:szCs w:val="18"/>
                  <w:color w:val="0000FF"/>
                </w:rPr>
                <w:t>142</w:t>
              </w:r>
            </w:hyperlink>
          </w:p>
        </w:tc>
      </w:tr>
      <w:tr>
        <w:trPr>
          <w:trHeight w:val="21"/>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11.22 Electronic Execution of Assignments and Certain Other Documents</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60">
              <w:r>
                <w:rPr>
                  <w:rFonts w:ascii="Arial" w:cs="Arial" w:eastAsia="Arial" w:hAnsi="Arial"/>
                  <w:sz w:val="18"/>
                  <w:szCs w:val="18"/>
                  <w:color w:val="0000FF"/>
                </w:rPr>
                <w:t>142</w:t>
              </w:r>
            </w:hyperlink>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auto"/>
              </w:rPr>
              <w:t>11.23 Acknowledgement and Consent to Bail-In of EEA Financial Institutions</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60">
              <w:r>
                <w:rPr>
                  <w:rFonts w:ascii="Arial" w:cs="Arial" w:eastAsia="Arial" w:hAnsi="Arial"/>
                  <w:sz w:val="18"/>
                  <w:szCs w:val="18"/>
                  <w:color w:val="0000FF"/>
                </w:rPr>
                <w:t>142</w:t>
              </w:r>
            </w:hyperlink>
          </w:p>
        </w:tc>
      </w:tr>
      <w:tr>
        <w:trPr>
          <w:trHeight w:val="21"/>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80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auto"/>
              </w:rPr>
              <w:t>11.24 Acknowledgement Regarding Any Supported QFCs</w:t>
            </w:r>
          </w:p>
        </w:tc>
        <w:tc>
          <w:tcPr>
            <w:tcW w:w="26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161">
              <w:r>
                <w:rPr>
                  <w:rFonts w:ascii="Arial" w:cs="Arial" w:eastAsia="Arial" w:hAnsi="Arial"/>
                  <w:sz w:val="18"/>
                  <w:szCs w:val="18"/>
                  <w:color w:val="0000FF"/>
                </w:rPr>
                <w:t>143</w:t>
              </w:r>
            </w:hyperlink>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000" w:type="dxa"/>
            <w:vAlign w:val="bottom"/>
            <w:gridSpan w:val="16"/>
          </w:tcPr>
          <w:p>
            <w:pPr>
              <w:spacing w:after="0" w:line="189" w:lineRule="exact"/>
              <w:rPr>
                <w:sz w:val="20"/>
                <w:szCs w:val="20"/>
                <w:color w:val="auto"/>
              </w:rPr>
            </w:pPr>
            <w:r>
              <w:rPr>
                <w:rFonts w:ascii="Arial" w:cs="Arial" w:eastAsia="Arial" w:hAnsi="Arial"/>
                <w:sz w:val="18"/>
                <w:szCs w:val="18"/>
                <w:color w:val="0000FF"/>
              </w:rPr>
              <w:t>11.</w:t>
            </w:r>
            <w:r>
              <w:rPr>
                <w:rFonts w:ascii="Arial" w:cs="Arial" w:eastAsia="Arial" w:hAnsi="Arial"/>
                <w:sz w:val="18"/>
                <w:szCs w:val="18"/>
                <w:u w:val="single" w:color="auto"/>
                <w:color w:val="0000FF"/>
              </w:rPr>
              <w:t>25</w:t>
            </w:r>
            <w:r>
              <w:rPr>
                <w:rFonts w:ascii="Arial" w:cs="Arial" w:eastAsia="Arial" w:hAnsi="Arial"/>
                <w:sz w:val="18"/>
                <w:szCs w:val="18"/>
                <w:color w:val="0000FF"/>
              </w:rPr>
              <w:t xml:space="preserve"> Erroneous Payments</w:t>
            </w:r>
          </w:p>
        </w:tc>
        <w:tc>
          <w:tcPr>
            <w:tcW w:w="2640" w:type="dxa"/>
            <w:vAlign w:val="bottom"/>
            <w:gridSpan w:val="3"/>
          </w:tcPr>
          <w:p>
            <w:pPr>
              <w:jc w:val="right"/>
              <w:ind w:right="20"/>
              <w:spacing w:after="0" w:line="189" w:lineRule="exact"/>
              <w:rPr>
                <w:rFonts w:ascii="Arial" w:cs="Arial" w:eastAsia="Arial" w:hAnsi="Arial"/>
                <w:sz w:val="18"/>
                <w:szCs w:val="18"/>
                <w:color w:val="0000FF"/>
              </w:rPr>
            </w:pPr>
            <w:hyperlink w:anchor="page162">
              <w:r>
                <w:rPr>
                  <w:rFonts w:ascii="Arial" w:cs="Arial" w:eastAsia="Arial" w:hAnsi="Arial"/>
                  <w:sz w:val="18"/>
                  <w:szCs w:val="18"/>
                  <w:color w:val="0000FF"/>
                </w:rPr>
                <w:t>144</w:t>
              </w:r>
            </w:hyperlink>
          </w:p>
        </w:tc>
      </w:tr>
      <w:tr>
        <w:trPr>
          <w:trHeight w:val="20"/>
        </w:trPr>
        <w:tc>
          <w:tcPr>
            <w:tcW w:w="6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440" w:type="dxa"/>
            <w:vAlign w:val="bottom"/>
            <w:gridSpan w:val="4"/>
          </w:tcPr>
          <w:p>
            <w:pPr>
              <w:ind w:left="20"/>
              <w:spacing w:after="0"/>
              <w:rPr>
                <w:sz w:val="20"/>
                <w:szCs w:val="20"/>
                <w:color w:val="auto"/>
              </w:rPr>
            </w:pPr>
            <w:r>
              <w:rPr>
                <w:rFonts w:ascii="Arial" w:cs="Arial" w:eastAsia="Arial" w:hAnsi="Arial"/>
                <w:sz w:val="18"/>
                <w:szCs w:val="18"/>
                <w:color w:val="auto"/>
              </w:rPr>
              <w:t>SCHEDULES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Existing Letters of Credit</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Commitments and Pro Rata Shares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6.08</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Subsidiaries</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rPr>
              <w:t>7.07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Debt Existing on the Closing Date</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7.08</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Liens Existing on the Closing Date</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7.17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Investments Existing on the Closing Date</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7.18</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Burdensome Agreements Existing on the Closing Date</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11.02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Certain Addresses for Notices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440" w:type="dxa"/>
            <w:vAlign w:val="bottom"/>
            <w:gridSpan w:val="4"/>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1440" w:type="dxa"/>
            <w:vAlign w:val="bottom"/>
            <w:gridSpan w:val="4"/>
          </w:tcPr>
          <w:p>
            <w:pPr>
              <w:ind w:left="20"/>
              <w:spacing w:after="0"/>
              <w:rPr>
                <w:sz w:val="20"/>
                <w:szCs w:val="20"/>
                <w:color w:val="auto"/>
              </w:rPr>
            </w:pPr>
            <w:r>
              <w:rPr>
                <w:rFonts w:ascii="Arial" w:cs="Arial" w:eastAsia="Arial" w:hAnsi="Arial"/>
                <w:sz w:val="18"/>
                <w:szCs w:val="18"/>
                <w:color w:val="auto"/>
              </w:rPr>
              <w:t>EXHIBITS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Form of Loan Notice</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Form of Swing Line Loan Notice</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Form of Note</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440" w:type="dxa"/>
            <w:vAlign w:val="bottom"/>
            <w:gridSpan w:val="4"/>
          </w:tcPr>
          <w:p>
            <w:pPr>
              <w:ind w:left="20"/>
              <w:spacing w:after="0"/>
              <w:rPr>
                <w:sz w:val="20"/>
                <w:szCs w:val="20"/>
                <w:color w:val="auto"/>
              </w:rPr>
            </w:pPr>
            <w:r>
              <w:rPr>
                <w:rFonts w:ascii="Arial" w:cs="Arial" w:eastAsia="Arial" w:hAnsi="Arial"/>
                <w:sz w:val="18"/>
                <w:szCs w:val="18"/>
                <w:color w:val="auto"/>
              </w:rPr>
              <w:t>2.14(a)</w:t>
            </w: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Form of Designated Borrower Request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2.14(b)</w:t>
            </w: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Form of Designated Borrower Joinder Agreement</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Forms of U.S. Tax Compliance Certificates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7.01</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Form of Compliance Certificate</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Form of Joinder Agreement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11.06(b)</w:t>
            </w:r>
          </w:p>
        </w:tc>
        <w:tc>
          <w:tcPr>
            <w:tcW w:w="7160" w:type="dxa"/>
            <w:vAlign w:val="bottom"/>
            <w:gridSpan w:val="13"/>
            <w:shd w:val="clear" w:color="auto" w:fill="CCEEFF"/>
          </w:tcPr>
          <w:p>
            <w:pPr>
              <w:ind w:left="360"/>
              <w:spacing w:after="0"/>
              <w:rPr>
                <w:sz w:val="20"/>
                <w:szCs w:val="20"/>
                <w:color w:val="auto"/>
              </w:rPr>
            </w:pPr>
            <w:r>
              <w:rPr>
                <w:rFonts w:ascii="Arial" w:cs="Arial" w:eastAsia="Arial" w:hAnsi="Arial"/>
                <w:sz w:val="18"/>
                <w:szCs w:val="18"/>
                <w:color w:val="auto"/>
              </w:rPr>
              <w:t>Form of Assignment and Assumption</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1440" w:type="dxa"/>
            <w:vAlign w:val="bottom"/>
            <w:gridSpan w:val="4"/>
          </w:tcPr>
          <w:p>
            <w:pPr>
              <w:ind w:left="20"/>
              <w:spacing w:after="0"/>
              <w:rPr>
                <w:sz w:val="20"/>
                <w:szCs w:val="20"/>
                <w:color w:val="auto"/>
              </w:rPr>
            </w:pPr>
            <w:r>
              <w:rPr>
                <w:rFonts w:ascii="Arial" w:cs="Arial" w:eastAsia="Arial" w:hAnsi="Arial"/>
                <w:sz w:val="18"/>
                <w:szCs w:val="18"/>
                <w:color w:val="auto"/>
              </w:rPr>
              <w:t>11.06(b)(iv)</w:t>
            </w:r>
          </w:p>
        </w:tc>
        <w:tc>
          <w:tcPr>
            <w:tcW w:w="7160" w:type="dxa"/>
            <w:vAlign w:val="bottom"/>
            <w:gridSpan w:val="13"/>
          </w:tcPr>
          <w:p>
            <w:pPr>
              <w:ind w:left="360"/>
              <w:spacing w:after="0"/>
              <w:rPr>
                <w:sz w:val="20"/>
                <w:szCs w:val="20"/>
                <w:color w:val="auto"/>
              </w:rPr>
            </w:pPr>
            <w:r>
              <w:rPr>
                <w:rFonts w:ascii="Arial" w:cs="Arial" w:eastAsia="Arial" w:hAnsi="Arial"/>
                <w:sz w:val="18"/>
                <w:szCs w:val="18"/>
                <w:color w:val="auto"/>
              </w:rPr>
              <w:t>Form of Administrative Questionnaire</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CREDIT AGREEMENT is entered into as of August 1, 2019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certain Subsidiaries of the Company party hereto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BMO HARRIS BANK N.A., as Administrative Agent, Swing Line Lender and L/C Issuer, and BANK OF AMERICA, N.A., as L/C Issuer.</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has requested that the Lenders provide a $200,000,000 senior credit facility for the purposes set forth herein, and the Lenders are willing to do so on the terms and conditions set forth herein.</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In consideration of the mutual covenants and agreements herein contained, the parties hereto covenant and agree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or a Subsidiary is the surviving entity.</w:t>
      </w:r>
    </w:p>
    <w:p>
      <w:pPr>
        <w:spacing w:after="0" w:line="19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u w:val="single" w:color="auto"/>
          <w:color w:val="0000FF"/>
        </w:rPr>
        <w:t>“Adjusted EURIBO Rate” means, with respect to any Eurocurrency Borrowing denominated in euro for any Interest Period, an interest rate per annum equal to (i) the EURIBO Rate for such Interest Period multiplied by (ii) the Statutory Reserve Rate.</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0000FF"/>
        </w:rPr>
        <w:t>“Adjusted LIBO Rate” means, with respect to any Eurocurrency Borrowing denominated in Dollars for any Interest Period, an interest rate per annum equal to (i) the LIBO Rate for such Interest Period multiplied by (ii) the Statutory Reserve Rate.</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0000FF"/>
        </w:rPr>
        <w:t>“Adjusted TIBO Rate” means, with respect to any Eurocurrency Borrowing denominated in Japanese Yen for any Interest Period, an interest rate per annum equal to (a) the TIBO Rate for such Interest Period multiplied by (b) the Statutory Reserve Rate.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BMO,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9"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20"/>
          <w:szCs w:val="20"/>
          <w:color w:val="auto"/>
        </w:rPr>
        <w:t>other address or account with respect to such currency as the Administrative Agent may from time to time notify to the Company and the Lenders.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11.06(b)(iv)</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“Affected Financial Institution” means (a) any EEA Financial Institution or (b) any UK Financial Institution.</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of any Person means any other Person which, directly or indirectly, controls or is controlled by or is under common control with such Person.</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aggregate principal amount of the Aggregate Revolving Commitments in effect on the Closing Date is TWO HUNDRED MILLION DOLLARS ($200,000,000).</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“Agreed Currencies” means Dollars or an Alternative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 as amended, restated, modified, supplemented and extended from time to time.</w:t>
      </w:r>
    </w:p>
    <w:p>
      <w:pPr>
        <w:spacing w:after="0" w:line="227"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Australian Dollars, Japanese Yen, Canadian Dollars and each other currency (other than Dollars) that is approved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91"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Arial" w:cs="Arial" w:eastAsia="Arial" w:hAnsi="Arial"/>
          <w:sz w:val="20"/>
          <w:szCs w:val="20"/>
          <w:u w:val="single" w:color="auto"/>
          <w:color w:val="auto"/>
        </w:rPr>
        <w:t>Section 7.01(c)</w:t>
      </w:r>
      <w:r>
        <w:rPr>
          <w:rFonts w:ascii="Arial" w:cs="Arial" w:eastAsia="Arial" w:hAnsi="Arial"/>
          <w:sz w:val="20"/>
          <w:szCs w:val="20"/>
          <w:color w:val="auto"/>
        </w:rPr>
        <w: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4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2"/>
              </w:rPr>
              <w:t>Pricing Level</w:t>
            </w:r>
          </w:p>
        </w:tc>
        <w:tc>
          <w:tcPr>
            <w:tcW w:w="560" w:type="dxa"/>
            <w:vAlign w:val="bottom"/>
            <w:tcBorders>
              <w:top w:val="single" w:sz="8" w:color="00000A"/>
            </w:tcBorders>
          </w:tcPr>
          <w:p>
            <w:pPr>
              <w:spacing w:after="0"/>
              <w:rPr>
                <w:sz w:val="19"/>
                <w:szCs w:val="19"/>
                <w:color w:val="auto"/>
              </w:rPr>
            </w:pPr>
          </w:p>
        </w:tc>
        <w:tc>
          <w:tcPr>
            <w:tcW w:w="100" w:type="dxa"/>
            <w:vAlign w:val="bottom"/>
            <w:tcBorders>
              <w:top w:val="single" w:sz="8" w:color="00000A"/>
            </w:tcBorders>
          </w:tcPr>
          <w:p>
            <w:pPr>
              <w:spacing w:after="0"/>
              <w:rPr>
                <w:sz w:val="19"/>
                <w:szCs w:val="19"/>
                <w:color w:val="auto"/>
              </w:rPr>
            </w:pPr>
          </w:p>
        </w:tc>
        <w:tc>
          <w:tcPr>
            <w:tcW w:w="2340" w:type="dxa"/>
            <w:vAlign w:val="bottom"/>
            <w:tcBorders>
              <w:top w:val="single" w:sz="8" w:color="00000A"/>
              <w:right w:val="single" w:sz="8" w:color="00000A"/>
            </w:tcBorders>
            <w:gridSpan w:val="3"/>
          </w:tcPr>
          <w:p>
            <w:pPr>
              <w:ind w:left="280"/>
              <w:spacing w:after="0"/>
              <w:rPr>
                <w:sz w:val="20"/>
                <w:szCs w:val="20"/>
                <w:color w:val="auto"/>
              </w:rPr>
            </w:pPr>
            <w:r>
              <w:rPr>
                <w:rFonts w:ascii="Arial" w:cs="Arial" w:eastAsia="Arial" w:hAnsi="Arial"/>
                <w:sz w:val="20"/>
                <w:szCs w:val="20"/>
                <w:color w:val="auto"/>
              </w:rPr>
              <w:t>Consolidated</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89"/>
              </w:rPr>
              <w:t>Commitment Fee</w:t>
            </w:r>
          </w:p>
        </w:tc>
        <w:tc>
          <w:tcPr>
            <w:tcW w:w="17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3"/>
              </w:rPr>
              <w:t>Letters of Credit*</w:t>
            </w:r>
          </w:p>
        </w:tc>
        <w:tc>
          <w:tcPr>
            <w:tcW w:w="1860" w:type="dxa"/>
            <w:vAlign w:val="bottom"/>
            <w:tcBorders>
              <w:top w:val="single" w:sz="8" w:color="00000A"/>
              <w:right w:val="single" w:sz="8" w:color="00000A"/>
            </w:tcBorders>
            <w:gridSpan w:val="5"/>
          </w:tcPr>
          <w:p>
            <w:pPr>
              <w:jc w:val="center"/>
              <w:ind w:right="20"/>
              <w:spacing w:after="0"/>
              <w:rPr>
                <w:sz w:val="20"/>
                <w:szCs w:val="20"/>
                <w:color w:val="auto"/>
              </w:rPr>
            </w:pPr>
            <w:r>
              <w:rPr>
                <w:rFonts w:ascii="Arial" w:cs="Arial" w:eastAsia="Arial" w:hAnsi="Arial"/>
                <w:sz w:val="20"/>
                <w:szCs w:val="20"/>
                <w:color w:val="auto"/>
                <w:w w:val="88"/>
              </w:rPr>
              <w:t>Eurocurrency Rate</w:t>
            </w:r>
          </w:p>
        </w:tc>
        <w:tc>
          <w:tcPr>
            <w:tcW w:w="14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5"/>
              </w:rPr>
              <w:t>Base Rate</w:t>
            </w:r>
          </w:p>
        </w:tc>
        <w:tc>
          <w:tcPr>
            <w:tcW w:w="0" w:type="dxa"/>
            <w:vAlign w:val="bottom"/>
          </w:tcPr>
          <w:p>
            <w:pPr>
              <w:spacing w:after="0"/>
              <w:rPr>
                <w:sz w:val="1"/>
                <w:szCs w:val="1"/>
                <w:color w:val="auto"/>
              </w:rPr>
            </w:pPr>
          </w:p>
        </w:tc>
      </w:tr>
      <w:tr>
        <w:trPr>
          <w:trHeight w:val="153"/>
        </w:trPr>
        <w:tc>
          <w:tcPr>
            <w:tcW w:w="1340" w:type="dxa"/>
            <w:vAlign w:val="bottom"/>
            <w:tcBorders>
              <w:left w:val="single" w:sz="8" w:color="00000A"/>
              <w:right w:val="single" w:sz="8" w:color="00000A"/>
            </w:tcBorders>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right w:val="single" w:sz="8" w:color="00000A"/>
            </w:tcBorders>
            <w:gridSpan w:val="3"/>
            <w:vMerge w:val="restart"/>
          </w:tcPr>
          <w:p>
            <w:pPr>
              <w:jc w:val="center"/>
              <w:ind w:right="680"/>
              <w:spacing w:after="0" w:line="216" w:lineRule="exact"/>
              <w:rPr>
                <w:sz w:val="20"/>
                <w:szCs w:val="20"/>
                <w:color w:val="auto"/>
              </w:rPr>
            </w:pPr>
            <w:r>
              <w:rPr>
                <w:rFonts w:ascii="Arial" w:cs="Arial" w:eastAsia="Arial" w:hAnsi="Arial"/>
                <w:sz w:val="20"/>
                <w:szCs w:val="20"/>
                <w:color w:val="auto"/>
                <w:w w:val="89"/>
              </w:rPr>
              <w:t>Net Leverage Ratio</w:t>
            </w:r>
          </w:p>
        </w:tc>
        <w:tc>
          <w:tcPr>
            <w:tcW w:w="1880" w:type="dxa"/>
            <w:vAlign w:val="bottom"/>
            <w:tcBorders>
              <w:right w:val="single" w:sz="8" w:color="00000A"/>
            </w:tcBorders>
            <w:vMerge w:val="continue"/>
          </w:tcPr>
          <w:p>
            <w:pPr>
              <w:spacing w:after="0"/>
              <w:rPr>
                <w:sz w:val="13"/>
                <w:szCs w:val="13"/>
                <w:color w:val="auto"/>
              </w:rPr>
            </w:pPr>
          </w:p>
        </w:tc>
        <w:tc>
          <w:tcPr>
            <w:tcW w:w="1720" w:type="dxa"/>
            <w:vAlign w:val="bottom"/>
            <w:tcBorders>
              <w:right w:val="single" w:sz="8" w:color="00000A"/>
            </w:tcBorders>
            <w:vMerge w:val="continue"/>
          </w:tcPr>
          <w:p>
            <w:pPr>
              <w:spacing w:after="0"/>
              <w:rPr>
                <w:sz w:val="13"/>
                <w:szCs w:val="13"/>
                <w:color w:val="auto"/>
              </w:rPr>
            </w:pPr>
          </w:p>
        </w:tc>
        <w:tc>
          <w:tcPr>
            <w:tcW w:w="1860" w:type="dxa"/>
            <w:vAlign w:val="bottom"/>
            <w:tcBorders>
              <w:right w:val="single" w:sz="8" w:color="00000A"/>
            </w:tcBorders>
            <w:gridSpan w:val="5"/>
            <w:vMerge w:val="restart"/>
          </w:tcPr>
          <w:p>
            <w:pPr>
              <w:jc w:val="center"/>
              <w:ind w:right="20"/>
              <w:spacing w:after="0" w:line="216" w:lineRule="exact"/>
              <w:rPr>
                <w:sz w:val="20"/>
                <w:szCs w:val="20"/>
                <w:color w:val="auto"/>
              </w:rPr>
            </w:pPr>
            <w:r>
              <w:rPr>
                <w:rFonts w:ascii="Arial" w:cs="Arial" w:eastAsia="Arial" w:hAnsi="Arial"/>
                <w:sz w:val="20"/>
                <w:szCs w:val="20"/>
                <w:color w:val="auto"/>
                <w:w w:val="88"/>
              </w:rPr>
              <w:t>Loans</w:t>
            </w:r>
            <w:r>
              <w:rPr>
                <w:rFonts w:ascii="Arial" w:cs="Arial" w:eastAsia="Arial" w:hAnsi="Arial"/>
                <w:sz w:val="20"/>
                <w:szCs w:val="20"/>
                <w:u w:val="single" w:color="auto"/>
                <w:color w:val="0000FF"/>
                <w:w w:val="88"/>
              </w:rPr>
              <w:t>,</w:t>
            </w:r>
            <w:r>
              <w:rPr>
                <w:rFonts w:ascii="Arial" w:cs="Arial" w:eastAsia="Arial" w:hAnsi="Arial"/>
                <w:sz w:val="20"/>
                <w:szCs w:val="20"/>
                <w:color w:val="auto"/>
                <w:w w:val="88"/>
              </w:rPr>
              <w:t xml:space="preserve"> </w:t>
            </w:r>
            <w:r>
              <w:rPr>
                <w:rFonts w:ascii="Arial" w:cs="Arial" w:eastAsia="Arial" w:hAnsi="Arial"/>
                <w:sz w:val="20"/>
                <w:szCs w:val="20"/>
                <w:color w:val="0000FF"/>
                <w:w w:val="88"/>
              </w:rPr>
              <w:t>RFR Loans</w:t>
            </w:r>
          </w:p>
        </w:tc>
        <w:tc>
          <w:tcPr>
            <w:tcW w:w="1460" w:type="dxa"/>
            <w:vAlign w:val="bottom"/>
            <w:tcBorders>
              <w:right w:val="single" w:sz="8" w:color="00000A"/>
            </w:tcBorders>
            <w:vMerge w:val="restart"/>
          </w:tcPr>
          <w:p>
            <w:pPr>
              <w:jc w:val="center"/>
              <w:spacing w:after="0" w:line="216" w:lineRule="exact"/>
              <w:rPr>
                <w:sz w:val="20"/>
                <w:szCs w:val="20"/>
                <w:color w:val="auto"/>
              </w:rPr>
            </w:pPr>
            <w:r>
              <w:rPr>
                <w:rFonts w:ascii="Arial" w:cs="Arial" w:eastAsia="Arial" w:hAnsi="Arial"/>
                <w:sz w:val="20"/>
                <w:szCs w:val="20"/>
                <w:color w:val="auto"/>
                <w:w w:val="88"/>
              </w:rPr>
              <w:t>Loans</w:t>
            </w:r>
          </w:p>
        </w:tc>
        <w:tc>
          <w:tcPr>
            <w:tcW w:w="0" w:type="dxa"/>
            <w:vAlign w:val="bottom"/>
          </w:tcPr>
          <w:p>
            <w:pPr>
              <w:spacing w:after="0"/>
              <w:rPr>
                <w:sz w:val="1"/>
                <w:szCs w:val="1"/>
                <w:color w:val="auto"/>
              </w:rPr>
            </w:pPr>
          </w:p>
        </w:tc>
      </w:tr>
      <w:tr>
        <w:trPr>
          <w:trHeight w:val="63"/>
        </w:trPr>
        <w:tc>
          <w:tcPr>
            <w:tcW w:w="1340" w:type="dxa"/>
            <w:vAlign w:val="bottom"/>
            <w:tcBorders>
              <w:left w:val="single" w:sz="8" w:color="00000A"/>
              <w:right w:val="single" w:sz="8" w:color="00000A"/>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tcBorders>
              <w:right w:val="single" w:sz="8" w:color="00000A"/>
            </w:tcBorders>
            <w:gridSpan w:val="3"/>
            <w:vMerge w:val="continue"/>
          </w:tcPr>
          <w:p>
            <w:pPr>
              <w:spacing w:after="0"/>
              <w:rPr>
                <w:sz w:val="5"/>
                <w:szCs w:val="5"/>
                <w:color w:val="auto"/>
              </w:rPr>
            </w:pPr>
          </w:p>
        </w:tc>
        <w:tc>
          <w:tcPr>
            <w:tcW w:w="1880" w:type="dxa"/>
            <w:vAlign w:val="bottom"/>
            <w:tcBorders>
              <w:right w:val="single" w:sz="8" w:color="00000A"/>
            </w:tcBorders>
          </w:tcPr>
          <w:p>
            <w:pPr>
              <w:spacing w:after="0"/>
              <w:rPr>
                <w:sz w:val="5"/>
                <w:szCs w:val="5"/>
                <w:color w:val="auto"/>
              </w:rPr>
            </w:pPr>
          </w:p>
        </w:tc>
        <w:tc>
          <w:tcPr>
            <w:tcW w:w="1720" w:type="dxa"/>
            <w:vAlign w:val="bottom"/>
            <w:tcBorders>
              <w:right w:val="single" w:sz="8" w:color="00000A"/>
            </w:tcBorders>
          </w:tcPr>
          <w:p>
            <w:pPr>
              <w:spacing w:after="0"/>
              <w:rPr>
                <w:sz w:val="5"/>
                <w:szCs w:val="5"/>
                <w:color w:val="auto"/>
              </w:rPr>
            </w:pPr>
          </w:p>
        </w:tc>
        <w:tc>
          <w:tcPr>
            <w:tcW w:w="1860" w:type="dxa"/>
            <w:vAlign w:val="bottom"/>
            <w:tcBorders>
              <w:right w:val="single" w:sz="8" w:color="00000A"/>
            </w:tcBorders>
            <w:gridSpan w:val="5"/>
            <w:vMerge w:val="continue"/>
          </w:tcPr>
          <w:p>
            <w:pPr>
              <w:spacing w:after="0"/>
              <w:rPr>
                <w:sz w:val="5"/>
                <w:szCs w:val="5"/>
                <w:color w:val="auto"/>
              </w:rPr>
            </w:pPr>
          </w:p>
        </w:tc>
        <w:tc>
          <w:tcPr>
            <w:tcW w:w="1460" w:type="dxa"/>
            <w:vAlign w:val="bottom"/>
            <w:tcBorders>
              <w:right w:val="single" w:sz="8" w:color="00000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40" w:type="dxa"/>
            <w:vAlign w:val="bottom"/>
            <w:tcBorders>
              <w:left w:val="single" w:sz="8" w:color="00000A"/>
              <w:right w:val="single" w:sz="8" w:color="00000A"/>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right w:val="single" w:sz="8" w:color="00000A"/>
            </w:tcBorders>
          </w:tcPr>
          <w:p>
            <w:pPr>
              <w:spacing w:after="0" w:line="20" w:lineRule="exact"/>
              <w:rPr>
                <w:sz w:val="1"/>
                <w:szCs w:val="1"/>
                <w:color w:val="auto"/>
              </w:rPr>
            </w:pPr>
          </w:p>
        </w:tc>
        <w:tc>
          <w:tcPr>
            <w:tcW w:w="1880" w:type="dxa"/>
            <w:vAlign w:val="bottom"/>
            <w:tcBorders>
              <w:right w:val="single" w:sz="8" w:color="00000A"/>
            </w:tcBorders>
          </w:tcPr>
          <w:p>
            <w:pPr>
              <w:spacing w:after="0" w:line="20" w:lineRule="exact"/>
              <w:rPr>
                <w:sz w:val="1"/>
                <w:szCs w:val="1"/>
                <w:color w:val="auto"/>
              </w:rPr>
            </w:pPr>
          </w:p>
        </w:tc>
        <w:tc>
          <w:tcPr>
            <w:tcW w:w="1720" w:type="dxa"/>
            <w:vAlign w:val="bottom"/>
            <w:tcBorders>
              <w:right w:val="single" w:sz="8" w:color="00000A"/>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0A"/>
            </w:tcBorders>
          </w:tcPr>
          <w:p>
            <w:pPr>
              <w:spacing w:after="0" w:line="20" w:lineRule="exact"/>
              <w:rPr>
                <w:sz w:val="1"/>
                <w:szCs w:val="1"/>
                <w:color w:val="auto"/>
              </w:rPr>
            </w:pPr>
          </w:p>
        </w:tc>
        <w:tc>
          <w:tcPr>
            <w:tcW w:w="14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left w:val="single" w:sz="8" w:color="00000A"/>
              <w:right w:val="single" w:sz="8" w:color="00000A"/>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right w:val="single" w:sz="8" w:color="00000A"/>
            </w:tcBorders>
          </w:tcPr>
          <w:p>
            <w:pPr>
              <w:spacing w:after="0"/>
              <w:rPr>
                <w:sz w:val="17"/>
                <w:szCs w:val="17"/>
                <w:color w:val="auto"/>
              </w:rPr>
            </w:pPr>
          </w:p>
        </w:tc>
        <w:tc>
          <w:tcPr>
            <w:tcW w:w="1880" w:type="dxa"/>
            <w:vAlign w:val="bottom"/>
            <w:tcBorders>
              <w:right w:val="single" w:sz="8" w:color="00000A"/>
            </w:tcBorders>
          </w:tcPr>
          <w:p>
            <w:pPr>
              <w:spacing w:after="0"/>
              <w:rPr>
                <w:sz w:val="17"/>
                <w:szCs w:val="17"/>
                <w:color w:val="auto"/>
              </w:rPr>
            </w:pPr>
          </w:p>
        </w:tc>
        <w:tc>
          <w:tcPr>
            <w:tcW w:w="1720" w:type="dxa"/>
            <w:vAlign w:val="bottom"/>
            <w:tcBorders>
              <w:right w:val="single" w:sz="8" w:color="00000A"/>
            </w:tcBorders>
          </w:tcPr>
          <w:p>
            <w:pPr>
              <w:spacing w:after="0"/>
              <w:rPr>
                <w:sz w:val="17"/>
                <w:szCs w:val="17"/>
                <w:color w:val="auto"/>
              </w:rPr>
            </w:pPr>
          </w:p>
        </w:tc>
        <w:tc>
          <w:tcPr>
            <w:tcW w:w="1660" w:type="dxa"/>
            <w:vAlign w:val="bottom"/>
            <w:gridSpan w:val="4"/>
          </w:tcPr>
          <w:p>
            <w:pPr>
              <w:jc w:val="center"/>
              <w:ind w:left="61"/>
              <w:spacing w:after="0" w:line="196" w:lineRule="exact"/>
              <w:rPr>
                <w:sz w:val="20"/>
                <w:szCs w:val="20"/>
                <w:color w:val="auto"/>
              </w:rPr>
            </w:pPr>
            <w:r>
              <w:rPr>
                <w:rFonts w:ascii="Arial" w:cs="Arial" w:eastAsia="Arial" w:hAnsi="Arial"/>
                <w:sz w:val="20"/>
                <w:szCs w:val="20"/>
                <w:color w:val="0000FF"/>
                <w:w w:val="89"/>
              </w:rPr>
              <w:t>and CBR Loans</w:t>
            </w: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40" w:type="dxa"/>
            <w:vAlign w:val="bottom"/>
            <w:tcBorders>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280" w:type="dxa"/>
            <w:vAlign w:val="bottom"/>
            <w:tcBorders>
              <w:bottom w:val="single" w:sz="8" w:color="00000A"/>
            </w:tcBorders>
          </w:tcPr>
          <w:p>
            <w:pPr>
              <w:spacing w:after="0"/>
              <w:rPr>
                <w:sz w:val="2"/>
                <w:szCs w:val="2"/>
                <w:color w:val="auto"/>
              </w:rPr>
            </w:pPr>
          </w:p>
        </w:tc>
        <w:tc>
          <w:tcPr>
            <w:tcW w:w="480" w:type="dxa"/>
            <w:vAlign w:val="bottom"/>
            <w:tcBorders>
              <w:top w:val="single" w:sz="8" w:color="0000FF"/>
              <w:bottom w:val="single" w:sz="8" w:color="00000A"/>
            </w:tcBorders>
          </w:tcPr>
          <w:p>
            <w:pPr>
              <w:spacing w:after="0"/>
              <w:rPr>
                <w:sz w:val="2"/>
                <w:szCs w:val="2"/>
                <w:color w:val="auto"/>
              </w:rPr>
            </w:pPr>
          </w:p>
        </w:tc>
        <w:tc>
          <w:tcPr>
            <w:tcW w:w="780" w:type="dxa"/>
            <w:vAlign w:val="bottom"/>
            <w:tcBorders>
              <w:top w:val="single" w:sz="8" w:color="0000FF"/>
              <w:bottom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20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1</w:t>
            </w:r>
          </w:p>
        </w:tc>
        <w:tc>
          <w:tcPr>
            <w:tcW w:w="3000" w:type="dxa"/>
            <w:vAlign w:val="bottom"/>
            <w:tcBorders>
              <w:bottom w:val="single" w:sz="8" w:color="00000A"/>
              <w:right w:val="single" w:sz="8" w:color="00000A"/>
            </w:tcBorders>
            <w:gridSpan w:val="5"/>
          </w:tcPr>
          <w:p>
            <w:pPr>
              <w:jc w:val="center"/>
              <w:ind w:right="40"/>
              <w:spacing w:after="0"/>
              <w:rPr>
                <w:sz w:val="20"/>
                <w:szCs w:val="20"/>
                <w:color w:val="auto"/>
              </w:rPr>
            </w:pPr>
            <w:r>
              <w:rPr>
                <w:rFonts w:ascii="Arial" w:cs="Arial" w:eastAsia="Arial" w:hAnsi="Arial"/>
                <w:sz w:val="20"/>
                <w:szCs w:val="20"/>
                <w:color w:val="auto"/>
                <w:w w:val="90"/>
              </w:rPr>
              <w:t>&lt;1.50:1.0</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0.100%</w:t>
            </w:r>
          </w:p>
        </w:tc>
        <w:tc>
          <w:tcPr>
            <w:tcW w:w="1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0.750%</w:t>
            </w:r>
          </w:p>
        </w:tc>
        <w:tc>
          <w:tcPr>
            <w:tcW w:w="1540" w:type="dxa"/>
            <w:vAlign w:val="bottom"/>
            <w:tcBorders>
              <w:bottom w:val="single" w:sz="8" w:color="00000A"/>
            </w:tcBorders>
            <w:gridSpan w:val="3"/>
          </w:tcPr>
          <w:p>
            <w:pPr>
              <w:jc w:val="center"/>
              <w:ind w:left="201"/>
              <w:spacing w:after="0"/>
              <w:rPr>
                <w:sz w:val="20"/>
                <w:szCs w:val="20"/>
                <w:color w:val="auto"/>
              </w:rPr>
            </w:pPr>
            <w:r>
              <w:rPr>
                <w:rFonts w:ascii="Arial" w:cs="Arial" w:eastAsia="Arial" w:hAnsi="Arial"/>
                <w:sz w:val="20"/>
                <w:szCs w:val="20"/>
                <w:color w:val="auto"/>
                <w:w w:val="88"/>
              </w:rPr>
              <w:t>0.750%</w:t>
            </w:r>
          </w:p>
        </w:tc>
        <w:tc>
          <w:tcPr>
            <w:tcW w:w="120" w:type="dxa"/>
            <w:vAlign w:val="bottom"/>
            <w:tcBorders>
              <w:bottom w:val="single" w:sz="8" w:color="00000A"/>
            </w:tcBorders>
          </w:tcPr>
          <w:p>
            <w:pPr>
              <w:spacing w:after="0"/>
              <w:rPr>
                <w:sz w:val="20"/>
                <w:szCs w:val="20"/>
                <w:color w:val="auto"/>
              </w:rPr>
            </w:pPr>
          </w:p>
        </w:tc>
        <w:tc>
          <w:tcPr>
            <w:tcW w:w="200" w:type="dxa"/>
            <w:vAlign w:val="bottom"/>
            <w:tcBorders>
              <w:bottom w:val="single" w:sz="8" w:color="00000A"/>
              <w:right w:val="single" w:sz="8" w:color="00000A"/>
            </w:tcBorders>
          </w:tcPr>
          <w:p>
            <w:pPr>
              <w:spacing w:after="0"/>
              <w:rPr>
                <w:sz w:val="20"/>
                <w:szCs w:val="20"/>
                <w:color w:val="auto"/>
              </w:rPr>
            </w:pPr>
          </w:p>
        </w:tc>
        <w:tc>
          <w:tcPr>
            <w:tcW w:w="14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9"/>
              </w:rPr>
              <w:t>2</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Arial" w:cs="Arial" w:eastAsia="Arial" w:hAnsi="Arial"/>
                <w:sz w:val="20"/>
                <w:szCs w:val="20"/>
                <w:color w:val="auto"/>
                <w:w w:val="89"/>
              </w:rPr>
              <w:t>&gt;1.50:1.0 but &lt;2.00:1.0</w:t>
            </w:r>
          </w:p>
        </w:tc>
        <w:tc>
          <w:tcPr>
            <w:tcW w:w="18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91"/>
              </w:rPr>
              <w:t>0.125%</w:t>
            </w:r>
          </w:p>
        </w:tc>
        <w:tc>
          <w:tcPr>
            <w:tcW w:w="172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0.875%</w:t>
            </w:r>
          </w:p>
        </w:tc>
        <w:tc>
          <w:tcPr>
            <w:tcW w:w="1540" w:type="dxa"/>
            <w:vAlign w:val="bottom"/>
            <w:gridSpan w:val="3"/>
          </w:tcPr>
          <w:p>
            <w:pPr>
              <w:jc w:val="center"/>
              <w:ind w:left="201"/>
              <w:spacing w:after="0" w:line="196" w:lineRule="exact"/>
              <w:rPr>
                <w:sz w:val="20"/>
                <w:szCs w:val="20"/>
                <w:color w:val="auto"/>
              </w:rPr>
            </w:pPr>
            <w:r>
              <w:rPr>
                <w:rFonts w:ascii="Arial" w:cs="Arial" w:eastAsia="Arial" w:hAnsi="Arial"/>
                <w:sz w:val="20"/>
                <w:szCs w:val="20"/>
                <w:color w:val="auto"/>
                <w:w w:val="88"/>
              </w:rPr>
              <w:t>0.875%</w:t>
            </w:r>
          </w:p>
        </w:tc>
        <w:tc>
          <w:tcPr>
            <w:tcW w:w="12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top w:val="single" w:sz="8" w:color="auto"/>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8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48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right w:val="single" w:sz="8" w:color="00000A"/>
            </w:tcBorders>
          </w:tcPr>
          <w:p>
            <w:pPr>
              <w:spacing w:after="0" w:line="20" w:lineRule="exact"/>
              <w:rPr>
                <w:sz w:val="1"/>
                <w:szCs w:val="1"/>
                <w:color w:val="auto"/>
              </w:rPr>
            </w:pPr>
          </w:p>
        </w:tc>
        <w:tc>
          <w:tcPr>
            <w:tcW w:w="14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9"/>
              </w:rPr>
              <w:t>3</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Arial" w:cs="Arial" w:eastAsia="Arial" w:hAnsi="Arial"/>
                <w:sz w:val="20"/>
                <w:szCs w:val="20"/>
                <w:color w:val="auto"/>
                <w:w w:val="89"/>
              </w:rPr>
              <w:t>&gt;2.00:1.0 but &lt;2.50:1.0</w:t>
            </w:r>
          </w:p>
        </w:tc>
        <w:tc>
          <w:tcPr>
            <w:tcW w:w="18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91"/>
              </w:rPr>
              <w:t>0.150%</w:t>
            </w:r>
          </w:p>
        </w:tc>
        <w:tc>
          <w:tcPr>
            <w:tcW w:w="172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1.000%</w:t>
            </w:r>
          </w:p>
        </w:tc>
        <w:tc>
          <w:tcPr>
            <w:tcW w:w="1540" w:type="dxa"/>
            <w:vAlign w:val="bottom"/>
            <w:gridSpan w:val="3"/>
          </w:tcPr>
          <w:p>
            <w:pPr>
              <w:jc w:val="center"/>
              <w:ind w:left="201"/>
              <w:spacing w:after="0" w:line="196" w:lineRule="exact"/>
              <w:rPr>
                <w:sz w:val="20"/>
                <w:szCs w:val="20"/>
                <w:color w:val="auto"/>
              </w:rPr>
            </w:pPr>
            <w:r>
              <w:rPr>
                <w:rFonts w:ascii="Arial" w:cs="Arial" w:eastAsia="Arial" w:hAnsi="Arial"/>
                <w:sz w:val="20"/>
                <w:szCs w:val="20"/>
                <w:color w:val="auto"/>
                <w:w w:val="88"/>
              </w:rPr>
              <w:t>1.000%</w:t>
            </w:r>
          </w:p>
        </w:tc>
        <w:tc>
          <w:tcPr>
            <w:tcW w:w="12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0.000%</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top w:val="single" w:sz="8" w:color="auto"/>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8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48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right w:val="single" w:sz="8" w:color="00000A"/>
            </w:tcBorders>
          </w:tcPr>
          <w:p>
            <w:pPr>
              <w:spacing w:after="0" w:line="20" w:lineRule="exact"/>
              <w:rPr>
                <w:sz w:val="1"/>
                <w:szCs w:val="1"/>
                <w:color w:val="auto"/>
              </w:rPr>
            </w:pPr>
          </w:p>
        </w:tc>
        <w:tc>
          <w:tcPr>
            <w:tcW w:w="14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9"/>
              </w:rPr>
              <w:t>4</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Arial" w:cs="Arial" w:eastAsia="Arial" w:hAnsi="Arial"/>
                <w:sz w:val="20"/>
                <w:szCs w:val="20"/>
                <w:color w:val="auto"/>
                <w:w w:val="89"/>
              </w:rPr>
              <w:t>&gt;2.50:1.0 but &lt;3.00:1.0</w:t>
            </w:r>
          </w:p>
        </w:tc>
        <w:tc>
          <w:tcPr>
            <w:tcW w:w="18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91"/>
              </w:rPr>
              <w:t>0.175%</w:t>
            </w:r>
          </w:p>
        </w:tc>
        <w:tc>
          <w:tcPr>
            <w:tcW w:w="172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1.250%</w:t>
            </w:r>
          </w:p>
        </w:tc>
        <w:tc>
          <w:tcPr>
            <w:tcW w:w="1540" w:type="dxa"/>
            <w:vAlign w:val="bottom"/>
            <w:gridSpan w:val="3"/>
          </w:tcPr>
          <w:p>
            <w:pPr>
              <w:jc w:val="center"/>
              <w:ind w:left="201"/>
              <w:spacing w:after="0" w:line="196" w:lineRule="exact"/>
              <w:rPr>
                <w:sz w:val="20"/>
                <w:szCs w:val="20"/>
                <w:color w:val="auto"/>
              </w:rPr>
            </w:pPr>
            <w:r>
              <w:rPr>
                <w:rFonts w:ascii="Arial" w:cs="Arial" w:eastAsia="Arial" w:hAnsi="Arial"/>
                <w:sz w:val="20"/>
                <w:szCs w:val="20"/>
                <w:color w:val="auto"/>
                <w:w w:val="88"/>
              </w:rPr>
              <w:t>1.250%</w:t>
            </w:r>
          </w:p>
        </w:tc>
        <w:tc>
          <w:tcPr>
            <w:tcW w:w="12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21"/>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top w:val="single" w:sz="8" w:color="auto"/>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8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48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right w:val="single" w:sz="8" w:color="00000A"/>
            </w:tcBorders>
          </w:tcPr>
          <w:p>
            <w:pPr>
              <w:spacing w:after="0" w:line="20" w:lineRule="exact"/>
              <w:rPr>
                <w:sz w:val="1"/>
                <w:szCs w:val="1"/>
                <w:color w:val="auto"/>
              </w:rPr>
            </w:pPr>
          </w:p>
        </w:tc>
        <w:tc>
          <w:tcPr>
            <w:tcW w:w="14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9"/>
              </w:rPr>
              <w:t>5</w:t>
            </w:r>
          </w:p>
        </w:tc>
        <w:tc>
          <w:tcPr>
            <w:tcW w:w="560" w:type="dxa"/>
            <w:vAlign w:val="bottom"/>
          </w:tcPr>
          <w:p>
            <w:pPr>
              <w:spacing w:after="0"/>
              <w:rPr>
                <w:sz w:val="17"/>
                <w:szCs w:val="17"/>
                <w:color w:val="auto"/>
              </w:rPr>
            </w:pPr>
          </w:p>
        </w:tc>
        <w:tc>
          <w:tcPr>
            <w:tcW w:w="2440" w:type="dxa"/>
            <w:vAlign w:val="bottom"/>
            <w:tcBorders>
              <w:right w:val="single" w:sz="8" w:color="00000A"/>
            </w:tcBorders>
            <w:gridSpan w:val="4"/>
          </w:tcPr>
          <w:p>
            <w:pPr>
              <w:jc w:val="center"/>
              <w:ind w:right="580"/>
              <w:spacing w:after="0" w:line="196" w:lineRule="exact"/>
              <w:rPr>
                <w:sz w:val="20"/>
                <w:szCs w:val="20"/>
                <w:color w:val="auto"/>
              </w:rPr>
            </w:pPr>
            <w:r>
              <w:rPr>
                <w:rFonts w:ascii="Arial" w:cs="Arial" w:eastAsia="Arial" w:hAnsi="Arial"/>
                <w:sz w:val="20"/>
                <w:szCs w:val="20"/>
                <w:color w:val="auto"/>
                <w:w w:val="89"/>
              </w:rPr>
              <w:t>&gt;3.00:1.0 but &lt;3.25:1.0</w:t>
            </w:r>
          </w:p>
        </w:tc>
        <w:tc>
          <w:tcPr>
            <w:tcW w:w="18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91"/>
              </w:rPr>
              <w:t>0.200%</w:t>
            </w:r>
          </w:p>
        </w:tc>
        <w:tc>
          <w:tcPr>
            <w:tcW w:w="172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1.500%</w:t>
            </w:r>
          </w:p>
        </w:tc>
        <w:tc>
          <w:tcPr>
            <w:tcW w:w="1540" w:type="dxa"/>
            <w:vAlign w:val="bottom"/>
            <w:gridSpan w:val="3"/>
          </w:tcPr>
          <w:p>
            <w:pPr>
              <w:jc w:val="center"/>
              <w:ind w:left="201"/>
              <w:spacing w:after="0" w:line="196" w:lineRule="exact"/>
              <w:rPr>
                <w:sz w:val="20"/>
                <w:szCs w:val="20"/>
                <w:color w:val="auto"/>
              </w:rPr>
            </w:pPr>
            <w:r>
              <w:rPr>
                <w:rFonts w:ascii="Arial" w:cs="Arial" w:eastAsia="Arial" w:hAnsi="Arial"/>
                <w:sz w:val="20"/>
                <w:szCs w:val="20"/>
                <w:color w:val="auto"/>
                <w:w w:val="88"/>
              </w:rPr>
              <w:t>1.500%</w:t>
            </w:r>
          </w:p>
        </w:tc>
        <w:tc>
          <w:tcPr>
            <w:tcW w:w="12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0.500%</w:t>
            </w:r>
          </w:p>
        </w:tc>
        <w:tc>
          <w:tcPr>
            <w:tcW w:w="0" w:type="dxa"/>
            <w:vAlign w:val="bottom"/>
          </w:tcPr>
          <w:p>
            <w:pPr>
              <w:spacing w:after="0"/>
              <w:rPr>
                <w:sz w:val="1"/>
                <w:szCs w:val="1"/>
                <w:color w:val="auto"/>
              </w:rPr>
            </w:pPr>
          </w:p>
        </w:tc>
      </w:tr>
      <w:tr>
        <w:trPr>
          <w:trHeight w:val="20"/>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top w:val="single" w:sz="8" w:color="auto"/>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8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48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right w:val="single" w:sz="8" w:color="00000A"/>
            </w:tcBorders>
          </w:tcPr>
          <w:p>
            <w:pPr>
              <w:spacing w:after="0" w:line="20" w:lineRule="exact"/>
              <w:rPr>
                <w:sz w:val="1"/>
                <w:szCs w:val="1"/>
                <w:color w:val="auto"/>
              </w:rPr>
            </w:pPr>
          </w:p>
        </w:tc>
        <w:tc>
          <w:tcPr>
            <w:tcW w:w="14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00000A"/>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9"/>
              </w:rPr>
              <w:t>6</w:t>
            </w:r>
          </w:p>
        </w:tc>
        <w:tc>
          <w:tcPr>
            <w:tcW w:w="3000" w:type="dxa"/>
            <w:vAlign w:val="bottom"/>
            <w:tcBorders>
              <w:right w:val="single" w:sz="8" w:color="00000A"/>
            </w:tcBorders>
            <w:gridSpan w:val="5"/>
          </w:tcPr>
          <w:p>
            <w:pPr>
              <w:jc w:val="center"/>
              <w:ind w:right="40"/>
              <w:spacing w:after="0" w:line="196" w:lineRule="exact"/>
              <w:rPr>
                <w:sz w:val="20"/>
                <w:szCs w:val="20"/>
                <w:color w:val="auto"/>
              </w:rPr>
            </w:pPr>
            <w:r>
              <w:rPr>
                <w:rFonts w:ascii="Arial" w:cs="Arial" w:eastAsia="Arial" w:hAnsi="Arial"/>
                <w:sz w:val="20"/>
                <w:szCs w:val="20"/>
                <w:color w:val="auto"/>
                <w:w w:val="90"/>
              </w:rPr>
              <w:t>&gt;3.25:1.0</w:t>
            </w:r>
          </w:p>
        </w:tc>
        <w:tc>
          <w:tcPr>
            <w:tcW w:w="18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91"/>
              </w:rPr>
              <w:t>0.200%</w:t>
            </w:r>
          </w:p>
        </w:tc>
        <w:tc>
          <w:tcPr>
            <w:tcW w:w="172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1.625%</w:t>
            </w:r>
          </w:p>
        </w:tc>
        <w:tc>
          <w:tcPr>
            <w:tcW w:w="1540" w:type="dxa"/>
            <w:vAlign w:val="bottom"/>
            <w:gridSpan w:val="3"/>
          </w:tcPr>
          <w:p>
            <w:pPr>
              <w:jc w:val="center"/>
              <w:ind w:left="201"/>
              <w:spacing w:after="0" w:line="196" w:lineRule="exact"/>
              <w:rPr>
                <w:sz w:val="20"/>
                <w:szCs w:val="20"/>
                <w:color w:val="auto"/>
              </w:rPr>
            </w:pPr>
            <w:r>
              <w:rPr>
                <w:rFonts w:ascii="Arial" w:cs="Arial" w:eastAsia="Arial" w:hAnsi="Arial"/>
                <w:sz w:val="20"/>
                <w:szCs w:val="20"/>
                <w:color w:val="auto"/>
                <w:w w:val="88"/>
              </w:rPr>
              <w:t>1.625%</w:t>
            </w:r>
          </w:p>
        </w:tc>
        <w:tc>
          <w:tcPr>
            <w:tcW w:w="120" w:type="dxa"/>
            <w:vAlign w:val="bottom"/>
          </w:tcPr>
          <w:p>
            <w:pPr>
              <w:spacing w:after="0"/>
              <w:rPr>
                <w:sz w:val="17"/>
                <w:szCs w:val="17"/>
                <w:color w:val="auto"/>
              </w:rPr>
            </w:pPr>
          </w:p>
        </w:tc>
        <w:tc>
          <w:tcPr>
            <w:tcW w:w="200" w:type="dxa"/>
            <w:vAlign w:val="bottom"/>
            <w:tcBorders>
              <w:right w:val="single" w:sz="8" w:color="00000A"/>
            </w:tcBorders>
          </w:tcPr>
          <w:p>
            <w:pPr>
              <w:spacing w:after="0"/>
              <w:rPr>
                <w:sz w:val="17"/>
                <w:szCs w:val="17"/>
                <w:color w:val="auto"/>
              </w:rPr>
            </w:pPr>
          </w:p>
        </w:tc>
        <w:tc>
          <w:tcPr>
            <w:tcW w:w="146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20"/>
                <w:szCs w:val="20"/>
                <w:color w:val="auto"/>
                <w:w w:val="88"/>
              </w:rPr>
              <w:t>0.625%</w:t>
            </w:r>
          </w:p>
        </w:tc>
        <w:tc>
          <w:tcPr>
            <w:tcW w:w="0" w:type="dxa"/>
            <w:vAlign w:val="bottom"/>
          </w:tcPr>
          <w:p>
            <w:pPr>
              <w:spacing w:after="0"/>
              <w:rPr>
                <w:sz w:val="1"/>
                <w:szCs w:val="1"/>
                <w:color w:val="auto"/>
              </w:rPr>
            </w:pPr>
          </w:p>
        </w:tc>
      </w:tr>
      <w:tr>
        <w:trPr>
          <w:trHeight w:val="21"/>
        </w:trPr>
        <w:tc>
          <w:tcPr>
            <w:tcW w:w="13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560" w:type="dxa"/>
            <w:vAlign w:val="bottom"/>
            <w:tcBorders>
              <w:bottom w:val="single" w:sz="8" w:color="00000A"/>
            </w:tcBorders>
          </w:tcPr>
          <w:p>
            <w:pPr>
              <w:spacing w:after="0" w:line="20" w:lineRule="exact"/>
              <w:rPr>
                <w:sz w:val="1"/>
                <w:szCs w:val="1"/>
                <w:color w:val="auto"/>
              </w:rPr>
            </w:pPr>
          </w:p>
        </w:tc>
        <w:tc>
          <w:tcPr>
            <w:tcW w:w="100" w:type="dxa"/>
            <w:vAlign w:val="bottom"/>
            <w:tcBorders>
              <w:bottom w:val="single" w:sz="8" w:color="00000A"/>
            </w:tcBorders>
          </w:tcPr>
          <w:p>
            <w:pPr>
              <w:spacing w:after="0" w:line="20" w:lineRule="exact"/>
              <w:rPr>
                <w:sz w:val="1"/>
                <w:szCs w:val="1"/>
                <w:color w:val="auto"/>
              </w:rPr>
            </w:pPr>
          </w:p>
        </w:tc>
        <w:tc>
          <w:tcPr>
            <w:tcW w:w="440" w:type="dxa"/>
            <w:vAlign w:val="bottom"/>
            <w:tcBorders>
              <w:bottom w:val="single" w:sz="8" w:color="00000A"/>
            </w:tcBorders>
          </w:tcPr>
          <w:p>
            <w:pPr>
              <w:spacing w:after="0" w:line="20" w:lineRule="exact"/>
              <w:rPr>
                <w:sz w:val="1"/>
                <w:szCs w:val="1"/>
                <w:color w:val="auto"/>
              </w:rPr>
            </w:pPr>
          </w:p>
        </w:tc>
        <w:tc>
          <w:tcPr>
            <w:tcW w:w="120" w:type="dxa"/>
            <w:vAlign w:val="bottom"/>
            <w:tcBorders>
              <w:top w:val="single" w:sz="8" w:color="auto"/>
              <w:bottom w:val="single" w:sz="8" w:color="00000A"/>
            </w:tcBorders>
          </w:tcPr>
          <w:p>
            <w:pPr>
              <w:spacing w:after="0" w:line="20" w:lineRule="exact"/>
              <w:rPr>
                <w:sz w:val="1"/>
                <w:szCs w:val="1"/>
                <w:color w:val="auto"/>
              </w:rPr>
            </w:pPr>
          </w:p>
        </w:tc>
        <w:tc>
          <w:tcPr>
            <w:tcW w:w="1780" w:type="dxa"/>
            <w:vAlign w:val="bottom"/>
            <w:tcBorders>
              <w:bottom w:val="single" w:sz="8" w:color="00000A"/>
              <w:right w:val="single" w:sz="8" w:color="00000A"/>
            </w:tcBorders>
          </w:tcPr>
          <w:p>
            <w:pPr>
              <w:spacing w:after="0" w:line="20" w:lineRule="exact"/>
              <w:rPr>
                <w:sz w:val="1"/>
                <w:szCs w:val="1"/>
                <w:color w:val="auto"/>
              </w:rPr>
            </w:pPr>
          </w:p>
        </w:tc>
        <w:tc>
          <w:tcPr>
            <w:tcW w:w="1880" w:type="dxa"/>
            <w:vAlign w:val="bottom"/>
            <w:tcBorders>
              <w:bottom w:val="single" w:sz="8" w:color="00000A"/>
              <w:right w:val="single" w:sz="8" w:color="00000A"/>
            </w:tcBorders>
          </w:tcPr>
          <w:p>
            <w:pPr>
              <w:spacing w:after="0" w:line="20" w:lineRule="exact"/>
              <w:rPr>
                <w:sz w:val="1"/>
                <w:szCs w:val="1"/>
                <w:color w:val="auto"/>
              </w:rPr>
            </w:pPr>
          </w:p>
        </w:tc>
        <w:tc>
          <w:tcPr>
            <w:tcW w:w="1720" w:type="dxa"/>
            <w:vAlign w:val="bottom"/>
            <w:tcBorders>
              <w:bottom w:val="single" w:sz="8" w:color="00000A"/>
              <w:right w:val="single" w:sz="8" w:color="00000A"/>
            </w:tcBorders>
          </w:tcPr>
          <w:p>
            <w:pPr>
              <w:spacing w:after="0" w:line="20" w:lineRule="exact"/>
              <w:rPr>
                <w:sz w:val="1"/>
                <w:szCs w:val="1"/>
                <w:color w:val="auto"/>
              </w:rPr>
            </w:pPr>
          </w:p>
        </w:tc>
        <w:tc>
          <w:tcPr>
            <w:tcW w:w="280" w:type="dxa"/>
            <w:vAlign w:val="bottom"/>
            <w:tcBorders>
              <w:bottom w:val="single" w:sz="8" w:color="00000A"/>
            </w:tcBorders>
          </w:tcPr>
          <w:p>
            <w:pPr>
              <w:spacing w:after="0" w:line="20" w:lineRule="exact"/>
              <w:rPr>
                <w:sz w:val="1"/>
                <w:szCs w:val="1"/>
                <w:color w:val="auto"/>
              </w:rPr>
            </w:pPr>
          </w:p>
        </w:tc>
        <w:tc>
          <w:tcPr>
            <w:tcW w:w="480" w:type="dxa"/>
            <w:vAlign w:val="bottom"/>
            <w:tcBorders>
              <w:bottom w:val="single" w:sz="8" w:color="00000A"/>
            </w:tcBorders>
          </w:tcPr>
          <w:p>
            <w:pPr>
              <w:spacing w:after="0" w:line="20" w:lineRule="exact"/>
              <w:rPr>
                <w:sz w:val="1"/>
                <w:szCs w:val="1"/>
                <w:color w:val="auto"/>
              </w:rPr>
            </w:pPr>
          </w:p>
        </w:tc>
        <w:tc>
          <w:tcPr>
            <w:tcW w:w="780" w:type="dxa"/>
            <w:vAlign w:val="bottom"/>
            <w:tcBorders>
              <w:bottom w:val="single" w:sz="8" w:color="00000A"/>
            </w:tcBorders>
          </w:tcPr>
          <w:p>
            <w:pPr>
              <w:spacing w:after="0" w:line="20" w:lineRule="exact"/>
              <w:rPr>
                <w:sz w:val="1"/>
                <w:szCs w:val="1"/>
                <w:color w:val="auto"/>
              </w:rPr>
            </w:pPr>
          </w:p>
        </w:tc>
        <w:tc>
          <w:tcPr>
            <w:tcW w:w="120" w:type="dxa"/>
            <w:vAlign w:val="bottom"/>
            <w:tcBorders>
              <w:bottom w:val="single" w:sz="8" w:color="00000A"/>
            </w:tcBorders>
          </w:tcPr>
          <w:p>
            <w:pPr>
              <w:spacing w:after="0" w:line="20" w:lineRule="exact"/>
              <w:rPr>
                <w:sz w:val="1"/>
                <w:szCs w:val="1"/>
                <w:color w:val="auto"/>
              </w:rPr>
            </w:pPr>
          </w:p>
        </w:tc>
        <w:tc>
          <w:tcPr>
            <w:tcW w:w="200" w:type="dxa"/>
            <w:vAlign w:val="bottom"/>
            <w:tcBorders>
              <w:bottom w:val="single" w:sz="8" w:color="00000A"/>
              <w:right w:val="single" w:sz="8" w:color="00000A"/>
            </w:tcBorders>
          </w:tcPr>
          <w:p>
            <w:pPr>
              <w:spacing w:after="0" w:line="20" w:lineRule="exact"/>
              <w:rPr>
                <w:sz w:val="1"/>
                <w:szCs w:val="1"/>
                <w:color w:val="auto"/>
              </w:rPr>
            </w:pPr>
          </w:p>
        </w:tc>
        <w:tc>
          <w:tcPr>
            <w:tcW w:w="146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60" w:right="40" w:hanging="4"/>
        <w:spacing w:after="0" w:line="260" w:lineRule="auto"/>
        <w:tabs>
          <w:tab w:leader="none" w:pos="815"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1419" w:right="31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9"/>
          <w:szCs w:val="19"/>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Compliance Certificate is not delivered within five (5) Business Days after the date when due in accordance with such Section, then, upon the request of the Required Lenders, Pricing Level 6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whereupon the Applicable Rate shall be adjusted based upon the calculation of the Consolidated Net Leverage Ratio contained in such Compliance Certificate. Notwithstanding the foregoing, the Applicable Rate in effect from the Closing Date through the first Business Day immediately following the date a Compliance Certificate is required to be delivered pursuant to </w:t>
      </w:r>
      <w:r>
        <w:rPr>
          <w:rFonts w:ascii="Arial" w:cs="Arial" w:eastAsia="Arial" w:hAnsi="Arial"/>
          <w:sz w:val="19"/>
          <w:szCs w:val="19"/>
          <w:u w:val="single" w:color="auto"/>
          <w:color w:val="auto"/>
        </w:rPr>
        <w:t>Section 7.01(c)</w:t>
      </w:r>
      <w:r>
        <w:rPr>
          <w:rFonts w:ascii="Arial" w:cs="Arial" w:eastAsia="Arial" w:hAnsi="Arial"/>
          <w:sz w:val="19"/>
          <w:szCs w:val="19"/>
          <w:color w:val="auto"/>
        </w:rPr>
        <w:t xml:space="preserve"> for the Fiscal Quarter ending July 31, 2019 shall be determined based upon Pricing Level 1.</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BMO Capital Markets and BofA Securities, Inc., in their capacities as joint lead arrangers and joint bookrunners.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11.06(b)</w:t>
      </w:r>
      <w:r>
        <w:rPr>
          <w:rFonts w:ascii="Arial" w:cs="Arial" w:eastAsia="Arial" w:hAnsi="Arial"/>
          <w:sz w:val="19"/>
          <w:szCs w:val="19"/>
          <w:color w:val="auto"/>
        </w:rPr>
        <w:t xml:space="preserve"> or any other form (including electronic documentation generated by use of an electronic platform) reasonably approved by the Administrative Agent that does not conflict with the terms of this Agreement.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as of July 31, 2018 and the related consolidated statements of income or operations, shareholders’ equity and cash flows for the Fiscal Year ended July 31, 2018 of the Company and its Subsidiaries, including the notes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commitment of each Lender to make Loans and of the obligation of the L/C Issuer to make L/C Credit Extensions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u w:val="single" w:color="auto"/>
          <w:color w:val="0000FF"/>
        </w:rPr>
        <w:t>“Available Tenor” means, as of any date of determination and with respect to the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removed from the definition of “Interest Period” pursuant to clause (e) of Section 3.07.</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xml:space="preserve">” means the exercise of any Write-Down and Conversion Powers by the applicable </w:t>
      </w:r>
      <w:r>
        <w:rPr>
          <w:rFonts w:ascii="Arial" w:cs="Arial" w:eastAsia="Arial" w:hAnsi="Arial"/>
          <w:sz w:val="20"/>
          <w:szCs w:val="20"/>
          <w:color w:val="FF0000"/>
          <w:strike w:val="1"/>
        </w:rPr>
        <w:t>EEA</w:t>
      </w:r>
      <w:r>
        <w:rPr>
          <w:rFonts w:ascii="Arial" w:cs="Arial" w:eastAsia="Arial" w:hAnsi="Arial"/>
          <w:sz w:val="20"/>
          <w:szCs w:val="20"/>
          <w:color w:val="auto"/>
        </w:rPr>
        <w:t xml:space="preserve"> Resolution Authority in respect of any liability of an </w:t>
      </w:r>
      <w:r>
        <w:rPr>
          <w:rFonts w:ascii="Arial" w:cs="Arial" w:eastAsia="Arial" w:hAnsi="Arial"/>
          <w:sz w:val="20"/>
          <w:szCs w:val="20"/>
          <w:color w:val="FF0000"/>
          <w:strike w:val="1"/>
        </w:rPr>
        <w:t>EEA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9" w:right="3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EEA Member Country implementing Article 55 of Directive 2014/59/EU of the European Parliament and of the Council of the European Union, the implementing law </w:t>
      </w:r>
      <w:r>
        <w:rPr>
          <w:rFonts w:ascii="Arial" w:cs="Arial" w:eastAsia="Arial" w:hAnsi="Arial"/>
          <w:sz w:val="19"/>
          <w:szCs w:val="19"/>
          <w:u w:val="single" w:color="auto"/>
          <w:color w:val="0000FF"/>
        </w:rPr>
        <w:t>, regulation, rule or requirement</w:t>
      </w:r>
      <w:r>
        <w:rPr>
          <w:rFonts w:ascii="Arial" w:cs="Arial" w:eastAsia="Arial" w:hAnsi="Arial"/>
          <w:sz w:val="19"/>
          <w:szCs w:val="19"/>
          <w:color w:val="auto"/>
        </w:rPr>
        <w:t xml:space="preserve"> for such EEA Member Country from time to time which is described in the EU Bail-In Legislation Schedule </w:t>
      </w:r>
      <w:r>
        <w:rPr>
          <w:rFonts w:ascii="Arial" w:cs="Arial" w:eastAsia="Arial" w:hAnsi="Arial"/>
          <w:sz w:val="19"/>
          <w:szCs w:val="19"/>
          <w:u w:val="single" w:color="auto"/>
          <w:color w:val="0000FF"/>
        </w:rPr>
        <w:t>and (b) with respect to the United Kingdom,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-664210</wp:posOffset>
            </wp:positionV>
            <wp:extent cx="4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 (b) the rate of interest in effect for such day as publicly announced from time to time by BMO as its “prime rate” and (c) the Eurocurrency Base Rate (determined pursuant to clause (b) of the definition thereof)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 The “prime rate” is a rate set by BMO based upon various factors including BMO’s costs and desired return, general economic conditions and other factors, and is used as a reference point for pricing some loans, which may be priced at, above, or below such announced rate. Any change in such “prime rate” announced by BMO shall take effect at the opening of business on the day specified in the public announcement of such change. If the Base Rate shall be less than zero, such rate shall be deemed zero for purposes of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39"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8"/>
          <w:szCs w:val="18"/>
          <w:u w:val="single" w:color="auto"/>
          <w:color w:val="0000FF"/>
        </w:rPr>
        <w:t>“Benchmark” means for any Agreed Currency, initially, the Relevant Rate for such Agreed Currency; provided that if a Benchmark Transition Event, a Term SOFR Transition Event, a Term ESTR Transition Event, an Early Opt</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in Election, or an Other Benchmark Rate Election, as applicable, and its related Benchmark Replacement Date have occurred with respect to the applicable Relevant Rate or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 xml:space="preserve"> current Benchmark for such Agreed Currency, then “Benchmark” means the applicable Benchmark Replacement to the extent that such Benchmark Replacement has replaced such prior benchmark rate pursuant to clause (a) or (b) of Section 3.07.</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0000FF"/>
        </w:rPr>
        <w:t>“Benchmark Replacement” means, for any Available Tenor, the first alternative set forth in the order below that can be determined by the Administrative Agent for the applicable Benchmark Replacement Date; provided that, in the case of an Other Benchmark Rate Election or any Loan denominated in an Agreed Currency other than Dollars and euro, “Benchmark Replacement” shall mean the alternative set forth in (3) below:</w:t>
      </w:r>
    </w:p>
    <w:p>
      <w:pPr>
        <w:spacing w:after="0" w:line="191" w:lineRule="exact"/>
        <w:rPr>
          <w:sz w:val="20"/>
          <w:szCs w:val="20"/>
          <w:color w:val="auto"/>
        </w:rPr>
      </w:pPr>
    </w:p>
    <w:p>
      <w:pPr>
        <w:ind w:left="1300" w:firstLine="4"/>
        <w:spacing w:after="0" w:line="260" w:lineRule="auto"/>
        <w:tabs>
          <w:tab w:leader="none" w:pos="1936" w:val="left"/>
        </w:tabs>
        <w:numPr>
          <w:ilvl w:val="0"/>
          <w:numId w:val="8"/>
        </w:numPr>
        <w:rPr>
          <w:rFonts w:ascii="Arial" w:cs="Arial" w:eastAsia="Arial" w:hAnsi="Arial"/>
          <w:sz w:val="20"/>
          <w:szCs w:val="20"/>
          <w:color w:val="0000FF"/>
        </w:rPr>
      </w:pPr>
      <w:r>
        <w:rPr>
          <w:rFonts w:ascii="Arial" w:cs="Arial" w:eastAsia="Arial" w:hAnsi="Arial"/>
          <w:sz w:val="20"/>
          <w:szCs w:val="20"/>
          <w:u w:val="single" w:color="auto"/>
          <w:color w:val="0000FF"/>
        </w:rPr>
        <w:t>(A) in the case of any Loan denominated in Dollars, the sum of: (a) Term SOFR and (b) the related Benchmark Replacement Adjustment, or</w:t>
      </w:r>
    </w:p>
    <w:p>
      <w:pPr>
        <w:spacing w:after="0" w:line="176" w:lineRule="exact"/>
        <w:rPr>
          <w:rFonts w:ascii="Arial" w:cs="Arial" w:eastAsia="Arial" w:hAnsi="Arial"/>
          <w:sz w:val="20"/>
          <w:szCs w:val="20"/>
          <w:color w:val="0000FF"/>
        </w:rPr>
      </w:pPr>
    </w:p>
    <w:p>
      <w:pPr>
        <w:ind w:left="1300" w:firstLine="652"/>
        <w:spacing w:after="0" w:line="260" w:lineRule="auto"/>
        <w:tabs>
          <w:tab w:leader="none" w:pos="2288" w:val="left"/>
        </w:tabs>
        <w:numPr>
          <w:ilvl w:val="1"/>
          <w:numId w:val="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any Loan denominated in euro, the sum of: (a) Term ESTR and (b) the related Benchmark Replacement Adjustment;</w:t>
      </w:r>
    </w:p>
    <w:p>
      <w:pPr>
        <w:spacing w:after="0" w:line="176" w:lineRule="exact"/>
        <w:rPr>
          <w:rFonts w:ascii="Arial" w:cs="Arial" w:eastAsia="Arial" w:hAnsi="Arial"/>
          <w:sz w:val="20"/>
          <w:szCs w:val="20"/>
          <w:u w:val="single" w:color="auto"/>
          <w:color w:val="0000FF"/>
        </w:rPr>
      </w:pPr>
    </w:p>
    <w:p>
      <w:pPr>
        <w:ind w:left="1300" w:firstLine="4"/>
        <w:spacing w:after="0" w:line="260" w:lineRule="auto"/>
        <w:tabs>
          <w:tab w:leader="none" w:pos="1936" w:val="left"/>
        </w:tabs>
        <w:numPr>
          <w:ilvl w:val="0"/>
          <w:numId w:val="8"/>
        </w:numPr>
        <w:rPr>
          <w:rFonts w:ascii="Arial" w:cs="Arial" w:eastAsia="Arial" w:hAnsi="Arial"/>
          <w:sz w:val="20"/>
          <w:szCs w:val="20"/>
          <w:color w:val="0000FF"/>
        </w:rPr>
      </w:pPr>
      <w:r>
        <w:rPr>
          <w:rFonts w:ascii="Arial" w:cs="Arial" w:eastAsia="Arial" w:hAnsi="Arial"/>
          <w:sz w:val="20"/>
          <w:szCs w:val="20"/>
          <w:u w:val="single" w:color="auto"/>
          <w:color w:val="0000FF"/>
        </w:rPr>
        <w:t>(A) in the case of any Loan denominated in Dollars, the sum of: (a) Daily Simple SOFR and (b) the related Benchmark Replacement Adjustment, or</w:t>
      </w:r>
    </w:p>
    <w:p>
      <w:pPr>
        <w:spacing w:after="0" w:line="176" w:lineRule="exact"/>
        <w:rPr>
          <w:rFonts w:ascii="Arial" w:cs="Arial" w:eastAsia="Arial" w:hAnsi="Arial"/>
          <w:sz w:val="20"/>
          <w:szCs w:val="20"/>
          <w:color w:val="0000FF"/>
        </w:rPr>
      </w:pPr>
    </w:p>
    <w:p>
      <w:pPr>
        <w:ind w:left="1300" w:firstLine="652"/>
        <w:spacing w:after="0" w:line="260" w:lineRule="auto"/>
        <w:tabs>
          <w:tab w:leader="none" w:pos="2261" w:val="left"/>
        </w:tabs>
        <w:numPr>
          <w:ilvl w:val="1"/>
          <w:numId w:val="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any Loan denominated in euro, the sum of: (a) Daily Simple ESTR and (b) the related Benchmark Replacement Adjustment;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22" w:name="page23"/>
    <w:bookmarkEnd w:id="22"/>
    <w:p>
      <w:pPr>
        <w:jc w:val="both"/>
        <w:ind w:left="1300" w:firstLine="4"/>
        <w:spacing w:after="0" w:line="233" w:lineRule="exact"/>
        <w:tabs>
          <w:tab w:leader="none" w:pos="1936" w:val="left"/>
        </w:tabs>
        <w:numPr>
          <w:ilvl w:val="0"/>
          <w:numId w:val="9"/>
        </w:numPr>
        <w:rPr>
          <w:rFonts w:ascii="Arial" w:cs="Arial" w:eastAsia="Arial" w:hAnsi="Arial"/>
          <w:sz w:val="18"/>
          <w:szCs w:val="18"/>
          <w:color w:val="0000FF"/>
        </w:rPr>
      </w:pPr>
      <w:r>
        <w:rPr>
          <w:rFonts w:ascii="Arial" w:cs="Arial" w:eastAsia="Arial" w:hAnsi="Arial"/>
          <w:sz w:val="18"/>
          <w:szCs w:val="18"/>
          <w:u w:val="single" w:color="auto"/>
          <w:color w:val="0000FF"/>
        </w:rPr>
        <w:t>the sum of: (a) the alternate benchmark rate that has been selected by the Administrative Agent and the Company as the replacement for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for the applicable Corresponding Tenor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prevailing market convention for determining a benchmark rate as a replacement for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for syndicated credit facilities denominated in the applicable Agreed Currency at such time in the United States and (b) the related Benchmark Replacement Adjustment;</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0000FF"/>
        </w:rPr>
        <w:t>provided that, in the case of clause (1)(A) or (1)(B), such Unadjusted Benchmark Replacement is displayed on a screen or other information service that publishes such rate from time to time as selected by the Administrative Agent in its reasonable discretion; provided further that, in the case of clause (3), when such clause is used to determine the Benchmark Replacement in connection with the occurrence of an Other Benchmark Rate Election, the alternate benchmark rate selected by the Administrative Agent and the Company shall be the term benchmark rate that is used in lieu of the applicable rate in the relevant other syndicated credit facilities; provided further that, (x)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 notwithstanding anything to the contrary contained in this Agreement or in any other Loan Document, upon the occurrence of a Term ESTR Transition Event, and the delivery of a Term ESTR Notice, on the applicable Benchmark Replacement Date the “Benchmark Replacement” shall revert to and be deemed to be the sum of (a) Term ESTR and (b) the related Benchmark Replacement Adjustment, as set forth in clause (1)(B) of this definition (subject to the first proviso above).</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If the Benchmark Replacement as determined pursuant to clause (1), (2) or (3) above would be less than the Floor, the Benchmark Replacement will be deemed to be the Floor for the purposes of this Agreement and the other Loan Documents.</w:t>
      </w:r>
    </w:p>
    <w:p>
      <w:pPr>
        <w:spacing w:after="0" w:line="177" w:lineRule="exact"/>
        <w:rPr>
          <w:sz w:val="20"/>
          <w:szCs w:val="20"/>
          <w:color w:val="auto"/>
        </w:rPr>
      </w:pPr>
    </w:p>
    <w:p>
      <w:pPr>
        <w:jc w:val="both"/>
        <w:ind w:right="20" w:firstLine="648"/>
        <w:spacing w:after="0" w:line="385" w:lineRule="auto"/>
        <w:rPr>
          <w:sz w:val="20"/>
          <w:szCs w:val="20"/>
          <w:color w:val="auto"/>
        </w:rPr>
      </w:pPr>
      <w:r>
        <w:rPr>
          <w:rFonts w:ascii="Arial" w:cs="Arial" w:eastAsia="Arial" w:hAnsi="Arial"/>
          <w:sz w:val="16"/>
          <w:szCs w:val="16"/>
          <w:u w:val="single" w:color="auto"/>
          <w:color w:val="0000FF"/>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85" w:lineRule="exact"/>
        <w:rPr>
          <w:sz w:val="20"/>
          <w:szCs w:val="20"/>
          <w:color w:val="auto"/>
        </w:rPr>
      </w:pPr>
    </w:p>
    <w:p>
      <w:pPr>
        <w:ind w:right="20" w:firstLine="1304"/>
        <w:spacing w:after="0" w:line="260" w:lineRule="auto"/>
        <w:tabs>
          <w:tab w:leader="none" w:pos="1932" w:val="left"/>
        </w:tabs>
        <w:numPr>
          <w:ilvl w:val="0"/>
          <w:numId w:val="10"/>
        </w:numPr>
        <w:rPr>
          <w:rFonts w:ascii="Arial" w:cs="Arial" w:eastAsia="Arial" w:hAnsi="Arial"/>
          <w:sz w:val="20"/>
          <w:szCs w:val="20"/>
          <w:color w:val="0000FF"/>
        </w:rPr>
      </w:pPr>
      <w:r>
        <w:rPr>
          <w:rFonts w:ascii="Arial" w:cs="Arial" w:eastAsia="Arial" w:hAnsi="Arial"/>
          <w:sz w:val="20"/>
          <w:szCs w:val="20"/>
          <w:u w:val="single" w:color="auto"/>
          <w:color w:val="0000FF"/>
        </w:rPr>
        <w:t>for purposes of clauses (1) and (2) of the definition of “Benchmark Replacement,” the first alternative set forth in the order below that can be determined by the Administrative Agent:</w:t>
      </w:r>
    </w:p>
    <w:p>
      <w:pPr>
        <w:spacing w:after="0" w:line="177" w:lineRule="exact"/>
        <w:rPr>
          <w:sz w:val="20"/>
          <w:szCs w:val="20"/>
          <w:color w:val="auto"/>
        </w:rPr>
      </w:pPr>
    </w:p>
    <w:p>
      <w:pPr>
        <w:jc w:val="both"/>
        <w:ind w:left="660" w:firstLine="644"/>
        <w:spacing w:after="0" w:line="246" w:lineRule="auto"/>
        <w:tabs>
          <w:tab w:leader="none" w:pos="1946" w:val="left"/>
        </w:tabs>
        <w:numPr>
          <w:ilvl w:val="0"/>
          <w:numId w:val="11"/>
        </w:numPr>
        <w:rPr>
          <w:rFonts w:ascii="Arial" w:cs="Arial" w:eastAsia="Arial" w:hAnsi="Arial"/>
          <w:sz w:val="20"/>
          <w:szCs w:val="20"/>
          <w:color w:val="0000FF"/>
        </w:rPr>
      </w:pPr>
      <w:r>
        <w:rPr>
          <w:rFonts w:ascii="Arial" w:cs="Arial" w:eastAsia="Arial" w:hAnsi="Arial"/>
          <w:sz w:val="20"/>
          <w:szCs w:val="20"/>
          <w:u w:val="single" w:color="auto"/>
          <w:color w:val="0000FF"/>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91" w:lineRule="exact"/>
        <w:rPr>
          <w:rFonts w:ascii="Arial" w:cs="Arial" w:eastAsia="Arial" w:hAnsi="Arial"/>
          <w:sz w:val="20"/>
          <w:szCs w:val="20"/>
          <w:color w:val="0000FF"/>
        </w:rPr>
      </w:pPr>
    </w:p>
    <w:p>
      <w:pPr>
        <w:jc w:val="both"/>
        <w:ind w:left="660" w:firstLine="644"/>
        <w:spacing w:after="0" w:line="250" w:lineRule="auto"/>
        <w:tabs>
          <w:tab w:leader="none" w:pos="1944" w:val="left"/>
        </w:tabs>
        <w:numPr>
          <w:ilvl w:val="0"/>
          <w:numId w:val="11"/>
        </w:numPr>
        <w:rPr>
          <w:rFonts w:ascii="Arial" w:cs="Arial" w:eastAsia="Arial" w:hAnsi="Arial"/>
          <w:sz w:val="20"/>
          <w:szCs w:val="20"/>
          <w:color w:val="0000FF"/>
        </w:rPr>
      </w:pPr>
      <w:r>
        <w:rPr>
          <w:rFonts w:ascii="Arial" w:cs="Arial" w:eastAsia="Arial" w:hAnsi="Arial"/>
          <w:sz w:val="20"/>
          <w:szCs w:val="20"/>
          <w:u w:val="single" w:color="auto"/>
          <w:color w:val="0000FF"/>
        </w:rPr>
        <w:t>the spread adjustment (which may be a positive or negative value or zero) as of the Reference Time such Benchmark Replacement is first set for such Interest Period that would apply to the fallback rate for a derivative transaction referencing the ISDA Definitions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9"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20"/>
          <w:szCs w:val="20"/>
          <w:u w:val="single" w:color="auto"/>
          <w:color w:val="0000FF"/>
        </w:rPr>
        <w:t>effective upon an index cessation event with respect to such Benchmark for the applicable Corresponding Tenor; and</w:t>
      </w:r>
    </w:p>
    <w:p>
      <w:pPr>
        <w:spacing w:after="0" w:line="216" w:lineRule="exact"/>
        <w:rPr>
          <w:sz w:val="20"/>
          <w:szCs w:val="20"/>
          <w:color w:val="auto"/>
        </w:rPr>
      </w:pPr>
    </w:p>
    <w:p>
      <w:pPr>
        <w:jc w:val="both"/>
        <w:ind w:firstLine="1304"/>
        <w:spacing w:after="0" w:line="273" w:lineRule="auto"/>
        <w:tabs>
          <w:tab w:leader="none" w:pos="1932" w:val="left"/>
        </w:tabs>
        <w:numPr>
          <w:ilvl w:val="0"/>
          <w:numId w:val="12"/>
        </w:numPr>
        <w:rPr>
          <w:rFonts w:ascii="Arial" w:cs="Arial" w:eastAsia="Arial" w:hAnsi="Arial"/>
          <w:sz w:val="18"/>
          <w:szCs w:val="18"/>
          <w:color w:val="0000FF"/>
        </w:rPr>
      </w:pPr>
      <w:r>
        <w:rPr>
          <w:rFonts w:ascii="Arial" w:cs="Arial" w:eastAsia="Arial" w:hAnsi="Arial"/>
          <w:sz w:val="18"/>
          <w:szCs w:val="18"/>
          <w:u w:val="single" w:color="auto"/>
          <w:color w:val="0000FF"/>
        </w:rPr>
        <w:t xml:space="preserve">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w:t>
      </w:r>
      <w:r>
        <w:rPr>
          <w:rFonts w:ascii="Arial" w:cs="Arial" w:eastAsia="Arial" w:hAnsi="Arial"/>
          <w:sz w:val="18"/>
          <w:szCs w:val="18"/>
          <w:u w:val="single" w:color="auto"/>
          <w:color w:val="008000"/>
        </w:rPr>
        <w:t>syndicated credit facilities</w:t>
      </w:r>
      <w:r>
        <w:rPr>
          <w:rFonts w:ascii="Arial" w:cs="Arial" w:eastAsia="Arial" w:hAnsi="Arial"/>
          <w:sz w:val="18"/>
          <w:szCs w:val="18"/>
          <w:u w:val="single" w:color="auto"/>
          <w:color w:val="0000FF"/>
        </w:rPr>
        <w:t xml:space="preserve"> denominated in the applicable Agreed Currency at such time in the United States;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0000FF"/>
        </w:rPr>
        <w:t>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0000FF"/>
        </w:rPr>
        <w:t xml:space="preserve">“Benchmark Replacement </w:t>
      </w:r>
      <w:r>
        <w:rPr>
          <w:rFonts w:ascii="Arial" w:cs="Arial" w:eastAsia="Arial" w:hAnsi="Arial"/>
          <w:sz w:val="19"/>
          <w:szCs w:val="19"/>
          <w:u w:val="single" w:color="auto"/>
          <w:color w:val="008000"/>
        </w:rPr>
        <w:t>Conforming Changes” means, with respect to any</w:t>
      </w:r>
      <w:r>
        <w:rPr>
          <w:rFonts w:ascii="Arial" w:cs="Arial" w:eastAsia="Arial" w:hAnsi="Arial"/>
          <w:sz w:val="19"/>
          <w:szCs w:val="19"/>
          <w:u w:val="single" w:color="auto"/>
          <w:color w:val="0000FF"/>
        </w:rPr>
        <w:t xml:space="preserve"> Benchmark Replacement</w:t>
      </w:r>
      <w:r>
        <w:rPr>
          <w:rFonts w:ascii="Arial" w:cs="Arial" w:eastAsia="Arial" w:hAnsi="Arial"/>
          <w:sz w:val="19"/>
          <w:szCs w:val="19"/>
          <w:u w:val="single" w:color="auto"/>
          <w:color w:val="008000"/>
        </w:rPr>
        <w:t>, any technical, administrative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or operational </w:t>
      </w:r>
      <w:r>
        <w:rPr>
          <w:rFonts w:ascii="Arial" w:cs="Arial" w:eastAsia="Arial" w:hAnsi="Arial"/>
          <w:sz w:val="19"/>
          <w:szCs w:val="19"/>
          <w:u w:val="single" w:color="auto"/>
          <w:color w:val="0000FF"/>
        </w:rPr>
        <w:t>changes (including changes to the definition of “Base Rate,” the definition of “Business Day,” the definition of “Interest</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Period,” </w:t>
      </w:r>
      <w:r>
        <w:rPr>
          <w:rFonts w:ascii="Arial" w:cs="Arial" w:eastAsia="Arial" w:hAnsi="Arial"/>
          <w:sz w:val="19"/>
          <w:szCs w:val="19"/>
          <w:u w:val="single" w:color="auto"/>
          <w:color w:val="008000"/>
        </w:rPr>
        <w:t>the timing and frequency of determining rates and making payments of interest</w:t>
      </w:r>
      <w:r>
        <w:rPr>
          <w:rFonts w:ascii="Arial" w:cs="Arial" w:eastAsia="Arial" w:hAnsi="Arial"/>
          <w:sz w:val="19"/>
          <w:szCs w:val="19"/>
          <w:u w:val="single" w:color="auto"/>
          <w:color w:val="0000FF"/>
        </w:rPr>
        <w:t xml:space="preserve">, the timing of borrowing requests or prepayment, conversion or continuation notices, the length of lookback periods, the applicability of breakage provisions, and other technical, administrative or operational matters) that the Administrative Agent decides in its reasonable discretion may be appropriate </w:t>
      </w:r>
      <w:r>
        <w:rPr>
          <w:rFonts w:ascii="Arial" w:cs="Arial" w:eastAsia="Arial" w:hAnsi="Arial"/>
          <w:sz w:val="19"/>
          <w:szCs w:val="19"/>
          <w:u w:val="single" w:color="auto"/>
          <w:color w:val="008000"/>
        </w:rPr>
        <w:t>to reflect the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adoption and implementation of such </w:t>
      </w:r>
      <w:r>
        <w:rPr>
          <w:rFonts w:ascii="Arial" w:cs="Arial" w:eastAsia="Arial" w:hAnsi="Arial"/>
          <w:sz w:val="19"/>
          <w:szCs w:val="19"/>
          <w:u w:val="single" w:color="auto"/>
          <w:color w:val="0000FF"/>
        </w:rPr>
        <w:t>Benchmark Replacement</w:t>
      </w:r>
      <w:r>
        <w:rPr>
          <w:rFonts w:ascii="Arial" w:cs="Arial" w:eastAsia="Arial" w:hAnsi="Arial"/>
          <w:sz w:val="19"/>
          <w:szCs w:val="19"/>
          <w:u w:val="single" w:color="auto"/>
          <w:color w:val="008000"/>
        </w:rPr>
        <w:t xml:space="preserve"> and to permit the administration thereof by the Administrative Agent in a manner substantially consistent with market practice (or, if the Administrative Agent </w:t>
      </w:r>
      <w:r>
        <w:rPr>
          <w:rFonts w:ascii="Arial" w:cs="Arial" w:eastAsia="Arial" w:hAnsi="Arial"/>
          <w:sz w:val="19"/>
          <w:szCs w:val="19"/>
          <w:u w:val="single" w:color="auto"/>
          <w:color w:val="0000FF"/>
        </w:rPr>
        <w:t>decides in its reasonable discretion</w:t>
      </w:r>
      <w:r>
        <w:rPr>
          <w:rFonts w:ascii="Arial" w:cs="Arial" w:eastAsia="Arial" w:hAnsi="Arial"/>
          <w:sz w:val="19"/>
          <w:szCs w:val="19"/>
          <w:u w:val="single" w:color="auto"/>
          <w:color w:val="008000"/>
        </w:rPr>
        <w:t xml:space="preserve"> that adoption of any portion of such market practice </w:t>
      </w:r>
      <w:r>
        <w:rPr>
          <w:rFonts w:ascii="Arial" w:cs="Arial" w:eastAsia="Arial" w:hAnsi="Arial"/>
          <w:sz w:val="19"/>
          <w:szCs w:val="19"/>
          <w:u w:val="single" w:color="auto"/>
          <w:color w:val="0000FF"/>
        </w:rPr>
        <w:t>is not administratively feasible or if the Administrative Agent determines</w:t>
      </w:r>
      <w:r>
        <w:rPr>
          <w:rFonts w:ascii="Arial" w:cs="Arial" w:eastAsia="Arial" w:hAnsi="Arial"/>
          <w:sz w:val="19"/>
          <w:szCs w:val="19"/>
          <w:u w:val="single" w:color="auto"/>
          <w:color w:val="008000"/>
        </w:rPr>
        <w:t xml:space="preserve"> that no market practice for the administration of such </w:t>
      </w:r>
      <w:r>
        <w:rPr>
          <w:rFonts w:ascii="Arial" w:cs="Arial" w:eastAsia="Arial" w:hAnsi="Arial"/>
          <w:sz w:val="19"/>
          <w:szCs w:val="19"/>
          <w:u w:val="single" w:color="auto"/>
          <w:color w:val="0000FF"/>
        </w:rPr>
        <w:t>Benchmark Replacement</w:t>
      </w:r>
      <w:r>
        <w:rPr>
          <w:rFonts w:ascii="Arial" w:cs="Arial" w:eastAsia="Arial" w:hAnsi="Arial"/>
          <w:sz w:val="19"/>
          <w:szCs w:val="19"/>
          <w:u w:val="single" w:color="auto"/>
          <w:color w:val="008000"/>
        </w:rPr>
        <w:t xml:space="preserve"> exists, in such other manner of administration as the Administrative Agent </w:t>
      </w:r>
      <w:r>
        <w:rPr>
          <w:rFonts w:ascii="Arial" w:cs="Arial" w:eastAsia="Arial" w:hAnsi="Arial"/>
          <w:sz w:val="19"/>
          <w:szCs w:val="19"/>
          <w:u w:val="single" w:color="auto"/>
          <w:color w:val="0000FF"/>
        </w:rPr>
        <w:t>decides in its</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reasonable discretion</w:t>
      </w:r>
      <w:r>
        <w:rPr>
          <w:rFonts w:ascii="Arial" w:cs="Arial" w:eastAsia="Arial" w:hAnsi="Arial"/>
          <w:sz w:val="19"/>
          <w:szCs w:val="19"/>
          <w:color w:val="0000FF"/>
        </w:rPr>
        <w:t xml:space="preserve"> </w:t>
      </w:r>
      <w:r>
        <w:rPr>
          <w:rFonts w:ascii="Arial" w:cs="Arial" w:eastAsia="Arial" w:hAnsi="Arial"/>
          <w:sz w:val="19"/>
          <w:szCs w:val="19"/>
          <w:u w:val="single" w:color="auto"/>
          <w:color w:val="008000"/>
        </w:rPr>
        <w:t>in consultation with the Company</w:t>
      </w:r>
      <w:r>
        <w:rPr>
          <w:rFonts w:ascii="Arial" w:cs="Arial" w:eastAsia="Arial" w:hAnsi="Arial"/>
          <w:sz w:val="19"/>
          <w:szCs w:val="19"/>
          <w:color w:val="0000FF"/>
        </w:rPr>
        <w:t xml:space="preserve"> is reasonably necessary in connection with the administration of this Agreement and </w:t>
      </w:r>
      <w:r>
        <w:rPr>
          <w:rFonts w:ascii="Arial" w:cs="Arial" w:eastAsia="Arial" w:hAnsi="Arial"/>
          <w:sz w:val="19"/>
          <w:szCs w:val="19"/>
          <w:u w:val="single" w:color="auto"/>
          <w:color w:val="0000FF"/>
        </w:rPr>
        <w:t>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-178435</wp:posOffset>
            </wp:positionV>
            <wp:extent cx="432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21810"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“Benchmark Replacement Date” means the earliest to occur of the following events with respect to the then-current Benchmark:</w:t>
      </w:r>
    </w:p>
    <w:p>
      <w:pPr>
        <w:spacing w:after="0" w:line="239" w:lineRule="exact"/>
        <w:rPr>
          <w:sz w:val="20"/>
          <w:szCs w:val="20"/>
          <w:color w:val="auto"/>
        </w:rPr>
      </w:pPr>
    </w:p>
    <w:p>
      <w:pPr>
        <w:jc w:val="both"/>
        <w:ind w:firstLine="1304"/>
        <w:spacing w:after="0" w:line="246" w:lineRule="auto"/>
        <w:tabs>
          <w:tab w:leader="none" w:pos="1932" w:val="left"/>
        </w:tabs>
        <w:numPr>
          <w:ilvl w:val="0"/>
          <w:numId w:val="13"/>
        </w:numPr>
        <w:rPr>
          <w:rFonts w:ascii="Arial" w:cs="Arial" w:eastAsia="Arial" w:hAnsi="Arial"/>
          <w:sz w:val="20"/>
          <w:szCs w:val="20"/>
          <w:color w:val="0000FF"/>
        </w:rPr>
      </w:pPr>
      <w:r>
        <w:rPr>
          <w:rFonts w:ascii="Arial" w:cs="Arial" w:eastAsia="Arial" w:hAnsi="Arial"/>
          <w:sz w:val="20"/>
          <w:szCs w:val="20"/>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91" w:lineRule="exact"/>
        <w:rPr>
          <w:rFonts w:ascii="Arial" w:cs="Arial" w:eastAsia="Arial" w:hAnsi="Arial"/>
          <w:sz w:val="20"/>
          <w:szCs w:val="20"/>
          <w:color w:val="0000FF"/>
        </w:rPr>
      </w:pPr>
    </w:p>
    <w:p>
      <w:pPr>
        <w:ind w:right="20" w:firstLine="1304"/>
        <w:spacing w:after="0" w:line="260" w:lineRule="auto"/>
        <w:tabs>
          <w:tab w:leader="none" w:pos="1932" w:val="left"/>
        </w:tabs>
        <w:numPr>
          <w:ilvl w:val="0"/>
          <w:numId w:val="13"/>
        </w:numPr>
        <w:rPr>
          <w:rFonts w:ascii="Arial" w:cs="Arial" w:eastAsia="Arial" w:hAnsi="Arial"/>
          <w:sz w:val="20"/>
          <w:szCs w:val="20"/>
          <w:color w:val="0000FF"/>
        </w:rPr>
      </w:pPr>
      <w:r>
        <w:rPr>
          <w:rFonts w:ascii="Arial" w:cs="Arial" w:eastAsia="Arial" w:hAnsi="Arial"/>
          <w:sz w:val="20"/>
          <w:szCs w:val="20"/>
          <w:u w:val="single" w:color="auto"/>
          <w:color w:val="0000FF"/>
        </w:rPr>
        <w:t>in the case of clause (3) of the definition of “Benchmark Transition Event,” the date of the public statement or publication of information referenced therein;</w:t>
      </w:r>
    </w:p>
    <w:p>
      <w:pPr>
        <w:spacing w:after="0" w:line="176" w:lineRule="exact"/>
        <w:rPr>
          <w:rFonts w:ascii="Arial" w:cs="Arial" w:eastAsia="Arial" w:hAnsi="Arial"/>
          <w:sz w:val="20"/>
          <w:szCs w:val="20"/>
          <w:color w:val="0000FF"/>
        </w:rPr>
      </w:pPr>
    </w:p>
    <w:p>
      <w:pPr>
        <w:jc w:val="both"/>
        <w:ind w:firstLine="1304"/>
        <w:spacing w:after="0" w:line="250" w:lineRule="auto"/>
        <w:tabs>
          <w:tab w:leader="none" w:pos="1932" w:val="left"/>
        </w:tabs>
        <w:numPr>
          <w:ilvl w:val="0"/>
          <w:numId w:val="13"/>
        </w:numPr>
        <w:rPr>
          <w:rFonts w:ascii="Arial" w:cs="Arial" w:eastAsia="Arial" w:hAnsi="Arial"/>
          <w:sz w:val="20"/>
          <w:szCs w:val="20"/>
          <w:color w:val="0000FF"/>
        </w:rPr>
      </w:pPr>
      <w:r>
        <w:rPr>
          <w:rFonts w:ascii="Arial" w:cs="Arial" w:eastAsia="Arial" w:hAnsi="Arial"/>
          <w:sz w:val="20"/>
          <w:szCs w:val="20"/>
          <w:u w:val="single" w:color="auto"/>
          <w:color w:val="0000FF"/>
        </w:rPr>
        <w:t>in the case of a Term SOFR Transition Event or a Term ESTR Transition Event, as applicable, the date that is 30 days after the date a Term SOFR Notice or a Term ESTR Notice, as applicable, is provided to the Lenders and the Company pursuant to Section 3.07(b);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9" w:right="339" w:bottom="1440" w:gutter="0" w:footer="0" w:header="0"/>
        </w:sectPr>
      </w:pPr>
    </w:p>
    <w:bookmarkStart w:id="24" w:name="page25"/>
    <w:bookmarkEnd w:id="24"/>
    <w:p>
      <w:pPr>
        <w:jc w:val="both"/>
        <w:ind w:firstLine="1304"/>
        <w:spacing w:after="0" w:line="233" w:lineRule="exact"/>
        <w:tabs>
          <w:tab w:leader="none" w:pos="1932" w:val="left"/>
        </w:tabs>
        <w:numPr>
          <w:ilvl w:val="0"/>
          <w:numId w:val="14"/>
        </w:numPr>
        <w:rPr>
          <w:rFonts w:ascii="Arial" w:cs="Arial" w:eastAsia="Arial" w:hAnsi="Arial"/>
          <w:sz w:val="18"/>
          <w:szCs w:val="18"/>
          <w:color w:val="0000FF"/>
        </w:rPr>
      </w:pPr>
      <w:r>
        <w:rPr>
          <w:rFonts w:ascii="Arial" w:cs="Arial" w:eastAsia="Arial" w:hAnsi="Arial"/>
          <w:sz w:val="18"/>
          <w:szCs w:val="18"/>
          <w:u w:val="single" w:color="auto"/>
          <w:color w:val="0000FF"/>
        </w:rPr>
        <w:t>in the case of an Early Opt</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in Election or an Other Benchmark Rate Election, as applicable, the 6th Business Day after the date notice of such Early Opt</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in Election or Other Benchmark Rate Election, as applicable, is provided to the Lenders (and the Company), so long as the Administrative Agent has not received, by 5:00 p.m. (Chicago time) on the 5th Business Day after the date notice of such Early Opt</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in Election or Other Benchmark Rate Election, as applicable, is provided to the Lenders, written notice of objection to such Early Opt</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 xml:space="preserve">in Election or Other Benchmark Rate Election, as applicable, from </w:t>
      </w:r>
      <w:r>
        <w:rPr>
          <w:rFonts w:ascii="Arial" w:cs="Arial" w:eastAsia="Arial" w:hAnsi="Arial"/>
          <w:sz w:val="18"/>
          <w:szCs w:val="18"/>
          <w:u w:val="single" w:color="auto"/>
          <w:color w:val="008000"/>
        </w:rPr>
        <w:t>Lenders comprising the Required Lenders</w:t>
      </w:r>
      <w:r>
        <w:rPr>
          <w:rFonts w:ascii="Arial" w:cs="Arial" w:eastAsia="Arial" w:hAnsi="Arial"/>
          <w:sz w:val="18"/>
          <w:szCs w:val="18"/>
          <w:u w:val="single" w:color="auto"/>
          <w:color w:val="0000FF"/>
        </w:rPr>
        <w:t>.</w:t>
      </w:r>
    </w:p>
    <w:p>
      <w:pPr>
        <w:spacing w:after="0" w:line="199"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current Available Tenors of such Benchmark (or the published component used in the calculation thereof).</w:t>
      </w:r>
    </w:p>
    <w:p>
      <w:pPr>
        <w:spacing w:after="0" w:line="198"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u w:val="single" w:color="auto"/>
          <w:color w:val="0000FF"/>
        </w:rPr>
        <w:t>“Benchmark Transition Event” means the occurrence of one or more of the following events with respect to the then</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Benchmark:</w:t>
      </w:r>
    </w:p>
    <w:p>
      <w:pPr>
        <w:spacing w:after="0" w:line="200" w:lineRule="exact"/>
        <w:rPr>
          <w:sz w:val="20"/>
          <w:szCs w:val="20"/>
          <w:color w:val="auto"/>
        </w:rPr>
      </w:pPr>
    </w:p>
    <w:p>
      <w:pPr>
        <w:jc w:val="both"/>
        <w:ind w:firstLine="1304"/>
        <w:spacing w:after="0" w:line="244" w:lineRule="auto"/>
        <w:tabs>
          <w:tab w:leader="none" w:pos="1932" w:val="left"/>
        </w:tabs>
        <w:numPr>
          <w:ilvl w:val="0"/>
          <w:numId w:val="15"/>
        </w:numPr>
        <w:rPr>
          <w:rFonts w:ascii="Arial" w:cs="Arial" w:eastAsia="Arial" w:hAnsi="Arial"/>
          <w:sz w:val="20"/>
          <w:szCs w:val="20"/>
          <w:color w:val="0000FF"/>
        </w:rPr>
      </w:pPr>
      <w:r>
        <w:rPr>
          <w:rFonts w:ascii="Arial" w:cs="Arial" w:eastAsia="Arial" w:hAnsi="Arial"/>
          <w:sz w:val="20"/>
          <w:szCs w:val="20"/>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194" w:lineRule="exact"/>
        <w:rPr>
          <w:rFonts w:ascii="Arial" w:cs="Arial" w:eastAsia="Arial" w:hAnsi="Arial"/>
          <w:sz w:val="20"/>
          <w:szCs w:val="20"/>
          <w:color w:val="0000FF"/>
        </w:rPr>
      </w:pPr>
    </w:p>
    <w:p>
      <w:pPr>
        <w:jc w:val="both"/>
        <w:ind w:firstLine="1304"/>
        <w:spacing w:after="0" w:line="273" w:lineRule="auto"/>
        <w:tabs>
          <w:tab w:leader="none" w:pos="1932" w:val="left"/>
        </w:tabs>
        <w:numPr>
          <w:ilvl w:val="0"/>
          <w:numId w:val="15"/>
        </w:numPr>
        <w:rPr>
          <w:rFonts w:ascii="Arial" w:cs="Arial" w:eastAsia="Arial" w:hAnsi="Arial"/>
          <w:sz w:val="18"/>
          <w:szCs w:val="18"/>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the FRB, the NYFRB,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 or</w:t>
      </w:r>
    </w:p>
    <w:p>
      <w:pPr>
        <w:spacing w:after="0" w:line="168" w:lineRule="exact"/>
        <w:rPr>
          <w:rFonts w:ascii="Arial" w:cs="Arial" w:eastAsia="Arial" w:hAnsi="Arial"/>
          <w:sz w:val="18"/>
          <w:szCs w:val="18"/>
          <w:color w:val="0000FF"/>
        </w:rPr>
      </w:pPr>
    </w:p>
    <w:p>
      <w:pPr>
        <w:jc w:val="both"/>
        <w:ind w:firstLine="1304"/>
        <w:spacing w:after="0" w:line="250" w:lineRule="auto"/>
        <w:tabs>
          <w:tab w:leader="none" w:pos="1932" w:val="left"/>
        </w:tabs>
        <w:numPr>
          <w:ilvl w:val="0"/>
          <w:numId w:val="15"/>
        </w:numPr>
        <w:rPr>
          <w:rFonts w:ascii="Arial" w:cs="Arial" w:eastAsia="Arial" w:hAnsi="Arial"/>
          <w:sz w:val="20"/>
          <w:szCs w:val="20"/>
          <w:color w:val="0000FF"/>
        </w:rPr>
      </w:pPr>
      <w:r>
        <w:rPr>
          <w:rFonts w:ascii="Arial" w:cs="Arial" w:eastAsia="Arial" w:hAnsi="Arial"/>
          <w:sz w:val="20"/>
          <w:szCs w:val="20"/>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u w:val="single" w:color="auto"/>
          <w:color w:val="0000FF"/>
        </w:rPr>
        <w:t>For the avoidance of doubt, a “Benchmark Transition Event” will be deemed to have occurred with respect to any Benchmark if a public statement or publication of information set forth above has occurred with respect to each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9" w:right="339" w:bottom="1440" w:gutter="0" w:footer="0" w:header="0"/>
        </w:sectPr>
      </w:pPr>
    </w:p>
    <w:bookmarkStart w:id="25" w:name="page26"/>
    <w:bookmarkEnd w:id="25"/>
    <w:p>
      <w:pPr>
        <w:jc w:val="both"/>
        <w:ind w:firstLine="648"/>
        <w:spacing w:after="0" w:line="233" w:lineRule="exact"/>
        <w:rPr>
          <w:sz w:val="20"/>
          <w:szCs w:val="20"/>
          <w:color w:val="auto"/>
        </w:rPr>
      </w:pPr>
      <w:r>
        <w:rPr>
          <w:rFonts w:ascii="Arial" w:cs="Arial" w:eastAsia="Arial" w:hAnsi="Arial"/>
          <w:sz w:val="20"/>
          <w:szCs w:val="20"/>
          <w:u w:val="single" w:color="auto"/>
          <w:color w:val="0000FF"/>
        </w:rPr>
        <w:t>“Benchmark Unavailability Period” means, with respect to any Benchmark, the period (if any) (x) beginning at the time that a Benchmark Replacement Date pursuant to clauses (1) or (2) of that definition has occurred if, at such time, no Benchmark Replacement has replaced the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current Benchmark for all purposes hereunder and under any Loan Document in accordance with Section 3.07 and (y) ending at the time that a Benchmark Replacement has replaced the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current Benchmark for all purposes hereunder and under any Loan Document in accordance with Section 3.07.</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BMO</w:t>
      </w:r>
      <w:r>
        <w:rPr>
          <w:rFonts w:ascii="Arial" w:cs="Arial" w:eastAsia="Arial" w:hAnsi="Arial"/>
          <w:sz w:val="20"/>
          <w:szCs w:val="20"/>
          <w:color w:val="auto"/>
        </w:rPr>
        <w:t>” means BMO Harris Bank N.A., together with its successors.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specified in the introductory paragraph hereto, and “</w:t>
      </w:r>
      <w:r>
        <w:rPr>
          <w:rFonts w:ascii="Arial" w:cs="Arial" w:eastAsia="Arial" w:hAnsi="Arial"/>
          <w:sz w:val="20"/>
          <w:szCs w:val="20"/>
          <w:u w:val="single" w:color="auto"/>
          <w:color w:val="auto"/>
        </w:rPr>
        <w:t>Borrower</w:t>
      </w:r>
      <w:r>
        <w:rPr>
          <w:rFonts w:ascii="Arial" w:cs="Arial" w:eastAsia="Arial" w:hAnsi="Arial"/>
          <w:sz w:val="20"/>
          <w:szCs w:val="20"/>
          <w:color w:val="auto"/>
        </w:rPr>
        <w:t>” means any one of them.</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Loans of the same Type, in the same currency and, in the case of Eurocurrency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Finance Luxembourg</w:t>
      </w:r>
      <w:r>
        <w:rPr>
          <w:rFonts w:ascii="Arial" w:cs="Arial" w:eastAsia="Arial" w:hAnsi="Arial"/>
          <w:sz w:val="20"/>
          <w:szCs w:val="20"/>
          <w:color w:val="auto"/>
        </w:rPr>
        <w:t>” means Brady Finance Luxembourg, a private limited liability company (</w:t>
      </w:r>
      <w:r>
        <w:rPr>
          <w:rFonts w:ascii="Arial" w:cs="Arial" w:eastAsia="Arial" w:hAnsi="Arial"/>
          <w:sz w:val="20"/>
          <w:szCs w:val="20"/>
          <w:i w:val="1"/>
          <w:iCs w:val="1"/>
          <w:color w:val="auto"/>
        </w:rPr>
        <w:t>société à responsabilité</w:t>
      </w:r>
      <w:r>
        <w:rPr>
          <w:rFonts w:ascii="Arial" w:cs="Arial" w:eastAsia="Arial" w:hAnsi="Arial"/>
          <w:sz w:val="20"/>
          <w:szCs w:val="20"/>
          <w:color w:val="auto"/>
        </w:rPr>
        <w:t xml:space="preserve"> </w:t>
      </w:r>
      <w:r>
        <w:rPr>
          <w:rFonts w:ascii="Arial" w:cs="Arial" w:eastAsia="Arial" w:hAnsi="Arial"/>
          <w:sz w:val="20"/>
          <w:szCs w:val="20"/>
          <w:i w:val="1"/>
          <w:iCs w:val="1"/>
          <w:color w:val="auto"/>
        </w:rPr>
        <w:t>limitée</w:t>
      </w:r>
      <w:r>
        <w:rPr>
          <w:rFonts w:ascii="Arial" w:cs="Arial" w:eastAsia="Arial" w:hAnsi="Arial"/>
          <w:sz w:val="20"/>
          <w:szCs w:val="20"/>
          <w:color w:val="auto"/>
        </w:rPr>
        <w:t>), organized under the laws of Luxembourg, having its registered office at 75, Parc d’Activités, L-8308 Capellen, Luxembourg,</w:t>
      </w:r>
      <w:r>
        <w:rPr>
          <w:rFonts w:ascii="Arial" w:cs="Arial" w:eastAsia="Arial" w:hAnsi="Arial"/>
          <w:sz w:val="20"/>
          <w:szCs w:val="20"/>
          <w:i w:val="1"/>
          <w:iCs w:val="1"/>
          <w:color w:val="auto"/>
        </w:rPr>
        <w:t xml:space="preserve"> </w:t>
      </w:r>
      <w:r>
        <w:rPr>
          <w:rFonts w:ascii="Arial" w:cs="Arial" w:eastAsia="Arial" w:hAnsi="Arial"/>
          <w:sz w:val="20"/>
          <w:szCs w:val="20"/>
          <w:color w:val="auto"/>
        </w:rPr>
        <w:t>registered with the Luxembourg Companies Register under number B 153389.</w:t>
      </w:r>
    </w:p>
    <w:p>
      <w:pPr>
        <w:spacing w:after="0" w:line="186"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SARL</w:t>
      </w:r>
      <w:r>
        <w:rPr>
          <w:rFonts w:ascii="Arial" w:cs="Arial" w:eastAsia="Arial" w:hAnsi="Arial"/>
          <w:sz w:val="20"/>
          <w:szCs w:val="20"/>
          <w:color w:val="auto"/>
        </w:rPr>
        <w:t>” means Brady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having its registered office at 75, Parc d’Activités, L</w:t>
      </w:r>
      <w:r>
        <w:rPr>
          <w:rFonts w:ascii="MS PGothic" w:cs="MS PGothic" w:eastAsia="MS PGothic" w:hAnsi="MS PGothic"/>
          <w:sz w:val="20"/>
          <w:szCs w:val="20"/>
          <w:color w:val="auto"/>
        </w:rPr>
        <w:t>‑</w:t>
      </w:r>
      <w:r>
        <w:rPr>
          <w:rFonts w:ascii="Arial" w:cs="Arial" w:eastAsia="Arial" w:hAnsi="Arial"/>
          <w:sz w:val="20"/>
          <w:szCs w:val="20"/>
          <w:color w:val="auto"/>
        </w:rPr>
        <w:t>8308 Capellen, Luxembourg, registered with the Luxembourg Companies Register under number B 177140.</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day on which dealings in Dollar deposits are conducted by and between banks in the London interbank eurodollar market;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w:t>
      </w:r>
      <w:r>
        <w:rPr>
          <w:rFonts w:ascii="Arial" w:cs="Arial" w:eastAsia="Arial" w:hAnsi="Arial"/>
          <w:sz w:val="18"/>
          <w:szCs w:val="18"/>
          <w:color w:val="FF0000"/>
          <w:strike w:val="1"/>
        </w:rPr>
        <w:t>TARGET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TARGET2</w:t>
      </w:r>
      <w:r>
        <w:rPr>
          <w:rFonts w:ascii="Arial" w:cs="Arial" w:eastAsia="Arial" w:hAnsi="Arial"/>
          <w:sz w:val="18"/>
          <w:szCs w:val="18"/>
          <w:color w:val="auto"/>
        </w:rPr>
        <w:t xml:space="preserve">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9"/>
          <w:szCs w:val="19"/>
          <w:color w:val="auto"/>
        </w:rPr>
        <w:t>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r>
        <w:rPr>
          <w:rFonts w:ascii="Arial" w:cs="Arial" w:eastAsia="Arial" w:hAnsi="Arial"/>
          <w:sz w:val="19"/>
          <w:szCs w:val="19"/>
          <w:u w:val="single" w:color="auto"/>
          <w:color w:val="0000FF"/>
        </w:rPr>
        <w:t>; provided that when used in connection with an RFR Loan and any interest rate settings, fundings, disbursements, settlements 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payments of any such RFR Loan, or any other dealings in the applicable Agreed Currency of such RFR Loan, the term “Business Day” shall also exclude any day on which banks are not open for dealings in deposits in such Agreed Currency in the interbank market in the principal financial center of the country whose lawful currency is such Agreed Currency</w:t>
      </w:r>
      <w:r>
        <w:rPr>
          <w:rFonts w:ascii="Arial" w:cs="Arial" w:eastAsia="Arial" w:hAnsi="Arial"/>
          <w:sz w:val="19"/>
          <w:szCs w:val="19"/>
          <w:color w:val="000000"/>
        </w:rPr>
        <w: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 with respect to any Person, any lease of (or other agreement conveying the right to use) any real or personal property by such Person that, in conformity with GAAP as in effect immediately prior to the adoption of FASB ASC 842, is accounted for as a capital lease on the balance sheet of such Person.</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provided, 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9" w:right="3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19"/>
          <w:szCs w:val="19"/>
          <w:color w:val="auto"/>
        </w:rPr>
        <w:t>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“CBR Loan” means a Loan that bears interest at a rate determined by reference to the Central Bank Rate.</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u w:val="single" w:color="auto"/>
          <w:color w:val="0000FF"/>
        </w:rPr>
        <w:t>“Central Bank Rate”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Japanese Yen, the “short-term prime rate” as publicly announced by the Bank of Japan (or any successor thereto) from time to time and (d) any other Alternative Currency determined after the First Amendment Effective Date, a central bank rate as determined by the Administrative Agent in its reasonable discretion in consultation with the Company and (ii) zero; plus (B) the applicable Central Bank Rate Adjustment.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u w:val="single" w:color="auto"/>
          <w:color w:val="0000FF"/>
        </w:rPr>
        <w:t>“Central Bank Rate Adjustment” means for any day, for any Loan denominated in (a) Sterling, a rate equal to the difference (which may be a positive or negative value, or zero) of (i) the average of SONIA for the last five (5) RFR Business Days for which SONIA was available (excluding the highest level from such series of days and the lowest level from such series of days) minus (ii) the Central Bank Rate in respect of Sterling in effect on the last Business Day in such period, (b) euro, a rate equal to the difference (which may be a positive or negative value, or zero) of (i) the average of the EURIBO Rate for the last five (5) Business Days for which the EURIBO Rate was available (excluding the highest level from such series of days and the lowest level from such series of days) minus (ii) the Central Bank Rate in respect of euro in effect on the last Business Day in such period, (c) Japanese Yen, a rate equal to the difference (which may be a positive or negative value, or zero) of (i) the average of the TIBO Rate for the last (5) five Business Days for which the TIBO Rate was available (excluding the highest level from such series of days and the lowest level from such series of days) minus (ii) the Central Bank Rate in respect of Japanese Yen in effect on the last Business Day in such period and (d) any other Alternative Currency determined after the First Amendment Effective Date, an adjustment as determined by the Administrative Agent in its reasonable discretion in consultation with the Company. For purposes of this definition, (x) the term Central Bank Rate shall be determined disregarding clause (B) of the definition of such term and (y) each of the EURIBO Rate and the TIBO Rate on any day shall be based on the EURIBOR Screen Rate or the TIBOR Screen Rate, as applicable, on such day at approximately the time referred to in the definition of such term for deposits in the applicable Agreed Currency for a maturity of one month (or, in the event the EURIBOR Screen Rate or the TIBOR Screen Rate, as applicable, for deposits in the applicable Agreed Currency is not available for such maturity of one month, shall be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28" w:name="page29"/>
    <w:bookmarkEnd w:id="28"/>
    <w:p>
      <w:pPr>
        <w:jc w:val="both"/>
        <w:ind w:right="20"/>
        <w:spacing w:after="0" w:line="260" w:lineRule="auto"/>
        <w:rPr>
          <w:sz w:val="20"/>
          <w:szCs w:val="20"/>
          <w:color w:val="auto"/>
        </w:rPr>
      </w:pPr>
      <w:r>
        <w:rPr>
          <w:rFonts w:ascii="Arial" w:cs="Arial" w:eastAsia="Arial" w:hAnsi="Arial"/>
          <w:sz w:val="20"/>
          <w:szCs w:val="20"/>
          <w:u w:val="single" w:color="auto"/>
          <w:color w:val="0000FF"/>
        </w:rPr>
        <w:t xml:space="preserve">EURIBO Interpolated Rate or the TIBO Interpolated Rate, as applicable, as of such time); </w:t>
      </w:r>
      <w:r>
        <w:rPr>
          <w:rFonts w:ascii="Arial" w:cs="Arial" w:eastAsia="Arial" w:hAnsi="Arial"/>
          <w:sz w:val="20"/>
          <w:szCs w:val="20"/>
          <w:i w:val="1"/>
          <w:iCs w:val="1"/>
          <w:u w:val="single" w:color="auto"/>
          <w:color w:val="0000FF"/>
        </w:rPr>
        <w:t>provided</w:t>
      </w:r>
      <w:r>
        <w:rPr>
          <w:rFonts w:ascii="Arial" w:cs="Arial" w:eastAsia="Arial" w:hAnsi="Arial"/>
          <w:sz w:val="20"/>
          <w:szCs w:val="20"/>
          <w:u w:val="single" w:color="auto"/>
          <w:color w:val="0000FF"/>
        </w:rPr>
        <w:t xml:space="preserve"> that if such rate shall be less than 0.00%, such rate shall be deemed to be 0.00%.</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Closing Date (or, with respect to any Lender, if later, the date on which such Lender becomes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 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each Lender, the Revolving Commitment of such Lender.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7.01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Computation Period</w:t>
      </w:r>
      <w:r>
        <w:rPr>
          <w:rFonts w:ascii="Arial" w:cs="Arial" w:eastAsia="Arial" w:hAnsi="Arial"/>
          <w:sz w:val="20"/>
          <w:szCs w:val="20"/>
          <w:color w:val="auto"/>
        </w:rPr>
        <w:t>” means each period of four consecutive Fiscal Quarters ending on the last day of a Fiscal Quarter.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(a) to the extent deducted in computing such Consolidated Net Income and without duplication, (i) depreciation and amortization expense for such period, (ii) Consolidated Interest Expense for such period, (iii) income tax expense for such period, (iv) any unusual or non-recurring expenses or losses (including, whether or not otherwise includable as a separate item in the statement of Consolidated Net Income for such period, losses on the sales or other dispositions of assets outside the ordinary course of business and loss on early retirement of debt), (v) any other non-cash items for such period (excluding any write-down of current assets and any such non-cash charges to the extent that such charge represents an accrual of or reserve for a future cash payment), (vi) the amount of business optimization expenses and other restructuring charges (which, for the avoidance of doubt, shall include the effect of inventory optimization programs, plant closure, retention, severance, systems establishment costs and excess pension charges), (vii) the amount of cost savings, operating expense reductions and cost 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9" w:right="3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18"/>
          <w:szCs w:val="18"/>
          <w:color w:val="auto"/>
        </w:rPr>
        <w:t xml:space="preserve">relating to transactions consummated by the Company and its Subsidiaries and projected by the Borrowers in good faith to result from actions taken or committed to be taken no later than 12 months after the consummation of such transaction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and (x) any one-time costs, fees, expenses, premiums, make-whole payments and other similar items associated with the issuance, incurrence or repayment of Debt (including the closing of this Agreement), any issuance of equity interests, any Investment, any Acquisition, and any disposition of assets of the applicable Person, in each case to the extent permitted hereunder (and whether or not consummated),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 gain resulting from Hedging Agreements for currency exchange risk) and any unrealized foreign currency translation gains and (iv) any unrealized mark-to-market gains on Hedging Agreements, all as determined in accordance with GAAP. 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provided that the aggregate amount of add-backs made pursuant to clauses (a)(iv), (a)(vi), (a)(vii) and (a)</w:t>
      </w:r>
    </w:p>
    <w:p>
      <w:pPr>
        <w:spacing w:after="0" w:line="18" w:lineRule="exact"/>
        <w:rPr>
          <w:sz w:val="20"/>
          <w:szCs w:val="20"/>
          <w:color w:val="auto"/>
        </w:rPr>
      </w:pPr>
    </w:p>
    <w:p>
      <w:pPr>
        <w:ind w:firstLine="8"/>
        <w:spacing w:after="0" w:line="244" w:lineRule="auto"/>
        <w:tabs>
          <w:tab w:leader="none" w:pos="2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any period shall not exceed the greater of (A) $15,000,000 and (B) an amount equal to 15% of Consolidated EBITDA for such period (determined prior to giving effect to such add-backs).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means all Debt of the Company and its Subsidiaries, excluding (i) contingent obligations in respect of undrawn letters of credit, bank guarantees and banker’s acceptances and Suretyship Liabilities in respect of obligations not constituting Debt,</w:t>
      </w:r>
    </w:p>
    <w:p>
      <w:pPr>
        <w:spacing w:after="0" w:line="1" w:lineRule="exact"/>
        <w:rPr>
          <w:sz w:val="20"/>
          <w:szCs w:val="20"/>
          <w:color w:val="auto"/>
        </w:rPr>
      </w:pPr>
    </w:p>
    <w:p>
      <w:pPr>
        <w:jc w:val="both"/>
        <w:ind w:firstLine="8"/>
        <w:spacing w:after="0" w:line="241" w:lineRule="auto"/>
        <w:tabs>
          <w:tab w:leader="none" w:pos="313"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19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for any Computation Period, the ratio of (a) Consolidated EBITDA for such Computation Period to (b) Consolidated Interest Expense for such Computation Period.</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Computation Period, the consolidated interest expense of the Company and its Subsidiaries for such Computation Period,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9" w:right="339" w:bottom="1440" w:gutter="0" w:footer="0" w:header="0"/>
        </w:sectPr>
      </w:pPr>
    </w:p>
    <w:bookmarkStart w:id="30" w:name="page31"/>
    <w:bookmarkEnd w:id="30"/>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for any Computation Period, the ratio of (a) the difference of (i) Consolidated Funded Debt as of the last day of such Computation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Specified Cash as of the last day of such Computation Period to (b) Consolidated EBITDA for such Computation Period.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each deposit account and securities account that is subject to an account control agreement in form and substance satisfactory to the Administrative Agent and the L/C Issuer.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Group</w:t>
      </w:r>
      <w:r>
        <w:rPr>
          <w:rFonts w:ascii="Arial" w:cs="Arial" w:eastAsia="Arial" w:hAnsi="Arial"/>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0000FF"/>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u w:val="single" w:color="auto"/>
          <w:color w:val="0000FF"/>
        </w:rPr>
        <w:t xml:space="preserve">“Daily Simple ESTR” means, for any day, ESTR, with the conventions for this rate (which may include a lookback) being established by the Administrative Agent in accordance with the conventions for this rate selected or recommended by the Relevant Governmental Body for determining “Daily Simple ESTR” for syndicated business loans; provided that, if the Administrative Agent decides in its reasonable discretion that any such convention </w:t>
      </w:r>
      <w:r>
        <w:rPr>
          <w:rFonts w:ascii="Arial" w:cs="Arial" w:eastAsia="Arial" w:hAnsi="Arial"/>
          <w:sz w:val="19"/>
          <w:szCs w:val="19"/>
          <w:u w:val="single" w:color="auto"/>
          <w:color w:val="008000"/>
        </w:rPr>
        <w:t>is not administratively feasible</w:t>
      </w:r>
      <w:r>
        <w:rPr>
          <w:rFonts w:ascii="Arial" w:cs="Arial" w:eastAsia="Arial" w:hAnsi="Arial"/>
          <w:sz w:val="19"/>
          <w:szCs w:val="19"/>
          <w:u w:val="single" w:color="auto"/>
          <w:color w:val="0000FF"/>
        </w:rPr>
        <w:t xml:space="preserve"> for the Administrative Agent, then the Administrative Agent may establish another convention in its reasonable discretion in consultation with the Company.</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u w:val="single" w:color="auto"/>
          <w:color w:val="0000FF"/>
        </w:rPr>
        <w:t>“Daily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in its reasonable discretion that any such convention is not administratively feasible for the Administrative Agent, then the Administrative Agent may establish another comparable convention in its reasonable discretion in consultation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9" w:right="339" w:bottom="1440" w:gutter="0" w:footer="0" w:header="0"/>
        </w:sectPr>
      </w:pPr>
    </w:p>
    <w:bookmarkStart w:id="31" w:name="page32"/>
    <w:bookmarkEnd w:id="31"/>
    <w:p>
      <w:pPr>
        <w:jc w:val="both"/>
        <w:ind w:firstLine="648"/>
        <w:spacing w:after="0" w:line="260" w:lineRule="auto"/>
        <w:rPr>
          <w:sz w:val="20"/>
          <w:szCs w:val="20"/>
          <w:color w:val="auto"/>
        </w:rPr>
      </w:pPr>
      <w:r>
        <w:rPr>
          <w:rFonts w:ascii="Arial" w:cs="Arial" w:eastAsia="Arial" w:hAnsi="Arial"/>
          <w:sz w:val="19"/>
          <w:szCs w:val="19"/>
          <w:u w:val="single" w:color="auto"/>
          <w:color w:val="0000FF"/>
        </w:rPr>
        <w:t>“Daily Simple SONIA” means, for any RFR Loan denominated in Sterling, for any day (an “RFR Interest Day”), an interest rate per annum equal to the greater of (a) SONIA for the day that is five (5) RFR Business Days prior to (A) if such RFR Interest Day is an RFR Business Day, such RFR Interest Day or (B) if such RFR Interest Day is not an RFR Business Day, the RFR Business Day immediately preceding such RFR Interest Day and (b) zero. Any change in Daily Simple SONIA due to a change in the applicable RFR shall be effective from and including the effective date of such change in the RFR without notice to the Company.</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as in effect immediately prior the adoption of FASB ASC 842,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 in accordance with GAAP as in effect immediately prior to the adoption of FASB ASC 842.</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9" w:right="339" w:bottom="1440" w:gutter="0" w:footer="0" w:header="0"/>
        </w:sectPr>
      </w:pPr>
    </w:p>
    <w:bookmarkStart w:id="32" w:name="page33"/>
    <w:bookmarkEnd w:id="32"/>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when used with respect to Obligations other than Letter of Credit Fees,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Eurocurrency Rate </w:t>
      </w:r>
      <w:r>
        <w:rPr>
          <w:rFonts w:ascii="Arial" w:cs="Arial" w:eastAsia="Arial" w:hAnsi="Arial"/>
          <w:sz w:val="20"/>
          <w:szCs w:val="20"/>
          <w:u w:val="single" w:color="auto"/>
          <w:color w:val="0000FF"/>
        </w:rPr>
        <w:t>Loan or RFR</w:t>
      </w:r>
      <w:r>
        <w:rPr>
          <w:rFonts w:ascii="Arial" w:cs="Arial" w:eastAsia="Arial" w:hAnsi="Arial"/>
          <w:sz w:val="20"/>
          <w:szCs w:val="20"/>
          <w:color w:val="auto"/>
        </w:rPr>
        <w:t xml:space="preserve"> Loan, the Default Rate shall be an interest rate equal to the interest rate (including any Applicable Rate) otherwise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 in all cases to the fullest extent permitted by applicable Laws.</w:t>
      </w:r>
    </w:p>
    <w:p>
      <w:pPr>
        <w:spacing w:after="0" w:line="19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of a Bail-In Action,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as of the date established therefor by the Administrative Agent in a written notice of such determination, which shall be delivered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Administrative Agent to the Company, the L/C Issuer, the Swing Line Lender and each other Lender promptly following such determination.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w:t>
      </w:r>
      <w:r>
        <w:rPr>
          <w:rFonts w:ascii="Arial" w:cs="Arial" w:eastAsia="Arial" w:hAnsi="Arial"/>
          <w:sz w:val="20"/>
          <w:szCs w:val="20"/>
          <w:color w:val="auto"/>
        </w:rPr>
        <w:t>” means any limited liability company organized or formed under the laws of the State of Delaware.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 Division</w:t>
      </w:r>
      <w:r>
        <w:rPr>
          <w:rFonts w:ascii="Arial" w:cs="Arial" w:eastAsia="Arial" w:hAnsi="Arial"/>
          <w:sz w:val="20"/>
          <w:szCs w:val="20"/>
          <w:color w:val="auto"/>
        </w:rPr>
        <w:t>” means the statutory division of any Delaware LLC into two or more Delaware LLCs pursuant to Section 18-217 of the Delaware Limited Liability Company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territory or region itself is the subject of any Sanction.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shall mean (a) those Competitors identified on a list provided by the Company to the Administrative Agent and made available to the Lenders on the Closing Date (the “</w:t>
      </w:r>
      <w:r>
        <w:rPr>
          <w:rFonts w:ascii="Arial" w:cs="Arial" w:eastAsia="Arial" w:hAnsi="Arial"/>
          <w:sz w:val="19"/>
          <w:szCs w:val="19"/>
          <w:u w:val="single" w:color="auto"/>
          <w:color w:val="auto"/>
        </w:rPr>
        <w:t>Disqualified Institution List</w:t>
      </w:r>
      <w:r>
        <w:rPr>
          <w:rFonts w:ascii="Arial" w:cs="Arial" w:eastAsia="Arial" w:hAnsi="Arial"/>
          <w:sz w:val="19"/>
          <w:szCs w:val="19"/>
          <w:color w:val="auto"/>
        </w:rPr>
        <w:t xml:space="preserve">”) (as such Disqualified Institution List may be supplemented from time to time by the Borrowers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and (b) any other Competitor identified by legal name in writing to the Administrative Agent after the Closing Date (it being understood that the Company shall be required to provide a fully updated Disqualified Institution List to the Administrative Agent in order to supplement such list after the Closing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continuation of an Event of Default, the Company may not designate any additional Persons as Disqualified Institutions.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Borrower</w:t>
      </w:r>
      <w:r>
        <w:rPr>
          <w:rFonts w:ascii="Arial" w:cs="Arial" w:eastAsia="Arial" w:hAnsi="Arial"/>
          <w:sz w:val="20"/>
          <w:szCs w:val="20"/>
          <w:color w:val="auto"/>
        </w:rPr>
        <w:t>” means, collectively, the Company and each Designated Borrower that is a Domestic Subsidiary.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state of the United States or the District of Columbia.</w:t>
      </w:r>
    </w:p>
    <w:p>
      <w:pPr>
        <w:spacing w:after="0" w:line="177"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u w:val="single" w:color="auto"/>
          <w:color w:val="0000FF"/>
        </w:rPr>
        <w:t>“Early Opt</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in Election” means, with respect to any Agreed Currency,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9" w:right="339" w:bottom="1440" w:gutter="0" w:footer="0" w:header="0"/>
        </w:sectPr>
      </w:pPr>
    </w:p>
    <w:bookmarkStart w:id="34" w:name="page35"/>
    <w:bookmarkEnd w:id="34"/>
    <w:p>
      <w:pPr>
        <w:jc w:val="both"/>
        <w:ind w:firstLine="656"/>
        <w:spacing w:after="0" w:line="251" w:lineRule="auto"/>
        <w:tabs>
          <w:tab w:leader="none" w:pos="1284" w:val="left"/>
        </w:tabs>
        <w:numPr>
          <w:ilvl w:val="0"/>
          <w:numId w:val="18"/>
        </w:numPr>
        <w:rPr>
          <w:rFonts w:ascii="Arial" w:cs="Arial" w:eastAsia="Arial" w:hAnsi="Arial"/>
          <w:sz w:val="20"/>
          <w:szCs w:val="20"/>
          <w:color w:val="0000FF"/>
        </w:rPr>
      </w:pPr>
      <w:r>
        <w:rPr>
          <w:rFonts w:ascii="Arial" w:cs="Arial" w:eastAsia="Arial" w:hAnsi="Arial"/>
          <w:sz w:val="20"/>
          <w:szCs w:val="20"/>
          <w:u w:val="single" w:color="auto"/>
          <w:color w:val="0000FF"/>
        </w:rPr>
        <w:t>a notification by the Administrative Agent to (or the request by the Company to the Administrative Agent to notify) each of the other parties hereto that syndicated credit facilities denominated in the applicable Agreed Currency being executed at such time</w:t>
      </w:r>
      <w:r>
        <w:rPr>
          <w:rFonts w:ascii="Arial" w:cs="Arial" w:eastAsia="Arial" w:hAnsi="Arial"/>
          <w:sz w:val="20"/>
          <w:szCs w:val="20"/>
          <w:u w:val="single" w:color="auto"/>
          <w:color w:val="008000"/>
        </w:rPr>
        <w:t>, or that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include language similar to that contained in </w:t>
      </w:r>
      <w:r>
        <w:rPr>
          <w:rFonts w:ascii="Arial" w:cs="Arial" w:eastAsia="Arial" w:hAnsi="Arial"/>
          <w:sz w:val="21"/>
          <w:szCs w:val="21"/>
          <w:u w:val="single" w:color="auto"/>
          <w:color w:val="0000FF"/>
        </w:rPr>
        <w:t>Section 3.07</w:t>
      </w:r>
      <w:r>
        <w:rPr>
          <w:rFonts w:ascii="Arial" w:cs="Arial" w:eastAsia="Arial" w:hAnsi="Arial"/>
          <w:sz w:val="20"/>
          <w:szCs w:val="20"/>
          <w:u w:val="single" w:color="auto"/>
          <w:color w:val="008000"/>
        </w:rPr>
        <w:t xml:space="preserve"> are being executed or amended, </w:t>
      </w:r>
      <w:r>
        <w:rPr>
          <w:rFonts w:ascii="Arial" w:cs="Arial" w:eastAsia="Arial" w:hAnsi="Arial"/>
          <w:sz w:val="20"/>
          <w:szCs w:val="20"/>
          <w:u w:val="single" w:color="auto"/>
          <w:color w:val="0000FF"/>
        </w:rPr>
        <w:t>as applicable, in the United States to</w:t>
      </w:r>
      <w:r>
        <w:rPr>
          <w:rFonts w:ascii="Arial" w:cs="Arial" w:eastAsia="Arial" w:hAnsi="Arial"/>
          <w:sz w:val="20"/>
          <w:szCs w:val="20"/>
          <w:u w:val="single" w:color="auto"/>
          <w:color w:val="008000"/>
        </w:rPr>
        <w:t xml:space="preserve">, incorporate or adopt a new benchmark interest rate to replace </w:t>
      </w:r>
      <w:r>
        <w:rPr>
          <w:rFonts w:ascii="Arial" w:cs="Arial" w:eastAsia="Arial" w:hAnsi="Arial"/>
          <w:sz w:val="20"/>
          <w:szCs w:val="20"/>
          <w:u w:val="single" w:color="auto"/>
          <w:color w:val="0000FF"/>
        </w:rPr>
        <w:t>the Relevant Rate, and</w:t>
      </w:r>
    </w:p>
    <w:p>
      <w:pPr>
        <w:spacing w:after="0" w:line="186" w:lineRule="exact"/>
        <w:rPr>
          <w:rFonts w:ascii="Arial" w:cs="Arial" w:eastAsia="Arial" w:hAnsi="Arial"/>
          <w:sz w:val="20"/>
          <w:szCs w:val="20"/>
          <w:color w:val="0000FF"/>
        </w:rPr>
      </w:pPr>
    </w:p>
    <w:p>
      <w:pPr>
        <w:jc w:val="both"/>
        <w:ind w:firstLine="656"/>
        <w:spacing w:after="0" w:line="250" w:lineRule="auto"/>
        <w:tabs>
          <w:tab w:leader="none" w:pos="1284" w:val="left"/>
        </w:tabs>
        <w:numPr>
          <w:ilvl w:val="0"/>
          <w:numId w:val="18"/>
        </w:numPr>
        <w:rPr>
          <w:rFonts w:ascii="Arial" w:cs="Arial" w:eastAsia="Arial" w:hAnsi="Arial"/>
          <w:sz w:val="20"/>
          <w:szCs w:val="20"/>
          <w:color w:val="0000FF"/>
        </w:rPr>
      </w:pPr>
      <w:r>
        <w:rPr>
          <w:rFonts w:ascii="Arial" w:cs="Arial" w:eastAsia="Arial" w:hAnsi="Arial"/>
          <w:sz w:val="20"/>
          <w:szCs w:val="20"/>
          <w:u w:val="single" w:color="auto"/>
          <w:color w:val="0000FF"/>
        </w:rPr>
        <w:t>the joint election by</w:t>
      </w:r>
      <w:r>
        <w:rPr>
          <w:rFonts w:ascii="Arial" w:cs="Arial" w:eastAsia="Arial" w:hAnsi="Arial"/>
          <w:sz w:val="20"/>
          <w:szCs w:val="20"/>
          <w:color w:val="0000FF"/>
        </w:rPr>
        <w:t xml:space="preserve"> </w:t>
      </w:r>
      <w:r>
        <w:rPr>
          <w:rFonts w:ascii="Arial" w:cs="Arial" w:eastAsia="Arial" w:hAnsi="Arial"/>
          <w:sz w:val="20"/>
          <w:szCs w:val="20"/>
          <w:color w:val="008000"/>
        </w:rPr>
        <w:t>the Administrative Agent and the Company</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to declare that an Early Opt-in Election for such Agreed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Currency has occurred and the provision, as applicable</w:t>
      </w:r>
      <w:r>
        <w:rPr>
          <w:rFonts w:ascii="Arial" w:cs="Arial" w:eastAsia="Arial" w:hAnsi="Arial"/>
          <w:sz w:val="20"/>
          <w:szCs w:val="20"/>
          <w:u w:val="single" w:color="auto"/>
          <w:color w:val="008000"/>
        </w:rPr>
        <w:t>, by the Administrative Agent of</w:t>
      </w:r>
      <w:r>
        <w:rPr>
          <w:rFonts w:ascii="Arial" w:cs="Arial" w:eastAsia="Arial" w:hAnsi="Arial"/>
          <w:sz w:val="20"/>
          <w:szCs w:val="20"/>
          <w:u w:val="single" w:color="auto"/>
          <w:color w:val="0000FF"/>
        </w:rPr>
        <w:t xml:space="preserve"> written notice of such election to the Company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-753745</wp:posOffset>
            </wp:positionV>
            <wp:extent cx="31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-325120</wp:posOffset>
            </wp:positionV>
            <wp:extent cx="2343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Sections 11.06(b)(iii)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“Erroneous Payment” is defined in Section 11.25(a).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“ESTR” means, with respect to any Business Day, a rate per annum equal to the Euro Short Term Rate for such Business Day published by the ESTR Administrator on the ESTR Administrator’s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9"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0"/>
          <w:szCs w:val="20"/>
          <w:u w:val="single" w:color="auto"/>
          <w:color w:val="0000FF"/>
        </w:rPr>
        <w:t>“ESTR Administrator” means the European Central Bank (or any successor administrator of the Euro Short Term Rate).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0000FF"/>
        </w:rPr>
        <w:t>“ESTR Administrator’s Website” means the European Central Bank’s website, currently at http://www.ecb.europa.eu, or any successor source for the Euro Short Term Rate identified as such by the ESTR Administrator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u w:val="single" w:color="auto"/>
          <w:color w:val="0000FF"/>
        </w:rPr>
        <w:t>“EURIBO Interpolated Rate” means, at any time, with respect to any Eurocurrency Borrowing denominated in euro and for any Interest Period, the rate per annum (rounded to the same number of decimal places as the EURIBOR Screen Rate) determined by the Administrative Agent (which determination shall be conclusive and binding absent demonstrable error) to be equal to the rate that results from interpolating on a linear basis between: (a) the EURIBOR Screen Rate for the longest period (for which the EURIBOR Screen Rate is available for euro) that is shorter than the Impacted EURIBO Rate Interest Period; and (b) the EURIBOR Screen Rate for the shortest period (for which the EURIBOR Screen Rate is available for euro) that exceeds the Impacted EURIBO Rate Interest Period, in each case, at such time; provided that, if any EURIBO Interpolated Rate as so determined would be less than zero, such rate shall be deemed to be zero for the purposes of this Agreement.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u w:val="single" w:color="auto"/>
          <w:color w:val="0000FF"/>
        </w:rPr>
        <w:t xml:space="preserve">“EURIBO Rate” means, with respect to any Eurocurrency Borrowing denominated in euro and for any Interest Period, the EURIBOR Screen Rate at approximately 11:00 a.m., Brussels time, two (2) TARGET2 </w:t>
      </w:r>
      <w:r>
        <w:rPr>
          <w:rFonts w:ascii="Arial" w:cs="Arial" w:eastAsia="Arial" w:hAnsi="Arial"/>
          <w:sz w:val="19"/>
          <w:szCs w:val="19"/>
          <w:u w:val="single" w:color="auto"/>
          <w:color w:val="008000"/>
        </w:rPr>
        <w:t>Days prior to the commencement of such Interest</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Period</w:t>
      </w:r>
      <w:r>
        <w:rPr>
          <w:rFonts w:ascii="Arial" w:cs="Arial" w:eastAsia="Arial" w:hAnsi="Arial"/>
          <w:sz w:val="19"/>
          <w:szCs w:val="19"/>
          <w:u w:val="single" w:color="auto"/>
          <w:color w:val="0000FF"/>
        </w:rPr>
        <w:t>; provided that, if the EURIBOR Screen Rate shall not be available at such time for such Interest Period (an “Impacted EURIBO Rate</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Interest Period”) with respect to euro then the EURIBO Rate shall be the EURIBO Interpolated Rate.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0000FF"/>
        </w:rPr>
        <w:t>“EURIBOR Screen Rate” means, for any day and time, with respect to any Eurocurrency Borrowing denominated in euro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If such page or service ceases to be available, the Administrative Agent may specify another page or service displaying the relevant rate after consultation with the Company. If the EURIBOR Screen Rate as so determined would be less than zero, such rate shall be deemed to be zero for the purposes of this Agreement.</w:t>
      </w:r>
    </w:p>
    <w:p>
      <w:pPr>
        <w:spacing w:after="0" w:line="18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u w:val="single" w:color="auto"/>
          <w:color w:val="0000FF"/>
        </w:rPr>
        <w:t>“euro”,</w:t>
      </w:r>
      <w:r>
        <w:rPr>
          <w:rFonts w:ascii="Arial" w:cs="Arial" w:eastAsia="Arial" w:hAnsi="Arial"/>
          <w:sz w:val="20"/>
          <w:szCs w:val="20"/>
          <w:color w:val="0000FF"/>
        </w:rPr>
        <w:t xml:space="preserve"> </w:t>
      </w:r>
      <w:r>
        <w:rPr>
          <w:rFonts w:ascii="Arial" w:cs="Arial" w:eastAsia="Arial" w:hAnsi="Arial"/>
          <w:sz w:val="20"/>
          <w:szCs w:val="20"/>
          <w:color w:val="000000"/>
        </w:rPr>
        <w:t>“</w:t>
      </w:r>
      <w:r>
        <w:rPr>
          <w:rFonts w:ascii="Arial" w:cs="Arial" w:eastAsia="Arial" w:hAnsi="Arial"/>
          <w:sz w:val="20"/>
          <w:szCs w:val="20"/>
          <w:u w:val="single" w:color="auto"/>
          <w:color w:val="000000"/>
        </w:rPr>
        <w:t>Euro</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/or</w:t>
      </w:r>
      <w:r>
        <w:rPr>
          <w:rFonts w:ascii="Arial" w:cs="Arial" w:eastAsia="Arial" w:hAnsi="Arial"/>
          <w:sz w:val="20"/>
          <w:szCs w:val="20"/>
          <w:color w:val="0000FF"/>
        </w:rPr>
        <w:t xml:space="preserve"> </w:t>
      </w:r>
      <w:r>
        <w:rPr>
          <w:rFonts w:ascii="Arial" w:cs="Arial" w:eastAsia="Arial" w:hAnsi="Arial"/>
          <w:sz w:val="20"/>
          <w:szCs w:val="20"/>
          <w:color w:val="000000"/>
        </w:rPr>
        <w:t>“</w:t>
      </w:r>
      <w:r>
        <w:rPr>
          <w:rFonts w:ascii="Arial" w:cs="Arial" w:eastAsia="Arial" w:hAnsi="Arial"/>
          <w:sz w:val="20"/>
          <w:szCs w:val="20"/>
          <w:u w:val="single" w:color="auto"/>
          <w:color w:val="000000"/>
        </w:rPr>
        <w:t>EUR</w:t>
      </w:r>
      <w:r>
        <w:rPr>
          <w:rFonts w:ascii="Arial" w:cs="Arial" w:eastAsia="Arial" w:hAnsi="Arial"/>
          <w:sz w:val="20"/>
          <w:szCs w:val="20"/>
          <w:color w:val="000000"/>
        </w:rPr>
        <w:t>” mean the lawful currency of the Participating Member States introduced in accordance with the EMU</w:t>
      </w:r>
      <w:r>
        <w:rPr>
          <w:rFonts w:ascii="Arial" w:cs="Arial" w:eastAsia="Arial" w:hAnsi="Arial"/>
          <w:sz w:val="20"/>
          <w:szCs w:val="20"/>
          <w:color w:val="0000FF"/>
        </w:rPr>
        <w:t xml:space="preserve"> </w:t>
      </w:r>
      <w:r>
        <w:rPr>
          <w:rFonts w:ascii="Arial" w:cs="Arial" w:eastAsia="Arial" w:hAnsi="Arial"/>
          <w:sz w:val="20"/>
          <w:szCs w:val="20"/>
          <w:color w:val="000000"/>
        </w:rPr>
        <w:t>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-227965</wp:posOffset>
            </wp:positionV>
            <wp:extent cx="3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0000FF"/>
        </w:rPr>
        <w:t>“Eurocurrency”, when used in reference to a currency means an Agreed Currency (other than Sterling) and when used in reference to any Loan or Borrowing, means that such Loan, or the Loans comprising such Borrowing, bears interest at a rate determined by reference to the Adjusted LIBO Rate (except pursuant to clause (c) of the definition of “Base Rate”), the Adjusted EURIBO Rate or the Adjusted TIBO Rate.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Base Rate</w:t>
      </w:r>
      <w:r>
        <w:rPr>
          <w:rFonts w:ascii="Arial" w:cs="Arial" w:eastAsia="Arial" w:hAnsi="Arial"/>
          <w:sz w:val="20"/>
          <w:szCs w:val="20"/>
          <w:color w:val="auto"/>
        </w:rPr>
        <w:t>” means,</w:t>
      </w:r>
    </w:p>
    <w:p>
      <w:pPr>
        <w:spacing w:after="0" w:line="216" w:lineRule="exact"/>
        <w:rPr>
          <w:sz w:val="20"/>
          <w:szCs w:val="20"/>
          <w:color w:val="auto"/>
        </w:rPr>
      </w:pPr>
    </w:p>
    <w:p>
      <w:pPr>
        <w:ind w:left="1720" w:hanging="416"/>
        <w:spacing w:after="0"/>
        <w:tabs>
          <w:tab w:leader="none" w:pos="1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any Interest Period with respect to a Eurocurrency Rate Loan: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8"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19" w:right="339" w:bottom="1440" w:gutter="0" w:footer="0" w:header="0"/>
        </w:sectPr>
      </w:pPr>
    </w:p>
    <w:bookmarkStart w:id="36" w:name="page37"/>
    <w:bookmarkEnd w:id="36"/>
    <w:p>
      <w:pPr>
        <w:jc w:val="both"/>
        <w:ind w:left="640" w:firstLine="652"/>
        <w:spacing w:after="0" w:line="243" w:lineRule="auto"/>
        <w:tabs>
          <w:tab w:leader="none" w:pos="1673" w:val="left"/>
        </w:tabs>
        <w:numPr>
          <w:ilvl w:val="0"/>
          <w:numId w:val="20"/>
        </w:numPr>
        <w:rPr>
          <w:rFonts w:ascii="Arial" w:cs="Arial" w:eastAsia="Arial" w:hAnsi="Arial"/>
          <w:sz w:val="20"/>
          <w:szCs w:val="20"/>
          <w:color w:val="008000"/>
          <w:strike w:val="1"/>
        </w:rPr>
      </w:pPr>
      <w:r>
        <w:rPr>
          <w:rFonts w:ascii="Arial" w:cs="Arial" w:eastAsia="Arial" w:hAnsi="Arial"/>
          <w:sz w:val="20"/>
          <w:szCs w:val="20"/>
          <w:color w:val="008000"/>
          <w:strike w:val="1"/>
        </w:rPr>
        <w:t xml:space="preserve">in the case of any Eurocurrency Rate Loan denominated in </w:t>
      </w:r>
      <w:r>
        <w:rPr>
          <w:rFonts w:ascii="Arial" w:cs="Arial" w:eastAsia="Arial" w:hAnsi="Arial"/>
          <w:sz w:val="20"/>
          <w:szCs w:val="20"/>
          <w:color w:val="FF0000"/>
          <w:strike w:val="1"/>
        </w:rPr>
        <w:t>a LIBOR Quoted Currency, the rate per annum equal</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to the London Interbank Offered Rate (“</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FF0000"/>
          <w:strike w:val="1"/>
        </w:rPr>
        <w:t>LIBOR Rate</w:t>
      </w:r>
      <w:r>
        <w:rPr>
          <w:rFonts w:ascii="Arial" w:cs="Arial" w:eastAsia="Arial" w:hAnsi="Arial"/>
          <w:sz w:val="20"/>
          <w:szCs w:val="20"/>
          <w:color w:val="FF0000"/>
          <w:strike w:val="1"/>
        </w:rPr>
        <w:t xml:space="preserve">”) at or about 11:00 a.m., London time, two Business </w:t>
      </w:r>
      <w:r>
        <w:rPr>
          <w:rFonts w:ascii="Arial" w:cs="Arial" w:eastAsia="Arial" w:hAnsi="Arial"/>
          <w:sz w:val="20"/>
          <w:szCs w:val="20"/>
          <w:color w:val="008000"/>
          <w:strike w:val="1"/>
        </w:rPr>
        <w:t>Days prior to the commencement</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of such Interest Period</w:t>
      </w:r>
      <w:r>
        <w:rPr>
          <w:rFonts w:ascii="Arial" w:cs="Arial" w:eastAsia="Arial" w:hAnsi="Arial"/>
          <w:sz w:val="20"/>
          <w:szCs w:val="20"/>
          <w:color w:val="FF0000"/>
          <w:strike w:val="1"/>
        </w:rPr>
        <w:t>, for deposits in the relevant currency (for delivery on the first day of such Interest Period)</w:t>
      </w:r>
      <w:r>
        <w:rPr>
          <w:rFonts w:ascii="Arial" w:cs="Arial" w:eastAsia="Arial" w:hAnsi="Arial"/>
          <w:sz w:val="20"/>
          <w:szCs w:val="20"/>
          <w:color w:val="008000"/>
          <w:strike w:val="1"/>
        </w:rPr>
        <w:t xml:space="preserve"> with a term equivalent to such Interest Period;</w:t>
      </w:r>
    </w:p>
    <w:p>
      <w:pPr>
        <w:spacing w:after="0" w:line="196" w:lineRule="exact"/>
        <w:rPr>
          <w:sz w:val="20"/>
          <w:szCs w:val="20"/>
          <w:color w:val="auto"/>
        </w:rPr>
      </w:pPr>
    </w:p>
    <w:p>
      <w:pPr>
        <w:jc w:val="both"/>
        <w:ind w:left="640" w:firstLine="652"/>
        <w:spacing w:after="0" w:line="244" w:lineRule="auto"/>
        <w:tabs>
          <w:tab w:leader="none" w:pos="1524" w:val="left"/>
        </w:tabs>
        <w:numPr>
          <w:ilvl w:val="1"/>
          <w:numId w:val="21"/>
        </w:numPr>
        <w:rPr>
          <w:rFonts w:ascii="Arial" w:cs="Arial" w:eastAsia="Arial" w:hAnsi="Arial"/>
          <w:sz w:val="20"/>
          <w:szCs w:val="20"/>
          <w:u w:val="single" w:color="auto"/>
          <w:color w:val="008000"/>
        </w:rPr>
      </w:pPr>
      <w:r>
        <w:rPr>
          <w:rFonts w:ascii="Arial" w:cs="Arial" w:eastAsia="Arial" w:hAnsi="Arial"/>
          <w:sz w:val="20"/>
          <w:szCs w:val="20"/>
          <w:u w:val="single" w:color="auto"/>
          <w:color w:val="008000"/>
        </w:rPr>
        <w:t xml:space="preserve">in the case of any Eurocurrency Rate Loan denominated in </w:t>
      </w:r>
      <w:r>
        <w:rPr>
          <w:rFonts w:ascii="Arial" w:cs="Arial" w:eastAsia="Arial" w:hAnsi="Arial"/>
          <w:sz w:val="20"/>
          <w:szCs w:val="20"/>
          <w:u w:val="single" w:color="auto"/>
          <w:color w:val="0000FF"/>
        </w:rPr>
        <w:t>Dollars, euro or Japanese Yen, as applicable, and when</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 xml:space="preserve">used in reference to any Loan or Borrowing, means that such Loan, or the Loans comprising such Borrowing, bears interest at a rate determined by reference to the LIBO Rate (except pursuant to clause (c) of the definition of “Base Rate”), the EURIBO Rate or the TIBO Rate, as applicable, as of the applicable Reference Time </w:t>
      </w:r>
      <w:r>
        <w:rPr>
          <w:rFonts w:ascii="Arial" w:cs="Arial" w:eastAsia="Arial" w:hAnsi="Arial"/>
          <w:sz w:val="20"/>
          <w:szCs w:val="20"/>
          <w:u w:val="single" w:color="auto"/>
          <w:color w:val="008000"/>
        </w:rPr>
        <w:t>with a term equivalent to such Interest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Period;</w:t>
      </w:r>
    </w:p>
    <w:p>
      <w:pPr>
        <w:spacing w:after="0" w:line="194" w:lineRule="exact"/>
        <w:rPr>
          <w:rFonts w:ascii="Arial" w:cs="Arial" w:eastAsia="Arial" w:hAnsi="Arial"/>
          <w:sz w:val="20"/>
          <w:szCs w:val="20"/>
          <w:u w:val="single" w:color="auto"/>
          <w:color w:val="008000"/>
        </w:rPr>
      </w:pPr>
    </w:p>
    <w:p>
      <w:pPr>
        <w:jc w:val="both"/>
        <w:ind w:left="640" w:firstLine="652"/>
        <w:spacing w:after="0" w:line="260" w:lineRule="auto"/>
        <w:tabs>
          <w:tab w:leader="none" w:pos="1812"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case of any Eurocurrency Rate Loan denominated in Canadian Dollars, the rate per annum equal to the Canadian Dealer Offered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80" w:lineRule="exact"/>
        <w:rPr>
          <w:rFonts w:ascii="Arial" w:cs="Arial" w:eastAsia="Arial" w:hAnsi="Arial"/>
          <w:sz w:val="19"/>
          <w:szCs w:val="19"/>
          <w:color w:val="auto"/>
        </w:rPr>
      </w:pPr>
    </w:p>
    <w:p>
      <w:pPr>
        <w:jc w:val="both"/>
        <w:ind w:left="640" w:firstLine="652"/>
        <w:spacing w:after="0" w:line="260" w:lineRule="auto"/>
        <w:tabs>
          <w:tab w:leader="none" w:pos="1838"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case of any Eurocurrency Rate Loan denominated in Australian Dollars, the rate per annum equal to the Bank Bill Swap Reference Bid Rate,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80" w:lineRule="exact"/>
        <w:rPr>
          <w:rFonts w:ascii="Arial" w:cs="Arial" w:eastAsia="Arial" w:hAnsi="Arial"/>
          <w:sz w:val="19"/>
          <w:szCs w:val="19"/>
          <w:color w:val="auto"/>
        </w:rPr>
      </w:pPr>
    </w:p>
    <w:p>
      <w:pPr>
        <w:ind w:left="640" w:right="240" w:firstLine="652"/>
        <w:spacing w:after="0" w:line="291" w:lineRule="auto"/>
        <w:tabs>
          <w:tab w:leader="none" w:pos="17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in the case of any other Eurocurrency Rate Loan denominated in </w:t>
      </w:r>
      <w:r>
        <w:rPr>
          <w:rFonts w:ascii="Arial" w:cs="Arial" w:eastAsia="Arial" w:hAnsi="Arial"/>
          <w:sz w:val="18"/>
          <w:szCs w:val="18"/>
          <w:color w:val="FF0000"/>
          <w:strike w:val="1"/>
        </w:rPr>
        <w:t>a Non-LIBOR Quoted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 Alternative</w:t>
      </w:r>
      <w:r>
        <w:rPr>
          <w:rFonts w:ascii="Arial" w:cs="Arial" w:eastAsia="Arial" w:hAnsi="Arial"/>
          <w:sz w:val="18"/>
          <w:szCs w:val="18"/>
          <w:color w:val="auto"/>
        </w:rPr>
        <w:t xml:space="preserve"> Currency (other than those specified above), the rate designated with respect to such Alternative Currency at the time such Alternative Currency is approved by the Administrative Agent and the Lenders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jc w:val="both"/>
        <w:ind w:firstLine="644"/>
        <w:spacing w:after="0" w:line="291" w:lineRule="auto"/>
        <w:tabs>
          <w:tab w:leader="none" w:pos="11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any interest rate calculation with respect to a Base Rate Loan on any date, the rate per annum equal to the </w:t>
      </w:r>
      <w:r>
        <w:rPr>
          <w:rFonts w:ascii="Arial" w:cs="Arial" w:eastAsia="Arial" w:hAnsi="Arial"/>
          <w:sz w:val="18"/>
          <w:szCs w:val="18"/>
          <w:color w:val="FF0000"/>
          <w:strike w:val="1"/>
        </w:rPr>
        <w:t>LIBOR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LIBO</w:t>
      </w:r>
      <w:r>
        <w:rPr>
          <w:rFonts w:ascii="Arial" w:cs="Arial" w:eastAsia="Arial" w:hAnsi="Arial"/>
          <w:sz w:val="18"/>
          <w:szCs w:val="18"/>
          <w:color w:val="0000FF"/>
        </w:rPr>
        <w:t xml:space="preserve"> </w:t>
      </w:r>
      <w:r>
        <w:rPr>
          <w:rFonts w:ascii="Arial" w:cs="Arial" w:eastAsia="Arial" w:hAnsi="Arial"/>
          <w:sz w:val="18"/>
          <w:szCs w:val="18"/>
          <w:color w:val="000000"/>
        </w:rPr>
        <w:t>Rate, at approximately 11:00 a.m., London time determined two Business Days prior to such date for Dollar deposits being</w:t>
      </w:r>
      <w:r>
        <w:rPr>
          <w:rFonts w:ascii="Arial" w:cs="Arial" w:eastAsia="Arial" w:hAnsi="Arial"/>
          <w:sz w:val="18"/>
          <w:szCs w:val="18"/>
          <w:color w:val="0000FF"/>
        </w:rPr>
        <w:t xml:space="preserve"> </w:t>
      </w:r>
      <w:r>
        <w:rPr>
          <w:rFonts w:ascii="Arial" w:cs="Arial" w:eastAsia="Arial" w:hAnsi="Arial"/>
          <w:sz w:val="18"/>
          <w:szCs w:val="18"/>
          <w:color w:val="000000"/>
        </w:rPr>
        <w:t>delivered in the London interbank market for deposits in Dollars with a term of one month commencing that day;</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other than with respect to clause (a)(i) above (which shall be subject to </w:t>
      </w:r>
      <w:r>
        <w:rPr>
          <w:rFonts w:ascii="Arial" w:cs="Arial" w:eastAsia="Arial" w:hAnsi="Arial"/>
          <w:sz w:val="20"/>
          <w:szCs w:val="20"/>
          <w:u w:val="single" w:color="auto"/>
          <w:color w:val="auto"/>
        </w:rPr>
        <w:t>Section 3.07</w:t>
      </w:r>
      <w:r>
        <w:rPr>
          <w:rFonts w:ascii="Arial" w:cs="Arial" w:eastAsia="Arial" w:hAnsi="Arial"/>
          <w:sz w:val="20"/>
          <w:szCs w:val="20"/>
          <w:color w:val="auto"/>
        </w:rPr>
        <w:t xml:space="preserve">), (i) to the extent a comparable or successor rate is approved by the Administrative Agent in connection herewith, the approved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to the extent such market practice is not administratively feasible for the Administrative Agent, such approved rate shall be applied as otherwise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980" w:top="1419" w:right="339" w:bottom="1440" w:gutter="0" w:footer="0" w:header="0"/>
        </w:sectPr>
      </w:pPr>
    </w:p>
    <w:bookmarkStart w:id="37" w:name="page38"/>
    <w:bookmarkEnd w:id="37"/>
    <w:p>
      <w:pPr>
        <w:ind w:left="660"/>
        <w:spacing w:after="0" w:line="260" w:lineRule="auto"/>
        <w:rPr>
          <w:sz w:val="20"/>
          <w:szCs w:val="20"/>
          <w:color w:val="auto"/>
        </w:rPr>
      </w:pPr>
      <w:r>
        <w:rPr>
          <w:rFonts w:ascii="Arial" w:cs="Arial" w:eastAsia="Arial" w:hAnsi="Arial"/>
          <w:sz w:val="20"/>
          <w:szCs w:val="20"/>
          <w:color w:val="auto"/>
        </w:rPr>
        <w:t>determined by the Administrative Agent and (ii) if the Eurocurrency Base Rate shall be less than zero, such rate shall be deemed zero for purposes of this Agreement.</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xml:space="preserve">” means, for any Interest Period with respect to any Eurocurrency Rate Loan, a rate per annum determined by the Administrative Agent </w:t>
      </w:r>
      <w:r>
        <w:rPr>
          <w:rFonts w:ascii="Arial" w:cs="Arial" w:eastAsia="Arial" w:hAnsi="Arial"/>
          <w:sz w:val="20"/>
          <w:szCs w:val="20"/>
          <w:color w:val="FF0000"/>
          <w:strike w:val="1"/>
        </w:rPr>
        <w:t>to be</w:t>
      </w:r>
      <w:r>
        <w:rPr>
          <w:rFonts w:ascii="Arial" w:cs="Arial" w:eastAsia="Arial" w:hAnsi="Arial"/>
          <w:sz w:val="20"/>
          <w:szCs w:val="20"/>
          <w:color w:val="auto"/>
        </w:rPr>
        <w:t xml:space="preserve"> equal to </w:t>
      </w:r>
      <w:r>
        <w:rPr>
          <w:rFonts w:ascii="Arial" w:cs="Arial" w:eastAsia="Arial" w:hAnsi="Arial"/>
          <w:sz w:val="20"/>
          <w:szCs w:val="20"/>
          <w:color w:val="FF0000"/>
          <w:strike w:val="1"/>
        </w:rPr>
        <w:t>the quotient obtained by dividing</w:t>
      </w:r>
      <w:r>
        <w:rPr>
          <w:rFonts w:ascii="Arial" w:cs="Arial" w:eastAsia="Arial" w:hAnsi="Arial"/>
          <w:sz w:val="20"/>
          <w:szCs w:val="20"/>
          <w:color w:val="auto"/>
        </w:rPr>
        <w:t xml:space="preserve"> (a) the Eurocurrency Base Rate for such Eurocurrency Rate Loan for such Interest Period </w:t>
      </w:r>
      <w:r>
        <w:rPr>
          <w:rFonts w:ascii="Arial" w:cs="Arial" w:eastAsia="Arial" w:hAnsi="Arial"/>
          <w:sz w:val="20"/>
          <w:szCs w:val="20"/>
          <w:u w:val="single" w:color="auto"/>
          <w:color w:val="0000FF"/>
        </w:rPr>
        <w:t>multiplied</w:t>
      </w:r>
      <w:r>
        <w:rPr>
          <w:rFonts w:ascii="Arial" w:cs="Arial" w:eastAsia="Arial" w:hAnsi="Arial"/>
          <w:sz w:val="20"/>
          <w:szCs w:val="20"/>
          <w:color w:val="auto"/>
        </w:rPr>
        <w:t xml:space="preserve"> by (b) </w:t>
      </w:r>
      <w:r>
        <w:rPr>
          <w:rFonts w:ascii="Arial" w:cs="Arial" w:eastAsia="Arial" w:hAnsi="Arial"/>
          <w:sz w:val="20"/>
          <w:szCs w:val="20"/>
          <w:color w:val="FF0000"/>
          <w:strike w:val="1"/>
        </w:rPr>
        <w:t>one</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minus</w:t>
      </w:r>
      <w:r>
        <w:rPr>
          <w:rFonts w:ascii="Arial" w:cs="Arial" w:eastAsia="Arial" w:hAnsi="Arial"/>
          <w:sz w:val="20"/>
          <w:szCs w:val="20"/>
          <w:color w:val="auto"/>
        </w:rPr>
        <w:t xml:space="preserve"> </w:t>
      </w:r>
      <w:r>
        <w:rPr>
          <w:rFonts w:ascii="Arial" w:cs="Arial" w:eastAsia="Arial" w:hAnsi="Arial"/>
          <w:sz w:val="20"/>
          <w:szCs w:val="20"/>
          <w:color w:val="FF0000"/>
          <w:strike w:val="1"/>
        </w:rPr>
        <w:t>the Eurocurrency Reserve Percentage for such Eurocurrency Rate Loan for such Interest</w:t>
      </w:r>
      <w:r>
        <w:rPr>
          <w:rFonts w:ascii="Arial" w:cs="Arial" w:eastAsia="Arial" w:hAnsi="Arial"/>
          <w:sz w:val="20"/>
          <w:szCs w:val="20"/>
          <w:color w:val="auto"/>
        </w:rPr>
        <w:t xml:space="preserve"> </w:t>
      </w:r>
      <w:r>
        <w:rPr>
          <w:rFonts w:ascii="Arial" w:cs="Arial" w:eastAsia="Arial" w:hAnsi="Arial"/>
          <w:sz w:val="20"/>
          <w:szCs w:val="20"/>
          <w:color w:val="FF0000"/>
          <w:strike w:val="1"/>
        </w:rPr>
        <w:t>Period</w:t>
      </w:r>
      <w:r>
        <w:rPr>
          <w:rFonts w:ascii="Arial" w:cs="Arial" w:eastAsia="Arial" w:hAnsi="Arial"/>
          <w:sz w:val="20"/>
          <w:szCs w:val="20"/>
          <w:u w:val="single" w:color="auto"/>
          <w:color w:val="0000FF"/>
        </w:rPr>
        <w:t>the Statutory Reserve Rate</w:t>
      </w:r>
      <w:r>
        <w:rPr>
          <w:rFonts w:ascii="Arial" w:cs="Arial" w:eastAsia="Arial" w:hAnsi="Arial"/>
          <w:sz w:val="20"/>
          <w:szCs w:val="20"/>
          <w:color w:val="000000"/>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xml:space="preserve">” means a Loan that bears interest at a rate based on clause (a) of the definition of “Eurocurrency Base Rate.” All Loans denominated in an Alternative Currency </w:t>
      </w:r>
      <w:r>
        <w:rPr>
          <w:rFonts w:ascii="Arial" w:cs="Arial" w:eastAsia="Arial" w:hAnsi="Arial"/>
          <w:sz w:val="20"/>
          <w:szCs w:val="20"/>
          <w:u w:val="single" w:color="auto"/>
          <w:color w:val="0000FF"/>
        </w:rPr>
        <w:t>(other than Sterling)</w:t>
      </w:r>
      <w:r>
        <w:rPr>
          <w:rFonts w:ascii="Arial" w:cs="Arial" w:eastAsia="Arial" w:hAnsi="Arial"/>
          <w:sz w:val="20"/>
          <w:szCs w:val="20"/>
          <w:color w:val="auto"/>
        </w:rPr>
        <w:t xml:space="preserve"> must be Eurocurrency Rate Loans, except as provided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Eurocurrency Reserve Percentage</w:t>
      </w:r>
      <w:r>
        <w:rPr>
          <w:rFonts w:ascii="Arial" w:cs="Arial" w:eastAsia="Arial" w:hAnsi="Arial"/>
          <w:sz w:val="20"/>
          <w:szCs w:val="20"/>
          <w:color w:val="FF0000"/>
          <w:strike w:val="1"/>
        </w:rPr>
        <w:t xml:space="preserve">”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w:t>
      </w:r>
      <w:r>
        <w:rPr>
          <w:rFonts w:ascii="Arial" w:cs="Arial" w:eastAsia="Arial" w:hAnsi="Arial"/>
          <w:sz w:val="20"/>
          <w:szCs w:val="20"/>
          <w:color w:val="008000"/>
          <w:strike w:val="1"/>
        </w:rPr>
        <w:t>(currently referred to as “Eurocurrency liabilities”</w:t>
      </w:r>
      <w:r>
        <w:rPr>
          <w:rFonts w:ascii="Arial" w:cs="Arial" w:eastAsia="Arial" w:hAnsi="Arial"/>
          <w:sz w:val="20"/>
          <w:szCs w:val="20"/>
          <w:color w:val="FF0000"/>
          <w:strike w:val="1"/>
        </w:rPr>
        <w:t xml:space="preserve">). The Eurocurrency Rate for each outstanding Eurocurrency Rate Loan </w:t>
      </w:r>
      <w:r>
        <w:rPr>
          <w:rFonts w:ascii="Arial" w:cs="Arial" w:eastAsia="Arial" w:hAnsi="Arial"/>
          <w:sz w:val="20"/>
          <w:szCs w:val="20"/>
          <w:color w:val="008000"/>
          <w:strike w:val="1"/>
        </w:rPr>
        <w:t>shall be adjusted automatically as of the effective date of any change in</w:t>
      </w:r>
      <w:r>
        <w:rPr>
          <w:rFonts w:ascii="Arial" w:cs="Arial" w:eastAsia="Arial" w:hAnsi="Arial"/>
          <w:sz w:val="20"/>
          <w:szCs w:val="20"/>
          <w:color w:val="FF0000"/>
          <w:strike w:val="1"/>
        </w:rPr>
        <w:t xml:space="preserve"> the Eurocurrency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-212090</wp:posOffset>
            </wp:positionV>
            <wp:extent cx="1387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747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means (i) each Subsidiary that is a captive insurance company, (ii) each Securitization Subsidiary, and (iii) each other Subsidiary (other than any Loan Party) having assets with a net book value of less than $2,000,000, calculated in accordance with GAAP.</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4.08</w:t>
      </w:r>
      <w:r>
        <w:rPr>
          <w:rFonts w:ascii="Arial" w:cs="Arial" w:eastAsia="Arial" w:hAnsi="Arial"/>
          <w:sz w:val="19"/>
          <w:szCs w:val="19"/>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w:t>
      </w:r>
      <w:r>
        <w:rPr>
          <w:rFonts w:ascii="Arial" w:cs="Arial" w:eastAsia="Arial" w:hAnsi="Arial"/>
          <w:sz w:val="19"/>
          <w:szCs w:val="19"/>
          <w:color w:val="FF0000"/>
          <w:strike w:val="1"/>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Company</w:t>
      </w:r>
      <w:r>
        <w:rPr>
          <w:rFonts w:ascii="Arial" w:cs="Arial" w:eastAsia="Arial" w:hAnsi="Arial"/>
          <w:sz w:val="19"/>
          <w:szCs w:val="19"/>
          <w:color w:val="auto"/>
        </w:rPr>
        <w:t xml:space="preserve"> under </w:t>
      </w:r>
      <w:r>
        <w:rPr>
          <w:rFonts w:ascii="Arial" w:cs="Arial" w:eastAsia="Arial" w:hAnsi="Arial"/>
          <w:sz w:val="19"/>
          <w:szCs w:val="19"/>
          <w:u w:val="single" w:color="auto"/>
          <w:color w:val="auto"/>
        </w:rPr>
        <w:t>Section 11.14</w:t>
      </w:r>
      <w:r>
        <w:rPr>
          <w:rFonts w:ascii="Arial" w:cs="Arial" w:eastAsia="Arial" w:hAnsi="Arial"/>
          <w:sz w:val="19"/>
          <w:szCs w:val="19"/>
          <w:color w:val="auto"/>
        </w:rPr>
        <w:t>) or (ii) such Lender changes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9" w:right="339" w:bottom="1440" w:gutter="0" w:footer="0" w:header="0"/>
        </w:sectPr>
      </w:pPr>
    </w:p>
    <w:bookmarkStart w:id="38" w:name="page39"/>
    <w:bookmarkEnd w:id="38"/>
    <w:p>
      <w:pPr>
        <w:jc w:val="both"/>
        <w:spacing w:after="0" w:line="246" w:lineRule="auto"/>
        <w:rPr>
          <w:sz w:val="20"/>
          <w:szCs w:val="20"/>
          <w:color w:val="auto"/>
        </w:rPr>
      </w:pPr>
      <w:r>
        <w:rPr>
          <w:rFonts w:ascii="Arial" w:cs="Arial" w:eastAsia="Arial" w:hAnsi="Arial"/>
          <w:sz w:val="20"/>
          <w:szCs w:val="20"/>
          <w:color w:val="auto"/>
        </w:rPr>
        <w:t xml:space="preserve">Lending Office, except in each case to the extent that, pursuant to </w:t>
      </w:r>
      <w:r>
        <w:rPr>
          <w:rFonts w:ascii="Arial" w:cs="Arial" w:eastAsia="Arial" w:hAnsi="Arial"/>
          <w:sz w:val="20"/>
          <w:szCs w:val="20"/>
          <w:u w:val="single" w:color="auto"/>
          <w:color w:val="auto"/>
        </w:rPr>
        <w:t>Section 3.01(a)(ii)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3.01(c)</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means the chief financial officer, the chief executive officer, the president, any senior vice president, the treasurer or any assistant treasurer of the Company.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the Credit Agreement dated as of September 25, 2015 among the Company, various Subsidiaries of the Company, various financial institutions and Bank of America, N.A., as administrative agent, swing line lender and letter of credit issuer.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listed on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 842</w:t>
      </w:r>
      <w:r>
        <w:rPr>
          <w:rFonts w:ascii="Arial" w:cs="Arial" w:eastAsia="Arial" w:hAnsi="Arial"/>
          <w:sz w:val="20"/>
          <w:szCs w:val="20"/>
          <w:color w:val="auto"/>
        </w:rPr>
        <w:t>” means the Accounting Standards Codification of the Financial Accounting Standards Board, Accounting Standards Update 2016-02, Leases.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Closing Date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immediately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w:t>
      </w:r>
    </w:p>
    <w:p>
      <w:pPr>
        <w:spacing w:after="0" w:line="1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mandate letter, dated May 9, 2019 and accepted and agreed to on May 15, 2019, among the Company, the Administrative Agent and BMO Capital Markets Corp.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“First Amendment Effective Date” means December 21,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 Fiscal Year.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0000FF"/>
        </w:rPr>
        <w:t>“Floor” means the benchmark rate floor, if any, provided in this Agreement initially (as of the execution of this Agreement, the modification, amendment or renewal of this Agreement or otherwise) with respect to the Relevant Rate. As of the First Amendment Effective Date, the Floor is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9" w:right="339" w:bottom="1440" w:gutter="0" w:footer="0" w:header="0"/>
        </w:sectPr>
      </w:pPr>
    </w:p>
    <w:bookmarkStart w:id="39" w:name="page40"/>
    <w:bookmarkEnd w:id="39"/>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Loan Parties</w:t>
      </w:r>
      <w:r>
        <w:rPr>
          <w:rFonts w:ascii="Arial" w:cs="Arial" w:eastAsia="Arial" w:hAnsi="Arial"/>
          <w:sz w:val="20"/>
          <w:szCs w:val="20"/>
          <w:color w:val="auto"/>
        </w:rPr>
        <w:t>” means, collectively, the Foreign Subsidiaries of the Company that are Designated Borrowers.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 (or any successor thereto).</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Pro Rata Share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9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and</w:t>
      </w:r>
    </w:p>
    <w:p>
      <w:pPr>
        <w:spacing w:after="0" w:line="1" w:lineRule="exact"/>
        <w:rPr>
          <w:sz w:val="20"/>
          <w:szCs w:val="20"/>
          <w:color w:val="auto"/>
        </w:rPr>
      </w:pPr>
    </w:p>
    <w:p>
      <w:pPr>
        <w:jc w:val="both"/>
        <w:ind w:firstLine="8"/>
        <w:spacing w:after="0" w:line="241" w:lineRule="auto"/>
        <w:tabs>
          <w:tab w:leader="none" w:pos="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solely for purposes of </w:t>
      </w:r>
      <w:r>
        <w:rPr>
          <w:rFonts w:ascii="Arial" w:cs="Arial" w:eastAsia="Arial" w:hAnsi="Arial"/>
          <w:sz w:val="20"/>
          <w:szCs w:val="20"/>
          <w:u w:val="single" w:color="auto"/>
          <w:color w:val="auto"/>
        </w:rPr>
        <w:t>Article IV</w:t>
      </w:r>
      <w:r>
        <w:rPr>
          <w:rFonts w:ascii="Arial" w:cs="Arial" w:eastAsia="Arial" w:hAnsi="Arial"/>
          <w:sz w:val="20"/>
          <w:szCs w:val="20"/>
          <w:color w:val="auto"/>
        </w:rPr>
        <w:t>,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9" w:right="339" w:bottom="1440" w:gutter="0" w:footer="0" w:header="0"/>
        </w:sectPr>
      </w:pPr>
    </w:p>
    <w:bookmarkStart w:id="40" w:name="page41"/>
    <w:bookmarkEnd w:id="40"/>
    <w:p>
      <w:pPr>
        <w:jc w:val="both"/>
        <w:spacing w:after="0" w:line="316" w:lineRule="auto"/>
        <w:rPr>
          <w:sz w:val="20"/>
          <w:szCs w:val="20"/>
          <w:color w:val="auto"/>
        </w:rPr>
      </w:pPr>
      <w:r>
        <w:rPr>
          <w:rFonts w:ascii="Arial" w:cs="Arial" w:eastAsia="Arial" w:hAnsi="Arial"/>
          <w:sz w:val="18"/>
          <w:szCs w:val="18"/>
          <w:color w:val="auto"/>
        </w:rPr>
        <w:t xml:space="preserve">Loan Party (determined before giving effect to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4.08</w:t>
      </w:r>
      <w:r>
        <w:rPr>
          <w:rFonts w:ascii="Arial" w:cs="Arial" w:eastAsia="Arial" w:hAnsi="Arial"/>
          <w:sz w:val="18"/>
          <w:szCs w:val="18"/>
          <w:color w:val="auto"/>
        </w:rPr>
        <w:t>) under the Guaranty, each Domestic Borrower, in each case, together with their successors and permitted assigns. For the avoidance of doubt, in no event shall a Foreign Subsidiary be a Guarantor.</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made by the Guarantors in favor of the Administrative Agent and the other holders of the Obligations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Substances</w:t>
      </w:r>
      <w:r>
        <w:rPr>
          <w:rFonts w:ascii="Arial" w:cs="Arial" w:eastAsia="Arial" w:hAnsi="Arial"/>
          <w:sz w:val="19"/>
          <w:szCs w:val="19"/>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9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any Person that (i) at the time it enters into a Hedging Agreement, is a Lender or the Administrative Agent or an Affiliate of a Lender or the Administrative Agent, (ii) in the case of any Hedging Agreement in effect on or prior to the Closing Date, is, as of the Closing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 Agent, in each case, in its capacity as a party to such Hedging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in the case of a </w:t>
      </w:r>
      <w:r>
        <w:rPr>
          <w:rFonts w:ascii="Arial" w:cs="Arial" w:eastAsia="Arial" w:hAnsi="Arial"/>
          <w:sz w:val="20"/>
          <w:szCs w:val="20"/>
          <w:color w:val="FF0000"/>
          <w:strike w:val="1"/>
        </w:rPr>
        <w:t>Hedge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Hedging</w:t>
      </w:r>
      <w:r>
        <w:rPr>
          <w:rFonts w:ascii="Arial" w:cs="Arial" w:eastAsia="Arial" w:hAnsi="Arial"/>
          <w:sz w:val="20"/>
          <w:szCs w:val="20"/>
          <w:color w:val="auto"/>
        </w:rPr>
        <w:t xml:space="preserve"> Agreement with a Person who is no longer a Lender (or Affiliate of a Lender), such Person shall be considered a Hedge Bank only through the stated termination date (without extension or renewal) of such </w:t>
      </w:r>
      <w:r>
        <w:rPr>
          <w:rFonts w:ascii="Arial" w:cs="Arial" w:eastAsia="Arial" w:hAnsi="Arial"/>
          <w:sz w:val="20"/>
          <w:szCs w:val="20"/>
          <w:color w:val="FF0000"/>
          <w:strike w:val="1"/>
        </w:rPr>
        <w:t>Hedge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Hedging</w:t>
      </w:r>
      <w:r>
        <w:rPr>
          <w:rFonts w:ascii="Arial" w:cs="Arial" w:eastAsia="Arial" w:hAnsi="Arial"/>
          <w:sz w:val="20"/>
          <w:szCs w:val="20"/>
          <w:color w:val="FF0000"/>
        </w:rPr>
        <w:t xml:space="preserve"> </w:t>
      </w:r>
      <w:r>
        <w:rPr>
          <w:rFonts w:ascii="Arial" w:cs="Arial" w:eastAsia="Arial" w:hAnsi="Arial"/>
          <w:sz w:val="20"/>
          <w:szCs w:val="20"/>
          <w:color w:val="000000"/>
        </w:rPr>
        <w:t>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Obligations</w:t>
      </w:r>
      <w:r>
        <w:rPr>
          <w:rFonts w:ascii="Arial" w:cs="Arial" w:eastAsia="Arial" w:hAnsi="Arial"/>
          <w:sz w:val="20"/>
          <w:szCs w:val="20"/>
          <w:color w:val="auto"/>
        </w:rPr>
        <w:t>” means, with respect to any Person, all liabilities of such Person under Hedging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“Impacted EURIBO Rate Interest Period” has the meaning assigned to such term in the definition of “EURIBO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“Impacted LIBO Rate Interest Period” has the meaning assigned to such term in the definition of “LIBO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“Impacted TIBO Rate Interest Period” has the meaning assigned to such term in the definition of “TIBO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9" w:right="339" w:bottom="1440" w:gutter="0" w:footer="0" w:header="0"/>
        </w:sectPr>
      </w:pPr>
    </w:p>
    <w:bookmarkStart w:id="41" w:name="page42"/>
    <w:bookmarkEnd w:id="41"/>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Auditor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Eurocurrency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Interest Period for a Eurocurrency Rate Loan exceeds three months, the respective dates that fall every three months after the beginning of such Interest Period shall also be Interest Payment Dates; </w:t>
      </w:r>
      <w:r>
        <w:rPr>
          <w:rFonts w:ascii="Arial" w:cs="Arial" w:eastAsia="Arial" w:hAnsi="Arial"/>
          <w:sz w:val="16"/>
          <w:szCs w:val="16"/>
          <w:color w:val="FF0000"/>
          <w:strike w:val="1"/>
        </w:rPr>
        <w:t>and</w:t>
      </w:r>
      <w:r>
        <w:rPr>
          <w:rFonts w:ascii="Arial" w:cs="Arial" w:eastAsia="Arial" w:hAnsi="Arial"/>
          <w:sz w:val="16"/>
          <w:szCs w:val="16"/>
          <w:color w:val="auto"/>
        </w:rPr>
        <w:t xml:space="preserve"> (b) as to any Base Rate Loan (including a Swing Line Loan), the last Business Day of each March, June, September and December and the Maturity Date</w:t>
      </w:r>
      <w:r>
        <w:rPr>
          <w:rFonts w:ascii="Arial" w:cs="Arial" w:eastAsia="Arial" w:hAnsi="Arial"/>
          <w:sz w:val="16"/>
          <w:szCs w:val="16"/>
          <w:u w:val="single" w:color="auto"/>
          <w:color w:val="0000FF"/>
        </w:rPr>
        <w:t>; and (c) as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 any RFR Loan, each date that is on the numerically corresponding day in each calendar month that is one month after the Borrowing of such RFR Loan and the Maturity Date (or, if there is no such numerically corresponding day in such month, then the last day of such month)</w:t>
      </w:r>
      <w:r>
        <w:rPr>
          <w:rFonts w:ascii="Arial" w:cs="Arial" w:eastAsia="Arial" w:hAnsi="Arial"/>
          <w:sz w:val="16"/>
          <w:szCs w:val="16"/>
          <w:color w:val="000000"/>
        </w:rPr>
        <w:t>.</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seven days or one, two, three or six months thereafter (or such other period as all Lenders may agree) (in each case, subject to availability) as selected by the applicable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1" w:lineRule="exact"/>
        <w:rPr>
          <w:sz w:val="20"/>
          <w:szCs w:val="20"/>
          <w:color w:val="auto"/>
        </w:rPr>
      </w:pPr>
    </w:p>
    <w:p>
      <w:pPr>
        <w:jc w:val="both"/>
        <w:ind w:left="660" w:firstLine="644"/>
        <w:spacing w:after="0" w:line="250" w:lineRule="auto"/>
        <w:tabs>
          <w:tab w:leader="none" w:pos="1833"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85" w:lineRule="exact"/>
        <w:rPr>
          <w:rFonts w:ascii="Arial" w:cs="Arial" w:eastAsia="Arial" w:hAnsi="Arial"/>
          <w:sz w:val="20"/>
          <w:szCs w:val="20"/>
          <w:color w:val="auto"/>
        </w:rPr>
      </w:pPr>
    </w:p>
    <w:p>
      <w:pPr>
        <w:jc w:val="both"/>
        <w:ind w:left="660" w:right="20" w:firstLine="644"/>
        <w:spacing w:after="0" w:line="250" w:lineRule="auto"/>
        <w:tabs>
          <w:tab w:leader="none" w:pos="1866"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Arial" w:cs="Arial" w:eastAsia="Arial" w:hAnsi="Arial"/>
          <w:sz w:val="20"/>
          <w:szCs w:val="20"/>
          <w:color w:val="FF0000"/>
          <w:strike w:val="1"/>
        </w:rPr>
        <w:t>and</w:t>
      </w:r>
    </w:p>
    <w:p>
      <w:pPr>
        <w:spacing w:after="0" w:line="185" w:lineRule="exact"/>
        <w:rPr>
          <w:rFonts w:ascii="Arial" w:cs="Arial" w:eastAsia="Arial" w:hAnsi="Arial"/>
          <w:sz w:val="20"/>
          <w:szCs w:val="20"/>
          <w:color w:val="auto"/>
        </w:rPr>
      </w:pPr>
    </w:p>
    <w:p>
      <w:pPr>
        <w:ind w:left="1800" w:hanging="496"/>
        <w:spacing w:after="0"/>
        <w:tabs>
          <w:tab w:leader="none" w:pos="1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r>
        <w:rPr>
          <w:rFonts w:ascii="Arial" w:cs="Arial" w:eastAsia="Arial" w:hAnsi="Arial"/>
          <w:sz w:val="20"/>
          <w:szCs w:val="20"/>
          <w:color w:val="FF0000"/>
          <w:strike w:val="1"/>
        </w:rPr>
        <w:t>.</w:t>
      </w:r>
      <w:r>
        <w:rPr>
          <w:rFonts w:ascii="Arial" w:cs="Arial" w:eastAsia="Arial" w:hAnsi="Arial"/>
          <w:sz w:val="20"/>
          <w:szCs w:val="20"/>
          <w:u w:val="single" w:color="auto"/>
          <w:color w:val="0000FF"/>
        </w:rPr>
        <w:t>; and</w:t>
      </w:r>
    </w:p>
    <w:p>
      <w:pPr>
        <w:spacing w:after="0" w:line="215" w:lineRule="exact"/>
        <w:rPr>
          <w:rFonts w:ascii="Arial" w:cs="Arial" w:eastAsia="Arial" w:hAnsi="Arial"/>
          <w:sz w:val="20"/>
          <w:szCs w:val="20"/>
          <w:color w:val="auto"/>
        </w:rPr>
      </w:pPr>
    </w:p>
    <w:p>
      <w:pPr>
        <w:ind w:left="1640" w:hanging="336"/>
        <w:spacing w:after="0"/>
        <w:tabs>
          <w:tab w:leader="none" w:pos="1640" w:val="left"/>
        </w:tabs>
        <w:numPr>
          <w:ilvl w:val="0"/>
          <w:numId w:val="2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no tenor that has been removed from this definition pursuant to Section 3.07(e) shall be available.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9" w:right="339" w:bottom="1440" w:gutter="0" w:footer="0" w:header="0"/>
        </w:sectPr>
      </w:pPr>
    </w:p>
    <w:bookmarkStart w:id="42" w:name="page43"/>
    <w:bookmarkEnd w:id="42"/>
    <w:p>
      <w:pPr>
        <w:jc w:val="both"/>
        <w:ind w:firstLine="648"/>
        <w:spacing w:after="0" w:line="269" w:lineRule="auto"/>
        <w:rPr>
          <w:sz w:val="20"/>
          <w:szCs w:val="20"/>
          <w:color w:val="auto"/>
        </w:rPr>
      </w:pPr>
      <w:r>
        <w:rPr>
          <w:rFonts w:ascii="Arial" w:cs="Arial" w:eastAsia="Arial" w:hAnsi="Arial"/>
          <w:sz w:val="19"/>
          <w:szCs w:val="19"/>
          <w:u w:val="single" w:color="auto"/>
          <w:color w:val="0000FF"/>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7.16</w:t>
      </w:r>
      <w:r>
        <w:rPr>
          <w:rFonts w:ascii="Arial" w:cs="Arial" w:eastAsia="Arial" w:hAnsi="Arial"/>
          <w:sz w:val="20"/>
          <w:szCs w:val="20"/>
          <w:color w:val="auto"/>
        </w:rPr>
        <w:t xml:space="preserve"> executed and delivered by a Domestic Subsidiary in accordance with the provisions of </w:t>
      </w:r>
      <w:r>
        <w:rPr>
          <w:rFonts w:ascii="Arial" w:cs="Arial" w:eastAsia="Arial" w:hAnsi="Arial"/>
          <w:sz w:val="20"/>
          <w:szCs w:val="20"/>
          <w:u w:val="single" w:color="auto"/>
          <w:color w:val="auto"/>
        </w:rPr>
        <w:t>Section 7.16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Lender, such Lender’s funding of its participation in any L/C Borrowing in accordance with its Pro Rata Share. All L/C Advances shall be denominated in Dollars.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each of BMO and Bank of America, in each case through itself or through one of its designated Affiliates or branch offices, in its capacity as an issuer of Letters of Credit hereunder, or any successor issuer of Letters of Credit hereunder. The term “L/C Issuer” when used with respect to a Letter of Credit or the L/C Obligations relating to a Letter of Credit shall refer to the L/C Issuer that issued such Letter of Credit.</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undrawn amount of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1.10</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“Lender Party” is defined in Section 11.25(a).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9" w:right="339" w:bottom="1440" w:gutter="0" w:footer="0" w:header="0"/>
        </w:sectPr>
      </w:pPr>
    </w:p>
    <w:bookmarkStart w:id="43" w:name="page44"/>
    <w:bookmarkEnd w:id="43"/>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(or, if such day is not a Business Day, the immediately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the Aggregate Revolving Commitments and (b) $25,000,000.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Letter of Credit Sublimit is part of, and not in addition to, the Aggregate Revolving Commitments.</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u w:val="single" w:color="auto"/>
          <w:color w:val="0000FF"/>
        </w:rPr>
        <w:t>“LIBO Interpolated Rate” means, at any time, with respect to any Eurocurrency Borrowing denominated in Dollars and for any Interest Period, the rate per annum (rounded to the same number of decimal places as the LIBOR Screen Rate) determined by the Administrative Agent (which determination shall be conclusive and binding absent demonstrable error) to be equal to the rate that results from interpolating on a linear basis between: (a) the LIBOR Screen Rate for the longest period (for which the LIBOR Screen Rate is available for Dollars) that is shorter than the Impacted LIBO Rate Interest Period; and (b) the LIBOR Screen Rate for the shortest period (for which the LIBOR Screen Rate is available for Dollars) that exceeds the Impacted LIBO Rate Interest Period, in each case, at such time; provided that if any LIBO Interpolated Rate shall be less than zero, such rate shall be deemed to be zero for the purposes of this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has the meaning specified in </w:t>
      </w:r>
      <w:r>
        <w:rPr>
          <w:rFonts w:ascii="Arial" w:cs="Arial" w:eastAsia="Arial" w:hAnsi="Arial"/>
          <w:sz w:val="20"/>
          <w:szCs w:val="20"/>
          <w:color w:val="FF0000"/>
          <w:strike w:val="1"/>
        </w:rPr>
        <w:t>the definition of Eurocurrency Base Rate.</w:t>
      </w:r>
      <w:r>
        <w:rPr>
          <w:rFonts w:ascii="Arial" w:cs="Arial" w:eastAsia="Arial" w:hAnsi="Arial"/>
          <w:sz w:val="20"/>
          <w:szCs w:val="20"/>
          <w:u w:val="single" w:color="auto"/>
          <w:color w:val="0000FF"/>
        </w:rPr>
        <w:t>Section 1.12.</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0000FF"/>
        </w:rPr>
        <w:t>“LIBO Rate” means, with respect to any Eurocurrency Borrowing denominated in Dollars and for any Interest Period, the LIBOR Screen Rate at approximately 11:00 a.m., London time, two (2) Business Days prior to the commencement of such Interest Period; provided that if the LIBOR Screen Rate shall not be available at such time for such Interest Period (an “Impacted LIBO Rate Interest Period”) with respect to Dollars then the LIBO Rate shall be the LIBO Interpolated Rate.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“LIBOR Screen Rate” means, for any day and time, with respect to any Eurocurrency Borrowing denominated in Dollars and for any Interest Period, LIBOR as administered by ICE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19" w:right="339" w:bottom="1440" w:gutter="0" w:footer="0" w:header="0"/>
        </w:sectPr>
      </w:pPr>
    </w:p>
    <w:bookmarkStart w:id="44" w:name="page45"/>
    <w:bookmarkEnd w:id="44"/>
    <w:p>
      <w:pPr>
        <w:jc w:val="both"/>
        <w:spacing w:after="0" w:line="243" w:lineRule="auto"/>
        <w:rPr>
          <w:sz w:val="20"/>
          <w:szCs w:val="20"/>
          <w:color w:val="auto"/>
        </w:rPr>
      </w:pPr>
      <w:r>
        <w:rPr>
          <w:rFonts w:ascii="Arial" w:cs="Arial" w:eastAsia="Arial" w:hAnsi="Arial"/>
          <w:sz w:val="20"/>
          <w:szCs w:val="20"/>
          <w:u w:val="single" w:color="auto"/>
          <w:color w:val="0000FF"/>
        </w:rPr>
        <w:t>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LIBOR Screen Rate as so determined would be less than zero, such rate shall be deemed to be zero for the purposes of this Agreement.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Quoted Currency</w:t>
      </w:r>
      <w:r>
        <w:rPr>
          <w:rFonts w:ascii="Arial" w:cs="Arial" w:eastAsia="Arial" w:hAnsi="Arial"/>
          <w:sz w:val="20"/>
          <w:szCs w:val="20"/>
          <w:color w:val="008000"/>
        </w:rPr>
        <w:t>” means Dollars, Euros, Sterling and Japanese Yen and each other currency for which there is a published</w:t>
      </w:r>
      <w:r>
        <w:rPr>
          <w:rFonts w:ascii="Arial" w:cs="Arial" w:eastAsia="Arial" w:hAnsi="Arial"/>
          <w:sz w:val="20"/>
          <w:szCs w:val="20"/>
          <w:color w:val="FF0000"/>
        </w:rPr>
        <w:t xml:space="preserve"> </w:t>
      </w:r>
      <w:r>
        <w:rPr>
          <w:rFonts w:ascii="Arial" w:cs="Arial" w:eastAsia="Arial" w:hAnsi="Arial"/>
          <w:sz w:val="20"/>
          <w:szCs w:val="20"/>
          <w:color w:val="FF0000"/>
          <w:strike w:val="1"/>
        </w:rPr>
        <w:t xml:space="preserve">LIBOR </w:t>
      </w:r>
      <w:r>
        <w:rPr>
          <w:rFonts w:ascii="Arial" w:cs="Arial" w:eastAsia="Arial" w:hAnsi="Arial"/>
          <w:sz w:val="20"/>
          <w:szCs w:val="20"/>
          <w:color w:val="008000"/>
          <w:strike w:val="1"/>
        </w:rPr>
        <w:t>rate, in each case as long as there is a published</w:t>
      </w:r>
      <w:r>
        <w:rPr>
          <w:rFonts w:ascii="Arial" w:cs="Arial" w:eastAsia="Arial" w:hAnsi="Arial"/>
          <w:sz w:val="20"/>
          <w:szCs w:val="20"/>
          <w:color w:val="FF0000"/>
          <w:strike w:val="1"/>
        </w:rPr>
        <w:t xml:space="preserve"> LIBOR rate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-227965</wp:posOffset>
            </wp:positionV>
            <wp:extent cx="6255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5385" cy="8890"/>
                    </a:xfrm>
                    <a:prstGeom prst="rect">
                      <a:avLst/>
                    </a:prstGeom>
                    <a:noFill/>
                  </pic:spPr>
                </pic:pic>
              </a:graphicData>
            </a:graphic>
          </wp:anchor>
        </w:drawing>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Screen Rate</w:t>
      </w:r>
      <w:r>
        <w:rPr>
          <w:rFonts w:ascii="Arial" w:cs="Arial" w:eastAsia="Arial" w:hAnsi="Arial"/>
          <w:sz w:val="20"/>
          <w:szCs w:val="20"/>
          <w:color w:val="FF0000"/>
          <w:strike w:val="1"/>
        </w:rPr>
        <w:t>” means the LIBOR quote on the applicable screen page the Administrative Agent reasonably designates to determine LIBOR (or such other commercially available source providing such quotations as may reasonably be designated by the Administrative Agent from time to time).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Successor Rate</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8000"/>
          <w:strike w:val="1"/>
        </w:rPr>
        <w:t>Conforming Changes</w:t>
      </w:r>
      <w:r>
        <w:rPr>
          <w:rFonts w:ascii="Arial" w:cs="Arial" w:eastAsia="Arial" w:hAnsi="Arial"/>
          <w:sz w:val="20"/>
          <w:szCs w:val="20"/>
          <w:color w:val="008000"/>
          <w:strike w:val="1"/>
        </w:rPr>
        <w:t>” means, with respect to any</w:t>
      </w:r>
      <w:r>
        <w:rPr>
          <w:rFonts w:ascii="Arial" w:cs="Arial" w:eastAsia="Arial" w:hAnsi="Arial"/>
          <w:sz w:val="20"/>
          <w:szCs w:val="20"/>
          <w:color w:val="FF0000"/>
          <w:strike w:val="1"/>
        </w:rPr>
        <w:t xml:space="preserve"> proposed LIBOR Successor Rate</w:t>
      </w:r>
      <w:r>
        <w:rPr>
          <w:rFonts w:ascii="Arial" w:cs="Arial" w:eastAsia="Arial" w:hAnsi="Arial"/>
          <w:sz w:val="20"/>
          <w:szCs w:val="20"/>
          <w:color w:val="008000"/>
          <w:strike w:val="1"/>
        </w:rPr>
        <w:t>, any technical,</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administrative or operational </w:t>
      </w:r>
      <w:r>
        <w:rPr>
          <w:rFonts w:ascii="Arial" w:cs="Arial" w:eastAsia="Arial" w:hAnsi="Arial"/>
          <w:sz w:val="20"/>
          <w:szCs w:val="20"/>
          <w:color w:val="FF0000"/>
          <w:strike w:val="1"/>
        </w:rPr>
        <w:t>conforming changes to the definition of Base Rate, the definition of Interest Period,</w:t>
      </w:r>
      <w:r>
        <w:rPr>
          <w:rFonts w:ascii="Arial" w:cs="Arial" w:eastAsia="Arial" w:hAnsi="Arial"/>
          <w:sz w:val="20"/>
          <w:szCs w:val="20"/>
          <w:color w:val="008000"/>
          <w:strike w:val="1"/>
        </w:rPr>
        <w:t xml:space="preserve"> the timing and frequency of determining rates and making payments of interest </w:t>
      </w:r>
      <w:r>
        <w:rPr>
          <w:rFonts w:ascii="Arial" w:cs="Arial" w:eastAsia="Arial" w:hAnsi="Arial"/>
          <w:sz w:val="20"/>
          <w:szCs w:val="20"/>
          <w:color w:val="FF0000"/>
          <w:strike w:val="1"/>
        </w:rPr>
        <w:t>and other administrative matters as may be appropriate, in the reasonable discretion of the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Administrative Agent, </w:t>
      </w:r>
      <w:r>
        <w:rPr>
          <w:rFonts w:ascii="Arial" w:cs="Arial" w:eastAsia="Arial" w:hAnsi="Arial"/>
          <w:sz w:val="20"/>
          <w:szCs w:val="20"/>
          <w:color w:val="008000"/>
          <w:strike w:val="1"/>
        </w:rPr>
        <w:t>to reflect the adoption and implementation of such</w:t>
      </w:r>
      <w:r>
        <w:rPr>
          <w:rFonts w:ascii="Arial" w:cs="Arial" w:eastAsia="Arial" w:hAnsi="Arial"/>
          <w:sz w:val="20"/>
          <w:szCs w:val="20"/>
          <w:color w:val="FF0000"/>
          <w:strike w:val="1"/>
        </w:rPr>
        <w:t xml:space="preserve"> LIBOR Successor Rate </w:t>
      </w:r>
      <w:r>
        <w:rPr>
          <w:rFonts w:ascii="Arial" w:cs="Arial" w:eastAsia="Arial" w:hAnsi="Arial"/>
          <w:sz w:val="20"/>
          <w:szCs w:val="20"/>
          <w:color w:val="008000"/>
          <w:strike w:val="1"/>
        </w:rPr>
        <w:t>and to permit the administration thereof by</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the Administrative Agent in a manner substantially consistent with market practice (or, if the Administrative Agent </w:t>
      </w:r>
      <w:r>
        <w:rPr>
          <w:rFonts w:ascii="Arial" w:cs="Arial" w:eastAsia="Arial" w:hAnsi="Arial"/>
          <w:sz w:val="20"/>
          <w:szCs w:val="20"/>
          <w:color w:val="FF0000"/>
          <w:strike w:val="1"/>
        </w:rPr>
        <w:t>reasonably determines</w:t>
      </w:r>
      <w:r>
        <w:rPr>
          <w:rFonts w:ascii="Arial" w:cs="Arial" w:eastAsia="Arial" w:hAnsi="Arial"/>
          <w:sz w:val="20"/>
          <w:szCs w:val="20"/>
          <w:color w:val="008000"/>
          <w:strike w:val="1"/>
        </w:rPr>
        <w:t xml:space="preserve"> that adoption of any portion of such market practice is not administratively feasible </w:t>
      </w:r>
      <w:r>
        <w:rPr>
          <w:rFonts w:ascii="Arial" w:cs="Arial" w:eastAsia="Arial" w:hAnsi="Arial"/>
          <w:sz w:val="20"/>
          <w:szCs w:val="20"/>
          <w:color w:val="FF0000"/>
          <w:strike w:val="1"/>
        </w:rPr>
        <w:t>or</w:t>
      </w:r>
      <w:r>
        <w:rPr>
          <w:rFonts w:ascii="Arial" w:cs="Arial" w:eastAsia="Arial" w:hAnsi="Arial"/>
          <w:sz w:val="20"/>
          <w:szCs w:val="20"/>
          <w:color w:val="008000"/>
          <w:strike w:val="1"/>
        </w:rPr>
        <w:t xml:space="preserve"> that no market practice for the administration of such </w:t>
      </w:r>
      <w:r>
        <w:rPr>
          <w:rFonts w:ascii="Arial" w:cs="Arial" w:eastAsia="Arial" w:hAnsi="Arial"/>
          <w:sz w:val="20"/>
          <w:szCs w:val="20"/>
          <w:color w:val="FF0000"/>
          <w:strike w:val="1"/>
        </w:rPr>
        <w:t xml:space="preserve">LIBOR Successor Rate </w:t>
      </w:r>
      <w:r>
        <w:rPr>
          <w:rFonts w:ascii="Arial" w:cs="Arial" w:eastAsia="Arial" w:hAnsi="Arial"/>
          <w:sz w:val="20"/>
          <w:szCs w:val="20"/>
          <w:color w:val="008000"/>
          <w:strike w:val="1"/>
        </w:rPr>
        <w:t>exists, in such other manner of administration as the Administrative Agent</w:t>
      </w:r>
      <w:r>
        <w:rPr>
          <w:rFonts w:ascii="Arial" w:cs="Arial" w:eastAsia="Arial" w:hAnsi="Arial"/>
          <w:sz w:val="20"/>
          <w:szCs w:val="20"/>
          <w:color w:val="FF0000"/>
          <w:strike w:val="1"/>
        </w:rPr>
        <w:t xml:space="preserve"> determines </w:t>
      </w:r>
      <w:r>
        <w:rPr>
          <w:rFonts w:ascii="Arial" w:cs="Arial" w:eastAsia="Arial" w:hAnsi="Arial"/>
          <w:sz w:val="20"/>
          <w:szCs w:val="20"/>
          <w:color w:val="008000"/>
          <w:strike w:val="1"/>
        </w:rPr>
        <w:t>in consultation with the</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Company</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-798195</wp:posOffset>
            </wp:positionV>
            <wp:extent cx="4570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009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-652145</wp:posOffset>
            </wp:positionV>
            <wp:extent cx="2213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3610" cy="8255"/>
                    </a:xfrm>
                    <a:prstGeom prst="rect">
                      <a:avLst/>
                    </a:prstGeom>
                    <a:noFill/>
                  </pic:spPr>
                </pic:pic>
              </a:graphicData>
            </a:graphic>
          </wp:anchor>
        </w:drawing>
        <w:drawing>
          <wp:anchor simplePos="0" relativeHeight="251657728" behindDoc="1" locked="0" layoutInCell="0" allowOverlap="1">
            <wp:simplePos x="0" y="0"/>
            <wp:positionH relativeFrom="column">
              <wp:posOffset>5835650</wp:posOffset>
            </wp:positionH>
            <wp:positionV relativeFrom="paragraph">
              <wp:posOffset>-215265</wp:posOffset>
            </wp:positionV>
            <wp:extent cx="1299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 Line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Note, each Issuer Document, each Designated Borrower Request and Assumption Agreement, each Joinder Agreement, any agreement entered into by a Loan Party creating or perfecting rights in Cash Collateral pursuant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the Fee Letter.</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of Revolving Loans, (b) a conversion of Loans from one Type to the other, or (c) a continuation of Eurocurrency Rate </w:t>
      </w:r>
      <w:r>
        <w:rPr>
          <w:rFonts w:ascii="Arial" w:cs="Arial" w:eastAsia="Arial" w:hAnsi="Arial"/>
          <w:sz w:val="20"/>
          <w:szCs w:val="20"/>
          <w:u w:val="single" w:color="auto"/>
          <w:color w:val="0000FF"/>
        </w:rPr>
        <w:t>Loans or RFR</w:t>
      </w:r>
      <w:r>
        <w:rPr>
          <w:rFonts w:ascii="Arial" w:cs="Arial" w:eastAsia="Arial" w:hAnsi="Arial"/>
          <w:sz w:val="20"/>
          <w:szCs w:val="20"/>
          <w:color w:val="auto"/>
        </w:rPr>
        <w:t xml:space="preserve"> Loans, in each case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2.02</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each Borrower and 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9"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w:t>
      </w:r>
      <w:r>
        <w:rPr>
          <w:rFonts w:ascii="Arial" w:cs="Arial" w:eastAsia="Arial" w:hAnsi="Arial"/>
          <w:sz w:val="20"/>
          <w:szCs w:val="20"/>
          <w:color w:val="auto"/>
        </w:rPr>
        <w:t>” means the Grand Duchy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Companies Register</w:t>
      </w:r>
      <w:r>
        <w:rPr>
          <w:rFonts w:ascii="Arial" w:cs="Arial" w:eastAsia="Arial" w:hAnsi="Arial"/>
          <w:sz w:val="20"/>
          <w:szCs w:val="20"/>
          <w:color w:val="auto"/>
        </w:rPr>
        <w:t>” means the Luxembourg Register of Commerce and Companies.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Insolvency Event</w:t>
      </w:r>
      <w:r>
        <w:rPr>
          <w:rFonts w:ascii="Arial" w:cs="Arial" w:eastAsia="Arial" w:hAnsi="Arial"/>
          <w:sz w:val="20"/>
          <w:szCs w:val="20"/>
          <w:color w:val="auto"/>
        </w:rPr>
        <w:t>” means, in relation to a Luxembourg Loan Party or any of its assets, any corporate action, legal proceedings or other procedure or step in relation to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liquidation, composition with creditors (</w:t>
      </w:r>
      <w:r>
        <w:rPr>
          <w:rFonts w:ascii="Arial" w:cs="Arial" w:eastAsia="Arial" w:hAnsi="Arial"/>
          <w:sz w:val="20"/>
          <w:szCs w:val="20"/>
          <w:i w:val="1"/>
          <w:iCs w:val="1"/>
          <w:color w:val="auto"/>
        </w:rPr>
        <w:t>concordat</w:t>
      </w:r>
      <w:r>
        <w:rPr>
          <w:rFonts w:ascii="Arial" w:cs="Arial" w:eastAsia="Arial" w:hAnsi="Arial"/>
          <w:sz w:val="20"/>
          <w:szCs w:val="20"/>
          <w:color w:val="auto"/>
        </w:rPr>
        <w:t xml:space="preserve"> </w:t>
      </w:r>
      <w:r>
        <w:rPr>
          <w:rFonts w:ascii="Arial" w:cs="Arial" w:eastAsia="Arial" w:hAnsi="Arial"/>
          <w:sz w:val="20"/>
          <w:szCs w:val="20"/>
          <w:i w:val="1"/>
          <w:iCs w:val="1"/>
          <w:color w:val="auto"/>
        </w:rPr>
        <w:t>préventif de faillite</w:t>
      </w:r>
      <w:r>
        <w:rPr>
          <w:rFonts w:ascii="Arial" w:cs="Arial" w:eastAsia="Arial" w:hAnsi="Arial"/>
          <w:sz w:val="20"/>
          <w:szCs w:val="20"/>
          <w:color w:val="auto"/>
        </w:rPr>
        <w:t>), moratorium or reprieve from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fraudulent</w:t>
      </w:r>
      <w:r>
        <w:rPr>
          <w:rFonts w:ascii="Arial" w:cs="Arial" w:eastAsia="Arial" w:hAnsi="Arial"/>
          <w:sz w:val="20"/>
          <w:szCs w:val="20"/>
          <w:i w:val="1"/>
          <w:iCs w:val="1"/>
          <w:color w:val="auto"/>
        </w:rPr>
        <w:t xml:space="preserve"> </w:t>
      </w:r>
      <w:r>
        <w:rPr>
          <w:rFonts w:ascii="Arial" w:cs="Arial" w:eastAsia="Arial" w:hAnsi="Arial"/>
          <w:sz w:val="20"/>
          <w:szCs w:val="20"/>
          <w:color w:val="auto"/>
        </w:rPr>
        <w:t>conveyance (</w:t>
      </w:r>
      <w:r>
        <w:rPr>
          <w:rFonts w:ascii="Arial" w:cs="Arial" w:eastAsia="Arial" w:hAnsi="Arial"/>
          <w:sz w:val="20"/>
          <w:szCs w:val="20"/>
          <w:i w:val="1"/>
          <w:iCs w:val="1"/>
          <w:color w:val="auto"/>
        </w:rPr>
        <w:t>action paulienne</w:t>
      </w:r>
      <w:r>
        <w:rPr>
          <w:rFonts w:ascii="Arial" w:cs="Arial" w:eastAsia="Arial" w:hAnsi="Arial"/>
          <w:sz w:val="20"/>
          <w:szCs w:val="20"/>
          <w:color w:val="auto"/>
        </w:rPr>
        <w:t>) within the meaning of Article 448 of the Luxembourg Code of Commerce, general settlement with creditors, reorganisation or similar laws affecting the rights of creditors generally.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Loan Party</w:t>
      </w:r>
      <w:r>
        <w:rPr>
          <w:rFonts w:ascii="Arial" w:cs="Arial" w:eastAsia="Arial" w:hAnsi="Arial"/>
          <w:sz w:val="20"/>
          <w:szCs w:val="20"/>
          <w:color w:val="auto"/>
        </w:rPr>
        <w:t>” means a Loan Party that is organized under the laws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any “margin stock” as defined in Regulation U of the FRB.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“Hedging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August 1, 2024, subject to extension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date is not a Business Day, the Maturity Date shall be the immediately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2.15(a)(i)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Pension Plan</w:t>
      </w:r>
      <w:r>
        <w:rPr>
          <w:rFonts w:ascii="Arial" w:cs="Arial" w:eastAsia="Arial" w:hAnsi="Arial"/>
          <w:sz w:val="20"/>
          <w:szCs w:val="20"/>
          <w:color w:val="auto"/>
        </w:rPr>
        <w:t>” means a multiemployer plan, as such term is defined in Section 4001(a)(3) of ERISA, and to which the Company or any member of the Controlled Group may have any liability.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or amendment that (a) requires the approval of all Lenders or all directly affected Lenders in accordance with the terms of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(b) has been approved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9"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Non-LIBOR</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“Non-</w:t>
      </w:r>
      <w:r>
        <w:rPr>
          <w:rFonts w:ascii="Arial" w:cs="Arial" w:eastAsia="Arial" w:hAnsi="Arial"/>
          <w:sz w:val="20"/>
          <w:szCs w:val="20"/>
          <w:u w:val="single" w:color="auto"/>
          <w:color w:val="000000"/>
        </w:rPr>
        <w:t>Quoted Currency</w:t>
      </w:r>
      <w:r>
        <w:rPr>
          <w:rFonts w:ascii="Arial" w:cs="Arial" w:eastAsia="Arial" w:hAnsi="Arial"/>
          <w:sz w:val="20"/>
          <w:szCs w:val="20"/>
          <w:color w:val="000000"/>
        </w:rPr>
        <w:t>” means any currency other than a</w:t>
      </w:r>
      <w:r>
        <w:rPr>
          <w:rFonts w:ascii="Arial" w:cs="Arial" w:eastAsia="Arial" w:hAnsi="Arial"/>
          <w:sz w:val="20"/>
          <w:szCs w:val="20"/>
          <w:color w:val="FF0000"/>
        </w:rPr>
        <w:t xml:space="preserve"> </w:t>
      </w:r>
      <w:r>
        <w:rPr>
          <w:rFonts w:ascii="Arial" w:cs="Arial" w:eastAsia="Arial" w:hAnsi="Arial"/>
          <w:sz w:val="20"/>
          <w:szCs w:val="20"/>
          <w:color w:val="FF0000"/>
          <w:strike w:val="1"/>
        </w:rPr>
        <w:t>LIBOR</w:t>
      </w:r>
      <w:r>
        <w:rPr>
          <w:rFonts w:ascii="Arial" w:cs="Arial" w:eastAsia="Arial" w:hAnsi="Arial"/>
          <w:sz w:val="20"/>
          <w:szCs w:val="20"/>
          <w:color w:val="FF0000"/>
        </w:rPr>
        <w:t xml:space="preserve"> </w:t>
      </w:r>
      <w:r>
        <w:rPr>
          <w:rFonts w:ascii="Arial" w:cs="Arial" w:eastAsia="Arial" w:hAnsi="Arial"/>
          <w:sz w:val="20"/>
          <w:szCs w:val="20"/>
          <w:color w:val="000000"/>
        </w:rPr>
        <w:t>Quoted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 Purchase Agreement</w:t>
      </w:r>
      <w:r>
        <w:rPr>
          <w:rFonts w:ascii="Arial" w:cs="Arial" w:eastAsia="Arial" w:hAnsi="Arial"/>
          <w:sz w:val="19"/>
          <w:szCs w:val="19"/>
          <w:color w:val="auto"/>
        </w:rPr>
        <w:t xml:space="preserve">” means (a) the Note Purchase Agreement dated as of May 13, 2010 among the Company, Worldwide, Tricor and the purchasers of notes issued pursuant thereto and any supplement thereto from time to time and (b) any other note purchase agreement entered into after the Closing Date pursuant to which one or more investors purchase unsecured notes issued by the Company and/or one or more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note purchase agreement shall not be on terms materially less favorable to the Company and its Subsidiaries than the Note Purchase Agreement identified in clause (a)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“NYFRB” means the Federal Reserve Bank of New York.</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u w:val="single" w:color="auto"/>
          <w:color w:val="0000FF"/>
        </w:rPr>
        <w:t>“NYFRB Rate” means, for any day, the greater of (a) the Federal Funds Rate in effect on such day and (b) the Overnight Bank Funding Rate in effect on such day (or for any day that is not a Business Day, for the immediately preceding Business Day); provided that if both such rates are not so published for any day that is a Business Day, the term “NYFRB Rate” means the rate quoted for such day for a federal funds transaction at 11:00 a.m., New York City time,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“NYFRB’s Website” means the website of the Federal Reserve Bank of New York at http://www.newyorkfed.org, or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source.</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“Obligations” of a Loan Party shall exclude any Excluded Swap Obligations with respect to such Loan Party.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9" w:right="339" w:bottom="1440" w:gutter="0" w:footer="0" w:header="0"/>
        </w:sectPr>
      </w:pPr>
    </w:p>
    <w:bookmarkStart w:id="47" w:name="page48"/>
    <w:bookmarkEnd w:id="47"/>
    <w:p>
      <w:pPr>
        <w:jc w:val="both"/>
        <w:spacing w:after="0" w:line="246" w:lineRule="auto"/>
        <w:rPr>
          <w:sz w:val="20"/>
          <w:szCs w:val="20"/>
          <w:color w:val="auto"/>
        </w:rPr>
      </w:pPr>
      <w:r>
        <w:rPr>
          <w:rFonts w:ascii="Arial" w:cs="Arial" w:eastAsia="Arial" w:hAnsi="Arial"/>
          <w:sz w:val="20"/>
          <w:szCs w:val="20"/>
          <w:color w:val="auto"/>
        </w:rPr>
        <w:t>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“Other Benchmark Rate Election” means, if the then-current Benchmark is the LIBO Rate or a SOFR-based rate, as applicable, the occurrence of:</w:t>
      </w:r>
    </w:p>
    <w:p>
      <w:pPr>
        <w:spacing w:after="0" w:line="177" w:lineRule="exact"/>
        <w:rPr>
          <w:sz w:val="20"/>
          <w:szCs w:val="20"/>
          <w:color w:val="auto"/>
        </w:rPr>
      </w:pPr>
    </w:p>
    <w:p>
      <w:pPr>
        <w:jc w:val="both"/>
        <w:ind w:firstLine="656"/>
        <w:spacing w:after="0" w:line="244" w:lineRule="auto"/>
        <w:tabs>
          <w:tab w:leader="none" w:pos="1284" w:val="left"/>
        </w:tabs>
        <w:numPr>
          <w:ilvl w:val="0"/>
          <w:numId w:val="25"/>
        </w:numPr>
        <w:rPr>
          <w:rFonts w:ascii="Arial" w:cs="Arial" w:eastAsia="Arial" w:hAnsi="Arial"/>
          <w:sz w:val="20"/>
          <w:szCs w:val="20"/>
          <w:color w:val="0000FF"/>
        </w:rPr>
      </w:pPr>
      <w:r>
        <w:rPr>
          <w:rFonts w:ascii="Arial" w:cs="Arial" w:eastAsia="Arial" w:hAnsi="Arial"/>
          <w:sz w:val="20"/>
          <w:szCs w:val="20"/>
          <w:u w:val="single" w:color="auto"/>
          <w:color w:val="0000FF"/>
        </w:rPr>
        <w:t>a notification by the Administrative Agent to (or the request by the Company to the Administrative Agent to notify) each of the other parties hereto that at least five currently outstanding Dollar-denominated syndicated credit facilities at such time in the United States contain (as a result of amendment or as originally executed), in lieu of a LIBOR-based rate or a SOFR-based rate, as applicable, a term benchmark rate that is not a SOFR-based rate as a benchmark rate (and such syndicated credit facilities are identified in such notice and are publicly available for review), and</w:t>
      </w:r>
    </w:p>
    <w:p>
      <w:pPr>
        <w:spacing w:after="0" w:line="194" w:lineRule="exact"/>
        <w:rPr>
          <w:rFonts w:ascii="Arial" w:cs="Arial" w:eastAsia="Arial" w:hAnsi="Arial"/>
          <w:sz w:val="20"/>
          <w:szCs w:val="20"/>
          <w:color w:val="0000FF"/>
        </w:rPr>
      </w:pPr>
    </w:p>
    <w:p>
      <w:pPr>
        <w:ind w:firstLine="656"/>
        <w:spacing w:after="0" w:line="316" w:lineRule="auto"/>
        <w:tabs>
          <w:tab w:leader="none" w:pos="1284" w:val="left"/>
        </w:tabs>
        <w:numPr>
          <w:ilvl w:val="0"/>
          <w:numId w:val="25"/>
        </w:numPr>
        <w:rPr>
          <w:rFonts w:ascii="Arial" w:cs="Arial" w:eastAsia="Arial" w:hAnsi="Arial"/>
          <w:sz w:val="18"/>
          <w:szCs w:val="18"/>
          <w:color w:val="0000FF"/>
        </w:rPr>
      </w:pPr>
      <w:r>
        <w:rPr>
          <w:rFonts w:ascii="Arial" w:cs="Arial" w:eastAsia="Arial" w:hAnsi="Arial"/>
          <w:sz w:val="18"/>
          <w:szCs w:val="18"/>
          <w:u w:val="single" w:color="auto"/>
          <w:color w:val="0000FF"/>
        </w:rPr>
        <w:t>the joint election by the Administrative Agent and the Company to trigger a fallback from the LIBO Rate or SOFR-based rate and the provision, as applicable, by the Administrative Agent of written notice of such election to the Company and the Lenders.</w:t>
      </w:r>
    </w:p>
    <w:p>
      <w:pPr>
        <w:spacing w:after="0" w:line="13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and (ii) Excluded Taxes.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0000FF"/>
        </w:rPr>
        <w:t>“Overnight Bank Funding Rate” means, for any day, the rate comprised of both overnight federal funds and overnight eurodollar borrowings denominated in Dollars by U.S.-managed banking offices of depository institutions (as such composite rate shall be determined by the NYFRB as set forth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1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NYFRB’s Website from time to time) and published on the next succeeding Business Day by the NYFRB as an overnight bank funding rate.</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BMO in the applicable offshore interbank market for such currency to major banks in such interbank market.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each state so described in any EMU Legislation.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“Payment Recipient” is defined in Section 11.25(a).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and any entity succeeding to any or all of its functions under ERISA.</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the Company or a Subsidiary which satisfies each of the following requirements:</w:t>
      </w:r>
    </w:p>
    <w:p>
      <w:pPr>
        <w:spacing w:after="0" w:line="39" w:lineRule="exact"/>
        <w:rPr>
          <w:sz w:val="20"/>
          <w:szCs w:val="20"/>
          <w:color w:val="auto"/>
        </w:rPr>
      </w:pPr>
    </w:p>
    <w:p>
      <w:pPr>
        <w:jc w:val="both"/>
        <w:ind w:firstLine="8"/>
        <w:spacing w:after="0" w:line="268" w:lineRule="auto"/>
        <w:tabs>
          <w:tab w:leader="none" w:pos="2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as of the most recent Fiscal Quarter for which the Company was required to deliver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(and if the aggregate consideration (including cash and non-cash consideration, any assumption of Debt, any acquired Debt, deferred purchase price and any earn 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and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19" w:right="339" w:bottom="1440" w:gutter="0" w:footer="0" w:header="0"/>
        </w:sectPr>
      </w:pPr>
    </w:p>
    <w:bookmarkStart w:id="49" w:name="page50"/>
    <w:bookmarkEnd w:id="49"/>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at any time, Liens in respect of property of the Company or any of its Subsidiaries permitted to exist at such time pursuant to the terms of </w:t>
      </w:r>
      <w:r>
        <w:rPr>
          <w:rFonts w:ascii="Arial" w:cs="Arial" w:eastAsia="Arial" w:hAnsi="Arial"/>
          <w:sz w:val="20"/>
          <w:szCs w:val="20"/>
          <w:u w:val="single" w:color="auto"/>
          <w:color w:val="auto"/>
        </w:rPr>
        <w:t>Section 7.08</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Securitization</w:t>
      </w:r>
      <w:r>
        <w:rPr>
          <w:rFonts w:ascii="Arial" w:cs="Arial" w:eastAsia="Arial" w:hAnsi="Arial"/>
          <w:sz w:val="18"/>
          <w:szCs w:val="18"/>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w:t>
      </w:r>
      <w:r>
        <w:rPr>
          <w:rFonts w:ascii="Arial" w:cs="Arial" w:eastAsia="Arial" w:hAnsi="Arial"/>
          <w:sz w:val="20"/>
          <w:szCs w:val="20"/>
          <w:color w:val="auto"/>
        </w:rPr>
        <w:t>” means the U.S. Department of Labor regulation located at 29 C.F.R. Section 2510.3-101, or any successor regulation thereto, as in effect at the time of reference, as modified by Section 3(42)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Assets</w:t>
      </w:r>
      <w:r>
        <w:rPr>
          <w:rFonts w:ascii="Arial" w:cs="Arial" w:eastAsia="Arial" w:hAnsi="Arial"/>
          <w:sz w:val="20"/>
          <w:szCs w:val="20"/>
          <w:color w:val="auto"/>
        </w:rPr>
        <w:t>” means “plan assets” as defined in the Plan Asset Regulation.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has the meaning specified in Section 7.01.</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Revolving Loans and the obligation of the L/C Issuer to make L/C Credit Extensions have been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 The Pro Rata Shares shall be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8000"/>
        </w:rPr>
        <w:t>Quoted Currency” means Dollars, Euros, Sterling and Japanese Yen and each other currency for which there is a published</w:t>
      </w:r>
      <w:r>
        <w:rPr>
          <w:rFonts w:ascii="Arial" w:cs="Arial" w:eastAsia="Arial" w:hAnsi="Arial"/>
          <w:sz w:val="18"/>
          <w:szCs w:val="18"/>
          <w:u w:val="single" w:color="auto"/>
          <w:color w:val="0000FF"/>
        </w:rPr>
        <w:t xml:space="preserve"> reference </w:t>
      </w:r>
      <w:r>
        <w:rPr>
          <w:rFonts w:ascii="Arial" w:cs="Arial" w:eastAsia="Arial" w:hAnsi="Arial"/>
          <w:sz w:val="18"/>
          <w:szCs w:val="18"/>
          <w:u w:val="single" w:color="auto"/>
          <w:color w:val="008000"/>
        </w:rPr>
        <w:t>rate, in each case as long as there is a published</w:t>
      </w:r>
      <w:r>
        <w:rPr>
          <w:rFonts w:ascii="Arial" w:cs="Arial" w:eastAsia="Arial" w:hAnsi="Arial"/>
          <w:sz w:val="18"/>
          <w:szCs w:val="18"/>
          <w:u w:val="single" w:color="auto"/>
          <w:color w:val="0000FF"/>
        </w:rPr>
        <w:t xml:space="preserve"> reference rate acceptable to the Administrative Agent with respect thereto.</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9" w:right="3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practice is not administratively feasible for the Administrative Agent, such other day as otherwise reasonably determined by the Administrative Agent).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the L/C Issuer or any other recipient of any payment to be made by or on account of any obligation of any Loan Party hereunder.</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u w:val="single" w:color="auto"/>
          <w:color w:val="0000FF"/>
        </w:rPr>
        <w:t>“Reference Time” with respect to any setting of the then</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current Benchmark means (1) if such Benchmark is the LIBO Rate, 11:00 a.m. (London time) on the day that is two London banking days preceding the date of such setting, (2) if such Benchmark is the EURIBO Rate, 11:00 a.m. (Brussels time) two TARGET2 Days preceding the date of such setting, (3) if such Benchmark is TIBO Rate, 11:00 a.m. Japan time two Business Days preceding the date of such setting, (4) if the RFR for such Benchmark is SONIA, then four Business Days prior to such setting and (5) if such Benchmark is none of the LIBO Rate, the EURIBO Rate, the TIBO Rate or SONIA, the time determined by the Administrative Agent in its reasonable discretion.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u w:val="single" w:color="auto"/>
          <w:color w:val="0000FF"/>
        </w:rPr>
        <w:t>“Relevant Governmental Body” means (i) with respect to a Benchmark Replacement in respect of Loans denominated in Dollars, the FRB and/or the NYFRB, or a committee officially endorsed or convened by the FRB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and (v)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0000FF"/>
        </w:rPr>
        <w:t>“Relevant Rate” means (i) with respect to any Eurocurrency Borrowing denominated in Dollars, the LIBO Rate, (ii) with respect to any Eurocurrency Borrowing denominated in euro, the EURIBO Rate, (iii) with respect to any Eurocurrency Borrowing denominated in Japanese Yen, the TIBO Rate or (iv) with respect to any Borrowing denominated in Sterling, Daily Simple SONIA, as applicable.</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0000FF"/>
        </w:rPr>
        <w:t>“Relevant Screen Rate” means (i) with respect to any Eurocurrency Borrowing denominated in Dollars, the LIBOR Screen Rate, (ii) with respect to any Eurocurrency Borrowing denominated in euro, the EURIBOR Screen Rate and (iii) with respect to any Eurocurrency Borrowing denominated in Japanese Yen, the TIBOR Screen Rate,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9" w:right="339" w:bottom="1440" w:gutter="0" w:footer="0" w:header="0"/>
        </w:sectPr>
      </w:pPr>
    </w:p>
    <w:bookmarkStart w:id="51" w:name="page52"/>
    <w:bookmarkEnd w:id="51"/>
    <w:p>
      <w:pPr>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holding in the aggregate more than fifty percent (50%) of (a) the Commitments or</w:t>
      </w:r>
    </w:p>
    <w:p>
      <w:pPr>
        <w:spacing w:after="0" w:line="39" w:lineRule="exact"/>
        <w:rPr>
          <w:sz w:val="20"/>
          <w:szCs w:val="20"/>
          <w:color w:val="auto"/>
        </w:rPr>
      </w:pPr>
    </w:p>
    <w:p>
      <w:pPr>
        <w:jc w:val="both"/>
        <w:ind w:firstLine="8"/>
        <w:spacing w:after="0" w:line="256" w:lineRule="auto"/>
        <w:tabs>
          <w:tab w:leader="none" w:pos="301"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if the Commitments have been terminated, the outstanding Loans, L/C Obligations, Swing Line Loans and participations therein. The Commitments of, and the outstanding Loans held or deemed held by, any Defaulting Lender shall be disregarded for purposes of making a determination of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“Resolution Authority”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any Executive Officer, and, solely for purposes of the delivery of incumbency certificates, the secretary or any assistant secretary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of the applicable Loan Party so designated by any of the foregoing officers in a notice to the Administrative Agent or any other officer or employee of the applicable 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reasonably determine or the Required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reasonably determine or the Required Lenders shall reasonably require.</w:t>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Lender, its obligation to (a) make Revolving Loans to the Borrowers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in any documentation executed by such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9"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20"/>
          <w:szCs w:val="20"/>
          <w:u w:val="single" w:color="auto"/>
          <w:color w:val="0000FF"/>
        </w:rPr>
        <w:t>“RFR” means, for any RFR Loan denominated in Sterling, SONIA.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“RFR Administrator” means the SONIA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“RFR Borrowing” means, as to any Borrowing, the RFR Loans comprising such Borrowing.</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“RFR Business Day” means, for any Loan denominated in Sterling, any day except for (i) a Saturday, (ii) a Sunday or (iii) a day on which banks are closed for general business in London.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“RFR Interest Day” has the meaning specified in the definition of “Daily Simple SONIA”.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“RFR Loan” means a Loan that bears interest at a rate based on Daily Simple SONIA.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OFAC, the United Nations Security Council, the European Union, Her Majesty’s Treasury (“HMT”) or other relevant sanctions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Obligations</w:t>
      </w:r>
      <w:r>
        <w:rPr>
          <w:rFonts w:ascii="Arial" w:cs="Arial" w:eastAsia="Arial" w:hAnsi="Arial"/>
          <w:sz w:val="18"/>
          <w:szCs w:val="18"/>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Subsidiary</w:t>
      </w:r>
      <w:r>
        <w:rPr>
          <w:rFonts w:ascii="Arial" w:cs="Arial" w:eastAsia="Arial" w:hAnsi="Arial"/>
          <w:sz w:val="19"/>
          <w:szCs w:val="19"/>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w:t>
      </w:r>
      <w:r>
        <w:rPr>
          <w:rFonts w:ascii="Arial" w:cs="Arial" w:eastAsia="Arial" w:hAnsi="Arial"/>
          <w:sz w:val="20"/>
          <w:szCs w:val="20"/>
          <w:color w:val="auto"/>
        </w:rPr>
        <w:t>” means any note issued pursuant to a Note Purchase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9" w:right="339" w:bottom="1440" w:gutter="0" w:footer="0" w:header="0"/>
        </w:sectPr>
      </w:pPr>
    </w:p>
    <w:bookmarkStart w:id="53" w:name="page54"/>
    <w:bookmarkEnd w:id="53"/>
    <w:p>
      <w:pPr>
        <w:jc w:val="both"/>
        <w:ind w:firstLine="648"/>
        <w:spacing w:after="0" w:line="316" w:lineRule="auto"/>
        <w:rPr>
          <w:sz w:val="20"/>
          <w:szCs w:val="20"/>
          <w:color w:val="auto"/>
        </w:rPr>
      </w:pPr>
      <w:r>
        <w:rPr>
          <w:rFonts w:ascii="Arial" w:cs="Arial" w:eastAsia="Arial" w:hAnsi="Arial"/>
          <w:sz w:val="18"/>
          <w:szCs w:val="18"/>
          <w:u w:val="single" w:color="auto"/>
          <w:color w:val="0000FF"/>
        </w:rPr>
        <w:t>“SOFR” means, with respect to any Business Day, a rate per annum equal to the secured overnight financing rate for such Business Day published by the SOFR Administrator on the SOFR Administrator’s Website on the immediately succeeding Business Day.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“SOFR Administrator” means the NYFRB (or a successor administrator of the secured overnight financing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“SOFR Administrator’s Website” means the NYFRB’s Website, currently at http://www.newyorkfed.org, or any successor source for the secured overnight financing rate identified as such by the SOFR Administrator from time to time.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u w:val="single" w:color="auto"/>
          <w:color w:val="0000FF"/>
        </w:rPr>
        <w:t>“SONIA”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0000FF"/>
        </w:rPr>
        <w:t>“SONIA Administrator” means the Bank of England (or any successor administrator of the Sterling Overnight Index Average).</w:t>
      </w: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0000FF"/>
        </w:rPr>
        <w:t>“SONIA Administrator’s Website” means the Bank of England’s website, currently at http://www.bankofengland.co.uk, or any successor source for the Sterling Overnight Index Average identified as such by the SONIA Administrator from time to time.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w:t>
      </w:r>
      <w:r>
        <w:rPr>
          <w:rFonts w:ascii="Arial" w:cs="Arial" w:eastAsia="Arial" w:hAnsi="Arial"/>
          <w:sz w:val="18"/>
          <w:szCs w:val="18"/>
          <w:color w:val="auto"/>
        </w:rPr>
        <w:t xml:space="preserve">” means the aggregate amount of unrestricted cash and Cash Equivalents of the Company and its Domestic Subsidiaries (other than Excluded Subsidiaries) not exceeding the greater of (a) $75,000,000 and (b) 25% of Consolidated EBITDA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0000FF"/>
        </w:rPr>
        <w:t xml:space="preserve">“Statutory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FRB to which the Administrative Agent is subject with respect to the Adjusted LIBO Rate, the Adjusted EURIBO Rate or the Adjusted TIBO Rate, as applicable, for eurocurrency funding </w:t>
      </w:r>
      <w:r>
        <w:rPr>
          <w:rFonts w:ascii="Arial" w:cs="Arial" w:eastAsia="Arial" w:hAnsi="Arial"/>
          <w:sz w:val="20"/>
          <w:szCs w:val="20"/>
          <w:u w:val="single" w:color="auto"/>
          <w:color w:val="008000"/>
        </w:rPr>
        <w:t>(currently referred to</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as “Eurocurrency liabilities” </w:t>
      </w:r>
      <w:r>
        <w:rPr>
          <w:rFonts w:ascii="Arial" w:cs="Arial" w:eastAsia="Arial" w:hAnsi="Arial"/>
          <w:sz w:val="20"/>
          <w:szCs w:val="20"/>
          <w:u w:val="single" w:color="auto"/>
          <w:color w:val="0000FF"/>
        </w:rPr>
        <w:t>in Regulation D of the FRB)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9" w:right="33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8"/>
          <w:szCs w:val="18"/>
          <w:u w:val="single" w:color="auto"/>
          <w:color w:val="0000FF"/>
        </w:rPr>
        <w:t xml:space="preserve">reserve ratio or analogous requirement of any central banking or financial regulatory authority imposed in respect of the maintenance of the Commitments or the funding of the Loans. Such reserve percentage shall include those imposed pursuant to Regulation D of the FRB. Eurocurrency Rate Loans shall be deemed to constitute eurocurrency funding and to be subject to such reserve requirements without benefit of or credit for proration, exemptions or offsets that may be available from time to time to any Lender under Regulation D of the FRB or any comparable regulation. The Statutory Reserve Rate </w:t>
      </w:r>
      <w:r>
        <w:rPr>
          <w:rFonts w:ascii="Arial" w:cs="Arial" w:eastAsia="Arial" w:hAnsi="Arial"/>
          <w:sz w:val="18"/>
          <w:szCs w:val="18"/>
          <w:u w:val="single" w:color="auto"/>
          <w:color w:val="008000"/>
        </w:rPr>
        <w:t>shall be adjusted automatically</w:t>
      </w:r>
      <w:r>
        <w:rPr>
          <w:rFonts w:ascii="Arial" w:cs="Arial" w:eastAsia="Arial" w:hAnsi="Arial"/>
          <w:sz w:val="18"/>
          <w:szCs w:val="18"/>
          <w:u w:val="single" w:color="auto"/>
          <w:color w:val="0000FF"/>
        </w:rPr>
        <w:t xml:space="preserve"> on and </w:t>
      </w:r>
      <w:r>
        <w:rPr>
          <w:rFonts w:ascii="Arial" w:cs="Arial" w:eastAsia="Arial" w:hAnsi="Arial"/>
          <w:sz w:val="18"/>
          <w:szCs w:val="18"/>
          <w:u w:val="single" w:color="auto"/>
          <w:color w:val="008000"/>
        </w:rPr>
        <w:t>as of the effective date of any change in</w:t>
      </w:r>
      <w:r>
        <w:rPr>
          <w:rFonts w:ascii="Arial" w:cs="Arial" w:eastAsia="Arial" w:hAnsi="Arial"/>
          <w:sz w:val="18"/>
          <w:szCs w:val="18"/>
          <w:u w:val="single" w:color="auto"/>
          <w:color w:val="0000FF"/>
        </w:rPr>
        <w:t xml:space="preserve"> any reserve percentage, and the Administrative Agent shall notify the Company promptly of any such adjustment.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any Debt of the Company or any Subsidiary that (a) is subordinated to the Obligations in a manner approved in writing by the Required Lenders and (b) has (i) no amortization prior to the date that is at least 91 days after the Maturity Date,</w:t>
      </w:r>
    </w:p>
    <w:p>
      <w:pPr>
        <w:spacing w:after="0" w:line="1" w:lineRule="exact"/>
        <w:rPr>
          <w:sz w:val="20"/>
          <w:szCs w:val="20"/>
          <w:color w:val="auto"/>
        </w:rPr>
      </w:pPr>
    </w:p>
    <w:p>
      <w:pPr>
        <w:ind w:right="20" w:firstLine="8"/>
        <w:spacing w:after="0" w:line="244" w:lineRule="auto"/>
        <w:tabs>
          <w:tab w:leader="none" w:pos="304" w:val="left"/>
        </w:tabs>
        <w:numPr>
          <w:ilvl w:val="0"/>
          <w:numId w:val="28"/>
        </w:numPr>
        <w:rPr>
          <w:rFonts w:ascii="Arial" w:cs="Arial" w:eastAsia="Arial" w:hAnsi="Arial"/>
          <w:sz w:val="20"/>
          <w:szCs w:val="20"/>
          <w:color w:val="auto"/>
        </w:rPr>
      </w:pPr>
      <w:r>
        <w:rPr>
          <w:rFonts w:ascii="Arial" w:cs="Arial" w:eastAsia="Arial" w:hAnsi="Arial"/>
          <w:sz w:val="20"/>
          <w:szCs w:val="20"/>
          <w:color w:val="auto"/>
        </w:rPr>
        <w:t>financial covenants and events of default (and related definitions) that are acceptable to the Required Lenders and (iii) no limitation on senior Debt (or any guaranty thereof) that is unacceptable to the Required Lenders.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 all references herein to a “Subsidiary” or to “Subsidiaries” shall refer to a Subsidiary or Subsidiaries of the Company.</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Suretyship Liability</w:t>
      </w:r>
      <w:r>
        <w:rPr>
          <w:rFonts w:ascii="Arial" w:cs="Arial" w:eastAsia="Arial" w:hAnsi="Arial"/>
          <w:sz w:val="18"/>
          <w:szCs w:val="18"/>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Termination Value</w:t>
      </w:r>
      <w:r>
        <w:rPr>
          <w:rFonts w:ascii="Arial" w:cs="Arial" w:eastAsia="Arial" w:hAnsi="Arial"/>
          <w:sz w:val="19"/>
          <w:szCs w:val="19"/>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19"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BMO in its capacity as provider of Swing Line Loans, or any successor swing line lender hereunder.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Borrowing of Swing Line Loans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2.04</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$40,000,000 and (b) the Aggregate Revolving Commitments. The Swing Line Sublimit is part of, and not in addition to, the Aggregate Revolving Commitments.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FF0000"/>
          <w:strike w:val="1"/>
        </w:rPr>
        <w:t>TARGET Day</w:t>
      </w:r>
      <w:r>
        <w:rPr>
          <w:rFonts w:ascii="Arial" w:cs="Arial" w:eastAsia="Arial" w:hAnsi="Arial"/>
          <w:sz w:val="19"/>
          <w:szCs w:val="19"/>
          <w:u w:val="single" w:color="auto"/>
          <w:color w:val="0000FF"/>
        </w:rPr>
        <w:t>TARGET2</w:t>
      </w:r>
      <w:r>
        <w:rPr>
          <w:rFonts w:ascii="Arial" w:cs="Arial" w:eastAsia="Arial" w:hAnsi="Arial"/>
          <w:sz w:val="19"/>
          <w:szCs w:val="19"/>
          <w:color w:val="auto"/>
        </w:rPr>
        <w:t xml:space="preserve">” means </w:t>
      </w:r>
      <w:r>
        <w:rPr>
          <w:rFonts w:ascii="Arial" w:cs="Arial" w:eastAsia="Arial" w:hAnsi="Arial"/>
          <w:sz w:val="19"/>
          <w:szCs w:val="19"/>
          <w:color w:val="FF0000"/>
          <w:strike w:val="1"/>
        </w:rPr>
        <w:t>any day on which</w:t>
      </w:r>
      <w:r>
        <w:rPr>
          <w:rFonts w:ascii="Arial" w:cs="Arial" w:eastAsia="Arial" w:hAnsi="Arial"/>
          <w:sz w:val="19"/>
          <w:szCs w:val="19"/>
          <w:color w:val="auto"/>
        </w:rPr>
        <w:t xml:space="preserve"> the Trans-European Automated Real-time Gross Settlement Express Transfer </w:t>
      </w: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TARGET</w:t>
      </w:r>
      <w:r>
        <w:rPr>
          <w:rFonts w:ascii="Arial" w:cs="Arial" w:eastAsia="Arial" w:hAnsi="Arial"/>
          <w:sz w:val="19"/>
          <w:szCs w:val="19"/>
          <w:u w:val="single" w:color="auto"/>
          <w:color w:val="0000FF"/>
        </w:rPr>
        <w:t>(TARGET2</w:t>
      </w:r>
      <w:r>
        <w:rPr>
          <w:rFonts w:ascii="Arial" w:cs="Arial" w:eastAsia="Arial" w:hAnsi="Arial"/>
          <w:sz w:val="19"/>
          <w:szCs w:val="19"/>
          <w:color w:val="000000"/>
        </w:rPr>
        <w:t>) payment system (or, if such payment system ceases to be operative, such other payment system (if any)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reasonably</w:t>
      </w:r>
      <w:r>
        <w:rPr>
          <w:rFonts w:ascii="Arial" w:cs="Arial" w:eastAsia="Arial" w:hAnsi="Arial"/>
          <w:sz w:val="19"/>
          <w:szCs w:val="19"/>
          <w:color w:val="FF0000"/>
        </w:rPr>
        <w:t xml:space="preserve"> </w:t>
      </w:r>
      <w:r>
        <w:rPr>
          <w:rFonts w:ascii="Arial" w:cs="Arial" w:eastAsia="Arial" w:hAnsi="Arial"/>
          <w:sz w:val="19"/>
          <w:szCs w:val="19"/>
          <w:color w:val="000000"/>
        </w:rPr>
        <w:t xml:space="preserve">determined by the Administrative Agent to be a suitable replacement) </w:t>
      </w:r>
      <w:r>
        <w:rPr>
          <w:rFonts w:ascii="Arial" w:cs="Arial" w:eastAsia="Arial" w:hAnsi="Arial"/>
          <w:sz w:val="19"/>
          <w:szCs w:val="19"/>
          <w:color w:val="0000FF"/>
        </w:rPr>
        <w:t>for the settlement of payments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-43815</wp:posOffset>
            </wp:positionV>
            <wp:extent cx="1974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“TARGET2 Day” means a day that TARGET2</w:t>
      </w:r>
      <w:r>
        <w:rPr>
          <w:rFonts w:ascii="Arial" w:cs="Arial" w:eastAsia="Arial" w:hAnsi="Arial"/>
          <w:sz w:val="20"/>
          <w:szCs w:val="20"/>
          <w:color w:val="0000FF"/>
        </w:rPr>
        <w:t xml:space="preserve"> </w:t>
      </w:r>
      <w:r>
        <w:rPr>
          <w:rFonts w:ascii="Arial" w:cs="Arial" w:eastAsia="Arial" w:hAnsi="Arial"/>
          <w:sz w:val="20"/>
          <w:szCs w:val="20"/>
          <w:color w:val="000000"/>
        </w:rPr>
        <w:t>is open for the settlement of payments in</w:t>
      </w:r>
      <w:r>
        <w:rPr>
          <w:rFonts w:ascii="Arial" w:cs="Arial" w:eastAsia="Arial" w:hAnsi="Arial"/>
          <w:sz w:val="20"/>
          <w:szCs w:val="20"/>
          <w:color w:val="0000FF"/>
        </w:rPr>
        <w:t xml:space="preserve"> </w:t>
      </w:r>
      <w:r>
        <w:rPr>
          <w:rFonts w:ascii="Arial" w:cs="Arial" w:eastAsia="Arial" w:hAnsi="Arial"/>
          <w:sz w:val="20"/>
          <w:szCs w:val="20"/>
          <w:color w:val="FF0000"/>
          <w:strike w:val="1"/>
        </w:rPr>
        <w:t>Euro</w:t>
      </w:r>
      <w:r>
        <w:rPr>
          <w:rFonts w:ascii="Arial" w:cs="Arial" w:eastAsia="Arial" w:hAnsi="Arial"/>
          <w:sz w:val="20"/>
          <w:szCs w:val="20"/>
          <w:u w:val="single" w:color="auto"/>
          <w:color w:val="0000FF"/>
        </w:rPr>
        <w:t>euro</w:t>
      </w:r>
      <w:r>
        <w:rPr>
          <w:rFonts w:ascii="Arial" w:cs="Arial" w:eastAsia="Arial" w:hAnsi="Arial"/>
          <w:sz w:val="20"/>
          <w:szCs w:val="20"/>
          <w:color w:val="000000"/>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0000FF"/>
        </w:rPr>
        <w:t>“Term ESTR” means, for the applicable Corresponding Tenor as of the applicable Reference Time, the forward-looking term rate based on ESTR that has been selected or recommended by the Relevant Governmental Body.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“Term ESTR Notice” means a notification by the Administrative Agent to the Lenders and the Company of the occurrence of a Term ESTR Transition Event.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u w:val="single" w:color="auto"/>
          <w:color w:val="0000FF"/>
        </w:rPr>
        <w:t>“Term ESTR Transition Event” means the determination by the Administrative Agent in good faith and in consultation with the Company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3.07 that is not Term ESTR.</w:t>
      </w:r>
    </w:p>
    <w:p>
      <w:pPr>
        <w:spacing w:after="0" w:line="176"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u w:val="single" w:color="auto"/>
          <w:color w:val="0000FF"/>
        </w:rPr>
        <w:t>“Term SOFR” means, for the applicable Corresponding Tenor as of the applicable Reference Time, the forward</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looking term rate based on SOFR that has been selected or recommended by the Relevant Governmental Body.</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“Term SOFR Notice” means a notification by the Administrative Agent to the Lenders and the Company of the occurrence of a Term SOFR Transition Event.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“Term SOFR Transition Event” means the determination by the Administrative Agent in good faith that (a) Term SOFR has been recommended for use by the Relevant Governmental Body,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19" w:right="3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0"/>
          <w:szCs w:val="20"/>
          <w:u w:val="single" w:color="auto"/>
          <w:color w:val="0000FF"/>
        </w:rPr>
        <w:t>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3.07 that is not Term SOFR.</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u w:val="single" w:color="auto"/>
          <w:color w:val="0000FF"/>
        </w:rPr>
        <w:t>“TIBO Interpolated Rate” means, at any time, with respect to any Eurocurrency Borrowing denominated in Japanese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that is shorter than the Impacted TIBO Rate Interest Period; and (b) the TIBOR Screen Rate for the shortest period for which the TIBOR Screen Rate is available that exceeds the Impacted TIBO Rate Interest Period, in each case, at such time; provided that, if any TIBO Interpolated Rate shall be less than zero, such rate shall be deemed to be zero for the purposes of this Agreement.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0000FF"/>
        </w:rPr>
        <w:t>“TIBO Rate” means, with respect to any Eurocurrency Borrowing denominated in Japanese Yen and for any Interest Period, the TIBOR Screen Rate at approximately 11:00 a.m., Japan time, two Business Days prior to the commencement of such Interest Period; provided that, if the TIBOR Screen Rate shall not be available at such time for such Interest Period (an “Impacted TIBO Rate Interest Period”) with respect to Japanese Yen then the TIBO Rate shall be the TIBO Interpolated Rate.</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0000FF"/>
        </w:rPr>
        <w:t>“TIBOR Screen Rate”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means the aggregate Outstanding Amount of all Revolving Loans, all Swing Line Loans and all L/C Obligations.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Management Agreement</w:t>
      </w:r>
      <w:r>
        <w:rPr>
          <w:rFonts w:ascii="Arial" w:cs="Arial" w:eastAsia="Arial" w:hAnsi="Arial"/>
          <w:sz w:val="19"/>
          <w:szCs w:val="19"/>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Bank</w:t>
      </w:r>
      <w:r>
        <w:rPr>
          <w:rFonts w:ascii="Arial" w:cs="Arial" w:eastAsia="Arial" w:hAnsi="Arial"/>
          <w:sz w:val="18"/>
          <w:szCs w:val="18"/>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19"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Tricor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any Loan, its character as a Base Rate Loan</w:t>
      </w:r>
      <w:r>
        <w:rPr>
          <w:rFonts w:ascii="Arial" w:cs="Arial" w:eastAsia="Arial" w:hAnsi="Arial"/>
          <w:sz w:val="20"/>
          <w:szCs w:val="20"/>
          <w:u w:val="single" w:color="auto"/>
          <w:color w:val="0000FF"/>
        </w:rPr>
        <w:t>, RFR Loan</w:t>
      </w:r>
      <w:r>
        <w:rPr>
          <w:rFonts w:ascii="Arial" w:cs="Arial" w:eastAsia="Arial" w:hAnsi="Arial"/>
          <w:sz w:val="20"/>
          <w:szCs w:val="20"/>
          <w:color w:val="auto"/>
        </w:rPr>
        <w:t xml:space="preserve"> or a Eurocurrency Rate Loan.</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“UK Resolution Authority”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“Unadjusted Benchmark Replacement” means the applicable Benchmark Replacement excluding the related Benchmark Replacement Adjustment.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any Person 100% of whose Capital Stock is at the time owned by the Company directly or indirectly through other Persons 100% of whose Capital Stock is at the time owned, directly or indirectly, by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Worldwide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8"/>
          <w:szCs w:val="18"/>
          <w:u w:val="single" w:color="auto"/>
          <w:color w:val="0000FF"/>
        </w:rPr>
        <w:t>, and (b) with respect to the United Kingdom,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-775335</wp:posOffset>
            </wp:positionV>
            <wp:extent cx="40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19" w:right="339" w:bottom="1440" w:gutter="0" w:footer="0" w:header="0"/>
        </w:sectPr>
      </w:pPr>
    </w:p>
    <w:bookmarkStart w:id="58" w:name="page59"/>
    <w:bookmarkEnd w:id="58"/>
    <w:p>
      <w:pPr>
        <w:spacing w:after="0" w:line="260" w:lineRule="auto"/>
        <w:rPr>
          <w:sz w:val="20"/>
          <w:szCs w:val="20"/>
          <w:color w:val="auto"/>
        </w:rPr>
      </w:pPr>
      <w:r>
        <w:rPr>
          <w:rFonts w:ascii="Arial" w:cs="Arial" w:eastAsia="Arial" w:hAnsi="Arial"/>
          <w:sz w:val="20"/>
          <w:szCs w:val="20"/>
          <w:u w:val="single" w:color="auto"/>
          <w:color w:val="0000FF"/>
        </w:rPr>
        <w:t>had been exercised under it or to suspend any obligation in respect of that liability or any of the powers under that Bail-In Legislation that are related to or ancillary to any of those powers</w:t>
      </w:r>
      <w:r>
        <w:rPr>
          <w:rFonts w:ascii="Arial" w:cs="Arial" w:eastAsia="Arial" w:hAnsi="Arial"/>
          <w:sz w:val="20"/>
          <w:szCs w:val="20"/>
          <w:color w:val="000000"/>
        </w:rPr>
        <w: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reference to this Agreement and each other Loan Document, unless otherwise specified herein or in such other Loan Document:</w:t>
      </w:r>
    </w:p>
    <w:p>
      <w:pPr>
        <w:spacing w:after="0" w:line="262" w:lineRule="exact"/>
        <w:rPr>
          <w:sz w:val="20"/>
          <w:szCs w:val="20"/>
          <w:color w:val="auto"/>
        </w:rPr>
      </w:pPr>
    </w:p>
    <w:p>
      <w:pPr>
        <w:ind w:left="1060" w:hanging="404"/>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1300" w:hanging="644"/>
        <w:spacing w:after="0" w:line="260" w:lineRule="auto"/>
        <w:tabs>
          <w:tab w:leader="none" w:pos="1103"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Loan Document in which such reference appears.</w:t>
      </w:r>
    </w:p>
    <w:p>
      <w:pPr>
        <w:spacing w:after="0" w:line="227" w:lineRule="exact"/>
        <w:rPr>
          <w:rFonts w:ascii="Arial" w:cs="Arial" w:eastAsia="Arial" w:hAnsi="Arial"/>
          <w:sz w:val="19"/>
          <w:szCs w:val="19"/>
          <w:color w:val="auto"/>
        </w:rPr>
      </w:pPr>
    </w:p>
    <w:p>
      <w:pPr>
        <w:ind w:left="1780" w:hanging="476"/>
        <w:spacing w:after="0"/>
        <w:tabs>
          <w:tab w:leader="none" w:pos="17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is by way of example and not limitation.</w:t>
      </w:r>
    </w:p>
    <w:p>
      <w:pPr>
        <w:spacing w:after="0" w:line="215" w:lineRule="exact"/>
        <w:rPr>
          <w:rFonts w:ascii="Arial" w:cs="Arial" w:eastAsia="Arial" w:hAnsi="Arial"/>
          <w:sz w:val="20"/>
          <w:szCs w:val="20"/>
          <w:color w:val="auto"/>
        </w:rPr>
      </w:pPr>
    </w:p>
    <w:p>
      <w:pPr>
        <w:ind w:left="660" w:firstLine="644"/>
        <w:spacing w:after="0" w:line="260" w:lineRule="auto"/>
        <w:tabs>
          <w:tab w:leader="none" w:pos="1774"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documents</w:t>
      </w:r>
      <w:r>
        <w:rPr>
          <w:rFonts w:ascii="Arial" w:cs="Arial" w:eastAsia="Arial" w:hAnsi="Arial"/>
          <w:sz w:val="20"/>
          <w:szCs w:val="20"/>
          <w:color w:val="auto"/>
        </w:rPr>
        <w:t>” includes any and all instruments, documents, agreements, certificates, notices, reports, financial statements and other writings, however evidenced, whether in physical or electronic form.</w:t>
      </w:r>
    </w:p>
    <w:p>
      <w:pPr>
        <w:spacing w:after="0" w:line="176" w:lineRule="exact"/>
        <w:rPr>
          <w:rFonts w:ascii="Arial" w:cs="Arial" w:eastAsia="Arial" w:hAnsi="Arial"/>
          <w:sz w:val="20"/>
          <w:szCs w:val="20"/>
          <w:color w:val="auto"/>
        </w:rPr>
      </w:pPr>
    </w:p>
    <w:p>
      <w:pPr>
        <w:ind w:firstLine="656"/>
        <w:spacing w:after="0" w:line="260" w:lineRule="auto"/>
        <w:tabs>
          <w:tab w:leader="none" w:pos="1169"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59" w:lineRule="auto"/>
        <w:tabs>
          <w:tab w:leader="none" w:pos="1058"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8" w:lineRule="exact"/>
        <w:rPr>
          <w:rFonts w:ascii="Arial" w:cs="Arial" w:eastAsia="Arial" w:hAnsi="Arial"/>
          <w:sz w:val="19"/>
          <w:szCs w:val="19"/>
          <w:color w:val="auto"/>
        </w:rPr>
      </w:pPr>
    </w:p>
    <w:p>
      <w:pPr>
        <w:ind w:firstLine="656"/>
        <w:spacing w:after="0" w:line="260" w:lineRule="auto"/>
        <w:tabs>
          <w:tab w:leader="none" w:pos="10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6" w:lineRule="auto"/>
        <w:tabs>
          <w:tab w:leader="none" w:pos="10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19" w:right="339" w:bottom="1440" w:gutter="0" w:footer="0" w:header="0"/>
        </w:sectPr>
      </w:pPr>
    </w:p>
    <w:bookmarkStart w:id="59" w:name="page60"/>
    <w:bookmarkEnd w:id="59"/>
    <w:p>
      <w:pPr>
        <w:jc w:val="both"/>
        <w:ind w:firstLine="656"/>
        <w:spacing w:after="0" w:line="255" w:lineRule="auto"/>
        <w:tabs>
          <w:tab w:leader="none" w:pos="1085"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for purposes of the financial statements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References to Agreements and Laws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075"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96" w:lineRule="exact"/>
        <w:rPr>
          <w:rFonts w:ascii="Arial" w:cs="Arial" w:eastAsia="Arial" w:hAnsi="Arial"/>
          <w:sz w:val="20"/>
          <w:szCs w:val="20"/>
          <w:color w:val="auto"/>
        </w:rPr>
      </w:pPr>
    </w:p>
    <w:p>
      <w:pPr>
        <w:jc w:val="both"/>
        <w:ind w:firstLine="656"/>
        <w:spacing w:after="0" w:line="250" w:lineRule="auto"/>
        <w:tabs>
          <w:tab w:leader="none" w:pos="1099"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Wherever in this Agreement in connection with a Borrowing, conversion, continuation or prepayment of a Eurocurrency Rate </w:t>
      </w:r>
      <w:r>
        <w:rPr>
          <w:rFonts w:ascii="Arial" w:cs="Arial" w:eastAsia="Arial" w:hAnsi="Arial"/>
          <w:sz w:val="20"/>
          <w:szCs w:val="20"/>
          <w:u w:val="single" w:color="auto"/>
          <w:color w:val="0000FF"/>
        </w:rPr>
        <w:t>Loan or an RFR</w:t>
      </w:r>
      <w:r>
        <w:rPr>
          <w:rFonts w:ascii="Arial" w:cs="Arial" w:eastAsia="Arial" w:hAnsi="Arial"/>
          <w:sz w:val="20"/>
          <w:szCs w:val="20"/>
          <w:color w:val="0000FF"/>
        </w:rPr>
        <w:t xml:space="preserve"> </w:t>
      </w:r>
      <w:r>
        <w:rPr>
          <w:rFonts w:ascii="Arial" w:cs="Arial" w:eastAsia="Arial" w:hAnsi="Arial"/>
          <w:sz w:val="20"/>
          <w:szCs w:val="20"/>
          <w:color w:val="000000"/>
        </w:rPr>
        <w:t>Loan or the issuance, amendment or extension of a Letter of Credit, an amount, such as a required minimum or multiple</w:t>
      </w:r>
      <w:r>
        <w:rPr>
          <w:rFonts w:ascii="Arial" w:cs="Arial" w:eastAsia="Arial" w:hAnsi="Arial"/>
          <w:sz w:val="20"/>
          <w:szCs w:val="20"/>
          <w:color w:val="0000FF"/>
        </w:rPr>
        <w:t xml:space="preserve"> </w:t>
      </w:r>
      <w:r>
        <w:rPr>
          <w:rFonts w:ascii="Arial" w:cs="Arial" w:eastAsia="Arial" w:hAnsi="Arial"/>
          <w:sz w:val="20"/>
          <w:szCs w:val="20"/>
          <w:color w:val="000000"/>
        </w:rPr>
        <w:t>amount, is expressed in Dollars,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19" w:right="3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9"/>
          <w:szCs w:val="19"/>
          <w:color w:val="auto"/>
        </w:rPr>
        <w:t xml:space="preserve">such Borrowing, Eurocurrency Rate </w:t>
      </w:r>
      <w:r>
        <w:rPr>
          <w:rFonts w:ascii="Arial" w:cs="Arial" w:eastAsia="Arial" w:hAnsi="Arial"/>
          <w:sz w:val="19"/>
          <w:szCs w:val="19"/>
          <w:u w:val="single" w:color="auto"/>
          <w:color w:val="0000FF"/>
        </w:rPr>
        <w:t>Loan, RFR</w:t>
      </w:r>
      <w:r>
        <w:rPr>
          <w:rFonts w:ascii="Arial" w:cs="Arial" w:eastAsia="Arial" w:hAnsi="Arial"/>
          <w:sz w:val="19"/>
          <w:szCs w:val="19"/>
          <w:color w:val="auto"/>
        </w:rPr>
        <w:t xml:space="preserv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0" w:lineRule="exact"/>
        <w:rPr>
          <w:sz w:val="20"/>
          <w:szCs w:val="20"/>
          <w:color w:val="auto"/>
        </w:rPr>
      </w:pPr>
    </w:p>
    <w:p>
      <w:pPr>
        <w:jc w:val="both"/>
        <w:ind w:firstLine="656"/>
        <w:spacing w:after="0" w:line="250" w:lineRule="auto"/>
        <w:tabs>
          <w:tab w:leader="none" w:pos="10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Administrative Agent does not warrant, nor accept responsibility, nor shall the Administrative Agent have any liability with respect to the administration, submission or any other matter related to the establishment of the rates in the definition of “Eurocurrency Base Rate” or with respect to any comparable or successor rate thereto.</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7" w:lineRule="auto"/>
        <w:tabs>
          <w:tab w:leader="none" w:pos="1115"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requested currency is a lawful currency (other than Dollars) that is readily available and freely transferable and convertible into Dollars and (ii) such requested currency shall only be a </w:t>
      </w:r>
      <w:r>
        <w:rPr>
          <w:rFonts w:ascii="Arial" w:cs="Arial" w:eastAsia="Arial" w:hAnsi="Arial"/>
          <w:sz w:val="19"/>
          <w:szCs w:val="19"/>
          <w:color w:val="FF0000"/>
          <w:strike w:val="1"/>
        </w:rPr>
        <w:t>LIBOR</w:t>
      </w:r>
      <w:r>
        <w:rPr>
          <w:rFonts w:ascii="Arial" w:cs="Arial" w:eastAsia="Arial" w:hAnsi="Arial"/>
          <w:sz w:val="19"/>
          <w:szCs w:val="19"/>
          <w:color w:val="auto"/>
        </w:rPr>
        <w:t xml:space="preserve"> Quoted Currency to the extent that there is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published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reference</w:t>
      </w:r>
      <w:r>
        <w:rPr>
          <w:rFonts w:ascii="Arial" w:cs="Arial" w:eastAsia="Arial" w:hAnsi="Arial"/>
          <w:sz w:val="19"/>
          <w:szCs w:val="19"/>
          <w:color w:val="auto"/>
        </w:rPr>
        <w:t xml:space="preserve"> rate for such currency.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84" w:lineRule="exact"/>
        <w:rPr>
          <w:rFonts w:ascii="Arial" w:cs="Arial" w:eastAsia="Arial" w:hAnsi="Arial"/>
          <w:sz w:val="19"/>
          <w:szCs w:val="19"/>
          <w:color w:val="auto"/>
        </w:rPr>
      </w:pPr>
    </w:p>
    <w:p>
      <w:pPr>
        <w:jc w:val="both"/>
        <w:ind w:firstLine="656"/>
        <w:spacing w:after="0" w:line="273" w:lineRule="auto"/>
        <w:tabs>
          <w:tab w:leader="none" w:pos="10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Business Days after receipt of such request whether it consents, in its sole discretion, to the making of Eurocurrency Rate Loans or the issuance of Letters of Credit, as the case may be, in such requested currency.</w:t>
      </w:r>
    </w:p>
    <w:p>
      <w:pPr>
        <w:spacing w:after="0" w:line="168" w:lineRule="exact"/>
        <w:rPr>
          <w:rFonts w:ascii="Arial" w:cs="Arial" w:eastAsia="Arial" w:hAnsi="Arial"/>
          <w:sz w:val="18"/>
          <w:szCs w:val="18"/>
          <w:color w:val="auto"/>
        </w:rPr>
      </w:pPr>
    </w:p>
    <w:p>
      <w:pPr>
        <w:jc w:val="both"/>
        <w:ind w:firstLine="656"/>
        <w:spacing w:after="0" w:line="271" w:lineRule="auto"/>
        <w:tabs>
          <w:tab w:leader="none" w:pos="10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and the Administrative Agent and such Lenders reasonably determine that a Eurocurrency Base Rate is available to be used for such requested currency, the Administrative Agent shall so notify the Company and (i) the Administrative Agent and such Lenders may amend the definition of Eurocurrency Base Rate for any </w:t>
      </w:r>
      <w:r>
        <w:rPr>
          <w:rFonts w:ascii="Arial" w:cs="Arial" w:eastAsia="Arial" w:hAnsi="Arial"/>
          <w:sz w:val="18"/>
          <w:szCs w:val="18"/>
          <w:color w:val="FF0000"/>
          <w:strike w:val="1"/>
        </w:rPr>
        <w:t>Non-LIBOR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Non-</w:t>
      </w:r>
      <w:r>
        <w:rPr>
          <w:rFonts w:ascii="Arial" w:cs="Arial" w:eastAsia="Arial" w:hAnsi="Arial"/>
          <w:sz w:val="18"/>
          <w:szCs w:val="18"/>
          <w:color w:val="auto"/>
        </w:rPr>
        <w:t xml:space="preserve">Quoted Currency to the extent necessary to add the applicable Eurocurrency Base Rate for such currency and (ii) to the extent the definition of Eurocurrency Base Rate reflects the appropriate interest rate for such currency or has been amended to reflect the appropriate rate for such currency, such currency shall thereupon be deemed for all purposes to be a </w:t>
      </w:r>
      <w:r>
        <w:rPr>
          <w:rFonts w:ascii="Arial" w:cs="Arial" w:eastAsia="Arial" w:hAnsi="Arial"/>
          <w:sz w:val="18"/>
          <w:szCs w:val="18"/>
          <w:color w:val="FF0000"/>
          <w:strike w:val="1"/>
        </w:rPr>
        <w:t>LIBOR</w:t>
      </w:r>
      <w:r>
        <w:rPr>
          <w:rFonts w:ascii="Arial" w:cs="Arial" w:eastAsia="Arial" w:hAnsi="Arial"/>
          <w:sz w:val="18"/>
          <w:szCs w:val="18"/>
          <w:color w:val="auto"/>
        </w:rPr>
        <w:t xml:space="preserve"> Quoted Currency or a </w:t>
      </w:r>
      <w:r>
        <w:rPr>
          <w:rFonts w:ascii="Arial" w:cs="Arial" w:eastAsia="Arial" w:hAnsi="Arial"/>
          <w:sz w:val="18"/>
          <w:szCs w:val="18"/>
          <w:color w:val="FF0000"/>
          <w:strike w:val="1"/>
        </w:rPr>
        <w:t>Non-LIBOR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Non-</w:t>
      </w:r>
      <w:r>
        <w:rPr>
          <w:rFonts w:ascii="Arial" w:cs="Arial" w:eastAsia="Arial" w:hAnsi="Arial"/>
          <w:sz w:val="18"/>
          <w:szCs w:val="18"/>
          <w:color w:val="auto"/>
        </w:rPr>
        <w:t>Quoted Currency, as applicable, for purposes of any Borrowings of Eurocurrency Rate Loans. If the Administrative Agent and the L/C Issuer consent to the issuance of Letters of Credit in such requested currency, the Administrative Agent shall so notify the Company and (A)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19"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9"/>
          <w:szCs w:val="19"/>
          <w:color w:val="auto"/>
        </w:rPr>
        <w:t xml:space="preserve">the L/C Issuer may amend the definition of Eurocurrency Base Rate for any </w:t>
      </w:r>
      <w:r>
        <w:rPr>
          <w:rFonts w:ascii="Arial" w:cs="Arial" w:eastAsia="Arial" w:hAnsi="Arial"/>
          <w:sz w:val="19"/>
          <w:szCs w:val="19"/>
          <w:color w:val="FF0000"/>
          <w:strike w:val="1"/>
        </w:rPr>
        <w:t>Non-LIBOR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Non-</w:t>
      </w:r>
      <w:r>
        <w:rPr>
          <w:rFonts w:ascii="Arial" w:cs="Arial" w:eastAsia="Arial" w:hAnsi="Arial"/>
          <w:sz w:val="19"/>
          <w:szCs w:val="19"/>
          <w:color w:val="auto"/>
        </w:rPr>
        <w:t xml:space="preserve">Quoted Currency to the extent necessary to add the applicable Eurocurrency Base Rate for such currency and (B) to the extent the definition of Eurocurrency Base Rate reflects the appropriate interest rate for such currency or has been amended to reflect the appropriate rate for such currency, such currency shall thereupon be deemed for all purposes to be a </w:t>
      </w:r>
      <w:r>
        <w:rPr>
          <w:rFonts w:ascii="Arial" w:cs="Arial" w:eastAsia="Arial" w:hAnsi="Arial"/>
          <w:sz w:val="19"/>
          <w:szCs w:val="19"/>
          <w:color w:val="FF0000"/>
          <w:strike w:val="1"/>
        </w:rPr>
        <w:t>LIBOR</w:t>
      </w:r>
      <w:r>
        <w:rPr>
          <w:rFonts w:ascii="Arial" w:cs="Arial" w:eastAsia="Arial" w:hAnsi="Arial"/>
          <w:sz w:val="19"/>
          <w:szCs w:val="19"/>
          <w:color w:val="auto"/>
        </w:rPr>
        <w:t xml:space="preserve"> Quoted Currency or a </w:t>
      </w:r>
      <w:r>
        <w:rPr>
          <w:rFonts w:ascii="Arial" w:cs="Arial" w:eastAsia="Arial" w:hAnsi="Arial"/>
          <w:sz w:val="19"/>
          <w:szCs w:val="19"/>
          <w:color w:val="FF0000"/>
          <w:strike w:val="1"/>
        </w:rPr>
        <w:t>Non-LIBOR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Non-</w:t>
      </w:r>
      <w:r>
        <w:rPr>
          <w:rFonts w:ascii="Arial" w:cs="Arial" w:eastAsia="Arial" w:hAnsi="Arial"/>
          <w:sz w:val="19"/>
          <w:szCs w:val="19"/>
          <w:color w:val="auto"/>
        </w:rPr>
        <w:t xml:space="preserve">Quoted Currency, as applicable, for purposes of any Letter of Credit issuances. If the Administrative Agent shall fail to obtain consent to any request for an additional currency under this </w:t>
      </w:r>
      <w:r>
        <w:rPr>
          <w:rFonts w:ascii="Arial" w:cs="Arial" w:eastAsia="Arial" w:hAnsi="Arial"/>
          <w:sz w:val="19"/>
          <w:szCs w:val="19"/>
          <w:u w:val="single" w:color="auto"/>
          <w:color w:val="auto"/>
        </w:rPr>
        <w:t>Section 1.07</w:t>
      </w:r>
      <w:r>
        <w:rPr>
          <w:rFonts w:ascii="Arial" w:cs="Arial" w:eastAsia="Arial" w:hAnsi="Arial"/>
          <w:sz w:val="19"/>
          <w:szCs w:val="19"/>
          <w:color w:val="auto"/>
        </w:rPr>
        <w:t>, the Administrative Agent shall promptly so notify the Company.</w:t>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115"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96" w:lineRule="exact"/>
        <w:rPr>
          <w:rFonts w:ascii="Arial" w:cs="Arial" w:eastAsia="Arial" w:hAnsi="Arial"/>
          <w:sz w:val="20"/>
          <w:szCs w:val="20"/>
          <w:color w:val="auto"/>
        </w:rPr>
      </w:pPr>
    </w:p>
    <w:p>
      <w:pPr>
        <w:jc w:val="both"/>
        <w:ind w:firstLine="656"/>
        <w:spacing w:after="0" w:line="243" w:lineRule="auto"/>
        <w:tabs>
          <w:tab w:leader="none" w:pos="1072"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Central time (daylight or standard, as applicable).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Luxembourg Terms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Without prejudice to the generality of any provision of this Agreement, in this Agreement where it relates to a Luxembourg Loan Party, a reference to: (a) a winding-up, administration or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19"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9"/>
          <w:szCs w:val="19"/>
          <w:color w:val="auto"/>
        </w:rPr>
        <w:t>includes, without limitation, bankruptcy (</w:t>
      </w:r>
      <w:r>
        <w:rPr>
          <w:rFonts w:ascii="Arial" w:cs="Arial" w:eastAsia="Arial" w:hAnsi="Arial"/>
          <w:sz w:val="19"/>
          <w:szCs w:val="19"/>
          <w:i w:val="1"/>
          <w:iCs w:val="1"/>
          <w:color w:val="auto"/>
        </w:rPr>
        <w:t>faillite</w:t>
      </w:r>
      <w:r>
        <w:rPr>
          <w:rFonts w:ascii="Arial" w:cs="Arial" w:eastAsia="Arial" w:hAnsi="Arial"/>
          <w:sz w:val="19"/>
          <w:szCs w:val="19"/>
          <w:color w:val="auto"/>
        </w:rPr>
        <w:t>), liquidation, composition with creditors (</w:t>
      </w:r>
      <w:r>
        <w:rPr>
          <w:rFonts w:ascii="Arial" w:cs="Arial" w:eastAsia="Arial" w:hAnsi="Arial"/>
          <w:sz w:val="19"/>
          <w:szCs w:val="19"/>
          <w:i w:val="1"/>
          <w:iCs w:val="1"/>
          <w:color w:val="auto"/>
        </w:rPr>
        <w:t>concordat préventif de faillite</w:t>
      </w:r>
      <w:r>
        <w:rPr>
          <w:rFonts w:ascii="Arial" w:cs="Arial" w:eastAsia="Arial" w:hAnsi="Arial"/>
          <w:sz w:val="19"/>
          <w:szCs w:val="19"/>
          <w:color w:val="auto"/>
        </w:rPr>
        <w:t>), a suspension of payments (</w:t>
      </w:r>
      <w:r>
        <w:rPr>
          <w:rFonts w:ascii="Arial" w:cs="Arial" w:eastAsia="Arial" w:hAnsi="Arial"/>
          <w:sz w:val="19"/>
          <w:szCs w:val="19"/>
          <w:i w:val="1"/>
          <w:iCs w:val="1"/>
          <w:color w:val="auto"/>
        </w:rPr>
        <w:t>sursis de paiement</w:t>
      </w:r>
      <w:r>
        <w:rPr>
          <w:rFonts w:ascii="Arial" w:cs="Arial" w:eastAsia="Arial" w:hAnsi="Arial"/>
          <w:sz w:val="19"/>
          <w:szCs w:val="19"/>
          <w:color w:val="auto"/>
        </w:rPr>
        <w:t>), procedure, controlled management (</w:t>
      </w:r>
      <w:r>
        <w:rPr>
          <w:rFonts w:ascii="Arial" w:cs="Arial" w:eastAsia="Arial" w:hAnsi="Arial"/>
          <w:sz w:val="19"/>
          <w:szCs w:val="19"/>
          <w:i w:val="1"/>
          <w:iCs w:val="1"/>
          <w:color w:val="auto"/>
        </w:rPr>
        <w:t>gestion controlée</w:t>
      </w:r>
      <w:r>
        <w:rPr>
          <w:rFonts w:ascii="Arial" w:cs="Arial" w:eastAsia="Arial" w:hAnsi="Arial"/>
          <w:sz w:val="19"/>
          <w:szCs w:val="19"/>
          <w:color w:val="auto"/>
        </w:rPr>
        <w:t xml:space="preserve">); (b) a receiver, administrative receiver, administrator, trustee, custodian, sequestrator, conservator or similar officer includes, without limitation, a </w:t>
      </w:r>
      <w:r>
        <w:rPr>
          <w:rFonts w:ascii="Arial" w:cs="Arial" w:eastAsia="Arial" w:hAnsi="Arial"/>
          <w:sz w:val="19"/>
          <w:szCs w:val="19"/>
          <w:i w:val="1"/>
          <w:iCs w:val="1"/>
          <w:color w:val="auto"/>
        </w:rPr>
        <w:t>juge délégué</w:t>
      </w:r>
      <w:r>
        <w:rPr>
          <w:rFonts w:ascii="Arial" w:cs="Arial" w:eastAsia="Arial" w:hAnsi="Arial"/>
          <w:sz w:val="19"/>
          <w:szCs w:val="19"/>
          <w:color w:val="auto"/>
        </w:rPr>
        <w:t xml:space="preserve">, </w:t>
      </w:r>
      <w:r>
        <w:rPr>
          <w:rFonts w:ascii="Arial" w:cs="Arial" w:eastAsia="Arial" w:hAnsi="Arial"/>
          <w:sz w:val="19"/>
          <w:szCs w:val="19"/>
          <w:i w:val="1"/>
          <w:iCs w:val="1"/>
          <w:color w:val="auto"/>
        </w:rPr>
        <w:t>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juge-commissaire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mandataire ad hoc</w:t>
      </w:r>
      <w:r>
        <w:rPr>
          <w:rFonts w:ascii="Arial" w:cs="Arial" w:eastAsia="Arial" w:hAnsi="Arial"/>
          <w:sz w:val="19"/>
          <w:szCs w:val="19"/>
          <w:color w:val="auto"/>
        </w:rPr>
        <w:t>,</w:t>
      </w:r>
      <w:r>
        <w:rPr>
          <w:rFonts w:ascii="Arial" w:cs="Arial" w:eastAsia="Arial" w:hAnsi="Arial"/>
          <w:sz w:val="19"/>
          <w:szCs w:val="19"/>
          <w:i w:val="1"/>
          <w:iCs w:val="1"/>
          <w:color w:val="auto"/>
        </w:rPr>
        <w:t xml:space="preserve"> administrateur provisoire</w:t>
      </w:r>
      <w:r>
        <w:rPr>
          <w:rFonts w:ascii="Arial" w:cs="Arial" w:eastAsia="Arial" w:hAnsi="Arial"/>
          <w:sz w:val="19"/>
          <w:szCs w:val="19"/>
          <w:color w:val="auto"/>
        </w:rPr>
        <w:t>,</w:t>
      </w:r>
      <w:r>
        <w:rPr>
          <w:rFonts w:ascii="Arial" w:cs="Arial" w:eastAsia="Arial" w:hAnsi="Arial"/>
          <w:sz w:val="19"/>
          <w:szCs w:val="19"/>
          <w:i w:val="1"/>
          <w:iCs w:val="1"/>
          <w:color w:val="auto"/>
        </w:rPr>
        <w:t xml:space="preserve"> liquidateur or curateur</w:t>
      </w:r>
      <w:r>
        <w:rPr>
          <w:rFonts w:ascii="Arial" w:cs="Arial" w:eastAsia="Arial" w:hAnsi="Arial"/>
          <w:sz w:val="19"/>
          <w:szCs w:val="19"/>
          <w:color w:val="auto"/>
        </w:rPr>
        <w:t>; (c) a lien or security interest includes any</w:t>
      </w:r>
      <w:r>
        <w:rPr>
          <w:rFonts w:ascii="Arial" w:cs="Arial" w:eastAsia="Arial" w:hAnsi="Arial"/>
          <w:sz w:val="19"/>
          <w:szCs w:val="19"/>
          <w:i w:val="1"/>
          <w:iCs w:val="1"/>
          <w:color w:val="auto"/>
        </w:rPr>
        <w:t xml:space="preserve"> hypothèque</w:t>
      </w:r>
      <w:r>
        <w:rPr>
          <w:rFonts w:ascii="Arial" w:cs="Arial" w:eastAsia="Arial" w:hAnsi="Arial"/>
          <w:sz w:val="19"/>
          <w:szCs w:val="19"/>
          <w:color w:val="auto"/>
        </w:rPr>
        <w:t>,</w:t>
      </w:r>
      <w:r>
        <w:rPr>
          <w:rFonts w:ascii="Arial" w:cs="Arial" w:eastAsia="Arial" w:hAnsi="Arial"/>
          <w:sz w:val="19"/>
          <w:szCs w:val="19"/>
          <w:i w:val="1"/>
          <w:iCs w:val="1"/>
          <w:color w:val="auto"/>
        </w:rPr>
        <w:t xml:space="preserve"> nantissement</w:t>
      </w:r>
      <w:r>
        <w:rPr>
          <w:rFonts w:ascii="Arial" w:cs="Arial" w:eastAsia="Arial" w:hAnsi="Arial"/>
          <w:sz w:val="19"/>
          <w:szCs w:val="19"/>
          <w:color w:val="auto"/>
        </w:rPr>
        <w:t>,</w:t>
      </w:r>
      <w:r>
        <w:rPr>
          <w:rFonts w:ascii="Arial" w:cs="Arial" w:eastAsia="Arial" w:hAnsi="Arial"/>
          <w:sz w:val="19"/>
          <w:szCs w:val="19"/>
          <w:i w:val="1"/>
          <w:iCs w:val="1"/>
          <w:color w:val="auto"/>
        </w:rPr>
        <w:t xml:space="preserve"> gage</w:t>
      </w:r>
      <w:r>
        <w:rPr>
          <w:rFonts w:ascii="Arial" w:cs="Arial" w:eastAsia="Arial" w:hAnsi="Arial"/>
          <w:sz w:val="19"/>
          <w:szCs w:val="19"/>
          <w:color w:val="auto"/>
        </w:rPr>
        <w:t>,</w:t>
      </w:r>
      <w:r>
        <w:rPr>
          <w:rFonts w:ascii="Arial" w:cs="Arial" w:eastAsia="Arial" w:hAnsi="Arial"/>
          <w:sz w:val="19"/>
          <w:szCs w:val="19"/>
          <w:i w:val="1"/>
          <w:iCs w:val="1"/>
          <w:color w:val="auto"/>
        </w:rPr>
        <w:t xml:space="preserve"> privilège</w:t>
      </w:r>
      <w:r>
        <w:rPr>
          <w:rFonts w:ascii="Arial" w:cs="Arial" w:eastAsia="Arial" w:hAnsi="Arial"/>
          <w:sz w:val="19"/>
          <w:szCs w:val="19"/>
          <w:color w:val="auto"/>
        </w:rPr>
        <w:t>,</w:t>
      </w:r>
      <w:r>
        <w:rPr>
          <w:rFonts w:ascii="Arial" w:cs="Arial" w:eastAsia="Arial" w:hAnsi="Arial"/>
          <w:sz w:val="19"/>
          <w:szCs w:val="19"/>
          <w:i w:val="1"/>
          <w:iCs w:val="1"/>
          <w:color w:val="auto"/>
        </w:rPr>
        <w:t xml:space="preserve"> sûreté réelle</w:t>
      </w:r>
      <w:r>
        <w:rPr>
          <w:rFonts w:ascii="Arial" w:cs="Arial" w:eastAsia="Arial" w:hAnsi="Arial"/>
          <w:sz w:val="19"/>
          <w:szCs w:val="19"/>
          <w:color w:val="auto"/>
        </w:rPr>
        <w:t>,</w:t>
      </w:r>
      <w:r>
        <w:rPr>
          <w:rFonts w:ascii="Arial" w:cs="Arial" w:eastAsia="Arial" w:hAnsi="Arial"/>
          <w:sz w:val="19"/>
          <w:szCs w:val="19"/>
          <w:i w:val="1"/>
          <w:iCs w:val="1"/>
          <w:color w:val="auto"/>
        </w:rPr>
        <w:t xml:space="preserve"> droit de rétention</w:t>
      </w:r>
      <w:r>
        <w:rPr>
          <w:rFonts w:ascii="Arial" w:cs="Arial" w:eastAsia="Arial" w:hAnsi="Arial"/>
          <w:sz w:val="19"/>
          <w:szCs w:val="19"/>
          <w:color w:val="auto"/>
        </w:rPr>
        <w:t>, and any type of security in rem (</w:t>
      </w:r>
      <w:r>
        <w:rPr>
          <w:rFonts w:ascii="Arial" w:cs="Arial" w:eastAsia="Arial" w:hAnsi="Arial"/>
          <w:sz w:val="19"/>
          <w:szCs w:val="19"/>
          <w:i w:val="1"/>
          <w:iCs w:val="1"/>
          <w:color w:val="auto"/>
        </w:rPr>
        <w:t>sûreté réelle</w:t>
      </w:r>
      <w:r>
        <w:rPr>
          <w:rFonts w:ascii="Arial" w:cs="Arial" w:eastAsia="Arial" w:hAnsi="Arial"/>
          <w:sz w:val="19"/>
          <w:szCs w:val="19"/>
          <w:color w:val="auto"/>
        </w:rPr>
        <w:t>) and any transfer of title by way of security; (d)</w:t>
      </w:r>
      <w:r>
        <w:rPr>
          <w:rFonts w:ascii="Arial" w:cs="Arial" w:eastAsia="Arial" w:hAnsi="Arial"/>
          <w:sz w:val="19"/>
          <w:szCs w:val="19"/>
          <w:i w:val="1"/>
          <w:iCs w:val="1"/>
          <w:color w:val="auto"/>
        </w:rPr>
        <w:t xml:space="preserve"> </w:t>
      </w:r>
      <w:r>
        <w:rPr>
          <w:rFonts w:ascii="Arial" w:cs="Arial" w:eastAsia="Arial" w:hAnsi="Arial"/>
          <w:sz w:val="19"/>
          <w:szCs w:val="19"/>
          <w:color w:val="auto"/>
        </w:rPr>
        <w:t>a person being unable to pay its debts includes that person being a state of cessation de paiements; (e) creditors process means an executory attachment (</w:t>
      </w:r>
      <w:r>
        <w:rPr>
          <w:rFonts w:ascii="Arial" w:cs="Arial" w:eastAsia="Arial" w:hAnsi="Arial"/>
          <w:sz w:val="19"/>
          <w:szCs w:val="19"/>
          <w:i w:val="1"/>
          <w:iCs w:val="1"/>
          <w:color w:val="auto"/>
        </w:rPr>
        <w:t>saisie exécutoire</w:t>
      </w:r>
      <w:r>
        <w:rPr>
          <w:rFonts w:ascii="Arial" w:cs="Arial" w:eastAsia="Arial" w:hAnsi="Arial"/>
          <w:sz w:val="19"/>
          <w:szCs w:val="19"/>
          <w:color w:val="auto"/>
        </w:rPr>
        <w:t>) or conservatory attachment (</w:t>
      </w:r>
      <w:r>
        <w:rPr>
          <w:rFonts w:ascii="Arial" w:cs="Arial" w:eastAsia="Arial" w:hAnsi="Arial"/>
          <w:sz w:val="19"/>
          <w:szCs w:val="19"/>
          <w:i w:val="1"/>
          <w:iCs w:val="1"/>
          <w:color w:val="auto"/>
        </w:rPr>
        <w:t>saisie conservatoire</w:t>
      </w:r>
      <w:r>
        <w:rPr>
          <w:rFonts w:ascii="Arial" w:cs="Arial" w:eastAsia="Arial" w:hAnsi="Arial"/>
          <w:sz w:val="19"/>
          <w:szCs w:val="19"/>
          <w:color w:val="auto"/>
        </w:rPr>
        <w:t>); (f) a guarantee includes any guarantee which is independent from the debt to which it relates and excludes any suretyship (</w:t>
      </w:r>
      <w:r>
        <w:rPr>
          <w:rFonts w:ascii="Arial" w:cs="Arial" w:eastAsia="Arial" w:hAnsi="Arial"/>
          <w:sz w:val="19"/>
          <w:szCs w:val="19"/>
          <w:i w:val="1"/>
          <w:iCs w:val="1"/>
          <w:color w:val="auto"/>
        </w:rPr>
        <w:t>cautionnement</w:t>
      </w:r>
      <w:r>
        <w:rPr>
          <w:rFonts w:ascii="Arial" w:cs="Arial" w:eastAsia="Arial" w:hAnsi="Arial"/>
          <w:sz w:val="19"/>
          <w:szCs w:val="19"/>
          <w:color w:val="auto"/>
        </w:rPr>
        <w:t>) within the meaning of Articles 2011 and seq. of the Luxembourg Civil Code; and (g) by-laws or constitutional documents includes its up-to-date (restated) articles of association (</w:t>
      </w:r>
      <w:r>
        <w:rPr>
          <w:rFonts w:ascii="Arial" w:cs="Arial" w:eastAsia="Arial" w:hAnsi="Arial"/>
          <w:sz w:val="19"/>
          <w:szCs w:val="19"/>
          <w:i w:val="1"/>
          <w:iCs w:val="1"/>
          <w:color w:val="auto"/>
        </w:rPr>
        <w:t>statuts</w:t>
      </w:r>
      <w:r>
        <w:rPr>
          <w:rFonts w:ascii="Arial" w:cs="Arial" w:eastAsia="Arial" w:hAnsi="Arial"/>
          <w:sz w:val="19"/>
          <w:szCs w:val="19"/>
          <w:color w:val="auto"/>
        </w:rPr>
        <w:t xml:space="preserve"> </w:t>
      </w:r>
      <w:r>
        <w:rPr>
          <w:rFonts w:ascii="Arial" w:cs="Arial" w:eastAsia="Arial" w:hAnsi="Arial"/>
          <w:sz w:val="19"/>
          <w:szCs w:val="19"/>
          <w:i w:val="1"/>
          <w:iCs w:val="1"/>
          <w:color w:val="auto"/>
        </w:rPr>
        <w:t>coordonnés</w:t>
      </w:r>
      <w:r>
        <w:rPr>
          <w:rFonts w:ascii="Arial" w:cs="Arial" w:eastAsia="Arial" w:hAnsi="Arial"/>
          <w:sz w:val="19"/>
          <w:szCs w:val="19"/>
          <w:color w:val="auto"/>
        </w:rPr>
        <w:t>).</w:t>
      </w:r>
    </w:p>
    <w:p>
      <w:pPr>
        <w:spacing w:after="0" w:line="19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u w:val="single" w:color="auto"/>
          <w:color w:val="0000FF"/>
        </w:rPr>
        <w:t>1.12</w:t>
      </w:r>
      <w:r>
        <w:rPr>
          <w:sz w:val="20"/>
          <w:szCs w:val="20"/>
          <w:color w:val="auto"/>
        </w:rPr>
        <w:tab/>
      </w:r>
      <w:r>
        <w:rPr>
          <w:rFonts w:ascii="Arial" w:cs="Arial" w:eastAsia="Arial" w:hAnsi="Arial"/>
          <w:sz w:val="18"/>
          <w:szCs w:val="18"/>
          <w:u w:val="single" w:color="auto"/>
          <w:color w:val="0000FF"/>
        </w:rPr>
        <w:t>Interest Rates; LIBOR Notification.</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0000FF"/>
        </w:rPr>
        <w:t>The interest rate on a Loan denominated in an Agreed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(“LIBOR”) is intended to represent the rate at which contributing banks may obtain short-term borrowings from each other in the London interbank market. On March 5, 2021, the U.K. Financial Conduct Authority (“FCA”) publicly announced that: (a) immediately after December 31, 2021, publication of all seven euro LIBOR settings, all seven Swiss Franc LIBOR settings, the spot next, 1-week, 2-month and 12-month Japanese Yen LIBOR settings, the overnight, 1-week, 2-month and 12-month Pound Sterling LIBOR settings, and the 1-week and 2-month Dollar LIBOR settings will permanently cease; immediately after June 30, 2023, publication of the overnight and 12-month Dollar LIBOR settings will permanently cease; immediately after December 31, 2021, the 1-month, 3-month and 6-month Japanese Yen LIBOR settings and the 1-month, 3-month and 6-month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 Term ESTR Transition Event, an Early Opt-in Election or an Other Benchmark Rate Election, Section 3.07(a) and Section 3.07(b) provide a mechanism for determining an alternative rate of interest. The Administrative Agent will promptly notify the Company, pursuant to Section 3.07(d), of any change to the reference rate upon which the interest rate on Eurocurrency Rate Loans is based. However, the Administrative Agent does not warrant or accept any responsibility for, and shall not have any liability with respect to, the administration, submission or any other matter related to Daily Simple SONIA, LIBOR or other rates in the definition of “LIBO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19" w:right="339" w:bottom="1440" w:gutter="0" w:footer="0" w:header="0"/>
        </w:sectPr>
      </w:pPr>
    </w:p>
    <w:bookmarkStart w:id="63" w:name="page64"/>
    <w:bookmarkEnd w:id="63"/>
    <w:p>
      <w:pPr>
        <w:jc w:val="both"/>
        <w:spacing w:after="0" w:line="269" w:lineRule="auto"/>
        <w:rPr>
          <w:sz w:val="20"/>
          <w:szCs w:val="20"/>
          <w:color w:val="auto"/>
        </w:rPr>
      </w:pPr>
      <w:r>
        <w:rPr>
          <w:rFonts w:ascii="Arial" w:cs="Arial" w:eastAsia="Arial" w:hAnsi="Arial"/>
          <w:sz w:val="18"/>
          <w:szCs w:val="18"/>
          <w:u w:val="single" w:color="auto"/>
          <w:color w:val="0000FF"/>
        </w:rPr>
        <w:t>“EURIBO Rate” or “TIBO Rate”, as applicable) or with respect to any alternative or successor rate thereto, or replacement rate thereof (including, without limitation, (i) any such alternative, successor or replacement rate implemented pursuant to Section 3.07(a) or Section 3.07(b), whether upon the occurrence of a Benchmark Transition Event, a Term SOFR Transition Event, a Term ESTR Transition Event, an Early Opt-in Election or an Other Benchmark Rate Election, and (ii) the implementation of any Benchmark Replacement Conforming Changes pursuant to Section 3.07(c)), including without limitation, whether the composition or characteristics of any such alternative, successor or replacement reference rate will be similar to, or produce the same value or economic equivalence of, Daily Simple SONIA, the LIBO Rate (or the EURIBO Rate or the TIBO Rate, as applicable) or have the same volume or liquidity as did LIBOR (or the euro interbank offered rate or the Tokyo interbank offered rate, as applicable) prior to its discontinuance or unavailability. The Administrative Agent and its affiliates and/or other related entities may engage in transactions unrelated to the Company and this Agreement that affect the calculation of any Daily Simple SONIA,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SONIA, Daily Simple SONIA or any Eurocurrency Rate,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COMMITMENTS AND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08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Subject to the terms and conditions set forth herein, each Lender severally agrees to make loans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Borrowing of Revolving Loans, (i) the Total Revolving Outstandings shall not exceed the Aggregate Revolving Commitments, and (ii) the aggregate Outstanding Amount of the Revolving Loans of any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Pro Rata Share of the Outstanding Amount of all L/C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Pro Rata Share of the Outstanding Amount of all Swing Line Loans shall not exceed such Lender’s Revolving Commitment. Within the limits of each Lender’s Revolving Commitment, and subject to the other terms and conditions hereof, the Borrowers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Revolving Loans may be Base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Eurocurrency Rate </w:t>
      </w:r>
      <w:r>
        <w:rPr>
          <w:rFonts w:ascii="Arial" w:cs="Arial" w:eastAsia="Arial" w:hAnsi="Arial"/>
          <w:sz w:val="19"/>
          <w:szCs w:val="19"/>
          <w:u w:val="single" w:color="auto"/>
          <w:color w:val="0000FF"/>
        </w:rPr>
        <w:t>Loans or RFR</w:t>
      </w:r>
      <w:r>
        <w:rPr>
          <w:rFonts w:ascii="Arial" w:cs="Arial" w:eastAsia="Arial" w:hAnsi="Arial"/>
          <w:sz w:val="19"/>
          <w:szCs w:val="19"/>
          <w:color w:val="auto"/>
        </w:rPr>
        <w:t xml:space="preserve"> Loans, as further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that all Loans to Brady Finance Luxembourg and Brady SARL that are denominated in Dollars shall be Eurocurrency Rate Loans.</w:t>
      </w:r>
    </w:p>
    <w:p>
      <w:pPr>
        <w:spacing w:after="0" w:line="186" w:lineRule="exact"/>
        <w:rPr>
          <w:rFonts w:ascii="Arial" w:cs="Arial" w:eastAsia="Arial" w:hAnsi="Arial"/>
          <w:sz w:val="19"/>
          <w:szCs w:val="19"/>
          <w:color w:val="auto"/>
        </w:rPr>
      </w:pPr>
    </w:p>
    <w:p>
      <w:pPr>
        <w:jc w:val="both"/>
        <w:ind w:firstLine="656"/>
        <w:spacing w:after="0" w:line="244" w:lineRule="auto"/>
        <w:tabs>
          <w:tab w:leader="none" w:pos="115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Increase of Aggregate Revolving Commitments</w:t>
      </w:r>
      <w:r>
        <w:rPr>
          <w:rFonts w:ascii="Arial" w:cs="Arial" w:eastAsia="Arial" w:hAnsi="Arial"/>
          <w:sz w:val="20"/>
          <w:szCs w:val="20"/>
          <w:color w:val="auto"/>
        </w:rPr>
        <w:t xml:space="preserve">. The Company may at any time and from time to time, upon prior written notice by the Company to the Administrative Agent, increase the Aggregate Revolving Commitments (but not the Letter of Credit Sublimit or Swing Line Sublimit) by up to TWO HUNDRED MILLION DOLLARS ($200,000,000) with additional Revolving Commitments from any existing Lender or new Revolving Commitments from any other Person selected by the Company that would qualify as an Eligible Assignee;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-1228090</wp:posOffset>
            </wp:positionV>
            <wp:extent cx="13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19" w:right="339" w:bottom="1440" w:gutter="0" w:footer="0" w:header="0"/>
        </w:sectPr>
      </w:pPr>
    </w:p>
    <w:bookmarkStart w:id="64" w:name="page65"/>
    <w:bookmarkEnd w:id="64"/>
    <w:p>
      <w:pPr>
        <w:ind w:left="660" w:right="20" w:firstLine="644"/>
        <w:spacing w:after="0" w:line="260" w:lineRule="auto"/>
        <w:tabs>
          <w:tab w:leader="none" w:pos="175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$5,000,000 and in integral multiples of $5,000,000 in excess thereof;</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 Default shall be continuing at the time of any such increase;</w:t>
      </w:r>
    </w:p>
    <w:p>
      <w:pPr>
        <w:spacing w:after="0" w:line="215" w:lineRule="exact"/>
        <w:rPr>
          <w:rFonts w:ascii="Arial" w:cs="Arial" w:eastAsia="Arial" w:hAnsi="Arial"/>
          <w:sz w:val="20"/>
          <w:szCs w:val="20"/>
          <w:color w:val="auto"/>
        </w:rPr>
      </w:pPr>
    </w:p>
    <w:p>
      <w:pPr>
        <w:ind w:left="660" w:firstLine="644"/>
        <w:spacing w:after="0" w:line="260" w:lineRule="auto"/>
        <w:tabs>
          <w:tab w:leader="none" w:pos="1785"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increase its Revolving Commitment and any such decision whether to increase its Revolving Commitment shall be in such Lender’s sole and absolute discretion;</w:t>
      </w:r>
    </w:p>
    <w:p>
      <w:pPr>
        <w:spacing w:after="0" w:line="176" w:lineRule="exact"/>
        <w:rPr>
          <w:rFonts w:ascii="Arial" w:cs="Arial" w:eastAsia="Arial" w:hAnsi="Arial"/>
          <w:sz w:val="20"/>
          <w:szCs w:val="20"/>
          <w:color w:val="auto"/>
        </w:rPr>
      </w:pPr>
    </w:p>
    <w:p>
      <w:pPr>
        <w:ind w:left="660" w:firstLine="644"/>
        <w:spacing w:after="0" w:line="260" w:lineRule="auto"/>
        <w:tabs>
          <w:tab w:leader="none" w:pos="19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new Lender shall join this Agreement by executing such joinder documents reasonably required by the Administrative Agent;</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73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Administrative Agent shall have received all documents (including resolutions of the board of directors of the Loan Parties and opinions of counsel to the Loan Parties) it may reasonably request relating to the corporate or other necessary authority for such increase, and any other matters relevant thereto, all in form and substance reasonably satisfactory to the Administrative Agent; and</w:t>
      </w:r>
    </w:p>
    <w:p>
      <w:pPr>
        <w:spacing w:after="0" w:line="191" w:lineRule="exact"/>
        <w:rPr>
          <w:rFonts w:ascii="Arial" w:cs="Arial" w:eastAsia="Arial" w:hAnsi="Arial"/>
          <w:sz w:val="20"/>
          <w:szCs w:val="20"/>
          <w:color w:val="auto"/>
        </w:rPr>
      </w:pPr>
    </w:p>
    <w:p>
      <w:pPr>
        <w:jc w:val="both"/>
        <w:ind w:left="660" w:firstLine="644"/>
        <w:spacing w:after="0" w:line="244" w:lineRule="auto"/>
        <w:tabs>
          <w:tab w:leader="none" w:pos="1774"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if any Loans are outstanding at the time of the increase in the Aggregate Revolving Commitments, the Borrowers shall, if applicable due to a nonratable increase in the Commitments, prepay one or more existing Loans (such prepayment to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in an amount necessary such that after giving effect to the increase in the Aggregate Revolving Commitments, each Lender will hold its Pro Rata Share (based on its Pro Rata Share of the increased Aggregate Revolving Commitments) of outstanding Loans.</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shall be deemed revised to include any increase in the Commitments under this Section and to include thereon any Person that becomes a Lender pursuant to this Section.</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applicable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w:t>
      </w:r>
      <w:r>
        <w:rPr>
          <w:rFonts w:ascii="Arial" w:cs="Arial" w:eastAsia="Arial" w:hAnsi="Arial"/>
          <w:sz w:val="18"/>
          <w:szCs w:val="18"/>
          <w:u w:val="single" w:color="auto"/>
          <w:color w:val="0000FF"/>
        </w:rPr>
        <w:t>of RFR Loans or any Borrowing</w:t>
      </w:r>
      <w:r>
        <w:rPr>
          <w:rFonts w:ascii="Arial" w:cs="Arial" w:eastAsia="Arial" w:hAnsi="Arial"/>
          <w:sz w:val="18"/>
          <w:szCs w:val="18"/>
          <w:color w:val="auto"/>
        </w:rPr>
        <w:t xml:space="preserve"> or continuation of Eurocurrency Rate Loans denominated in Alternative Currencies and (iii) on the requested date of any Borrowing of Base Rate Loans. Each Borrowing of </w:t>
      </w:r>
      <w:r>
        <w:rPr>
          <w:rFonts w:ascii="Arial" w:cs="Arial" w:eastAsia="Arial" w:hAnsi="Arial"/>
          <w:sz w:val="18"/>
          <w:szCs w:val="18"/>
          <w:u w:val="single" w:color="auto"/>
          <w:color w:val="0000FF"/>
        </w:rPr>
        <w:t>RFR Loans and each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Borrowing</w:t>
      </w:r>
      <w:r>
        <w:rPr>
          <w:rFonts w:ascii="Arial" w:cs="Arial" w:eastAsia="Arial" w:hAnsi="Arial"/>
          <w:sz w:val="18"/>
          <w:szCs w:val="18"/>
          <w:color w:val="000000"/>
        </w:rPr>
        <w:t>, conversion to or continuation of Eurocurrency Rate Loans shall be in a principal amount of $1,000,000 or a whole multiple of</w:t>
      </w:r>
      <w:r>
        <w:rPr>
          <w:rFonts w:ascii="Arial" w:cs="Arial" w:eastAsia="Arial" w:hAnsi="Arial"/>
          <w:sz w:val="18"/>
          <w:szCs w:val="18"/>
          <w:color w:val="0000FF"/>
        </w:rPr>
        <w:t xml:space="preserve"> </w:t>
      </w:r>
      <w:r>
        <w:rPr>
          <w:rFonts w:ascii="Arial" w:cs="Arial" w:eastAsia="Arial" w:hAnsi="Arial"/>
          <w:sz w:val="18"/>
          <w:szCs w:val="18"/>
          <w:color w:val="000000"/>
        </w:rPr>
        <w:t xml:space="preserve">$1,000,000 in excess thereof. Except as provided in </w:t>
      </w:r>
      <w:r>
        <w:rPr>
          <w:rFonts w:ascii="Arial" w:cs="Arial" w:eastAsia="Arial" w:hAnsi="Arial"/>
          <w:sz w:val="18"/>
          <w:szCs w:val="18"/>
          <w:u w:val="single" w:color="auto"/>
          <w:color w:val="000000"/>
        </w:rPr>
        <w:t>Sections 2.03(c)</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2.04(c)</w:t>
      </w:r>
      <w:r>
        <w:rPr>
          <w:rFonts w:ascii="Arial" w:cs="Arial" w:eastAsia="Arial" w:hAnsi="Arial"/>
          <w:sz w:val="18"/>
          <w:szCs w:val="18"/>
          <w:color w:val="000000"/>
        </w:rPr>
        <w:t>,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19"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color w:val="auto"/>
        </w:rPr>
        <w:t xml:space="preserve">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 failure to timely request a continuation of Loans denominated in an Alternative Currency, such Loans shall be continued as Eurocurrency Rate Loans </w:t>
      </w:r>
      <w:r>
        <w:rPr>
          <w:rFonts w:ascii="Arial" w:cs="Arial" w:eastAsia="Arial" w:hAnsi="Arial"/>
          <w:sz w:val="18"/>
          <w:szCs w:val="18"/>
          <w:u w:val="single" w:color="auto"/>
          <w:color w:val="0000FF"/>
        </w:rPr>
        <w:t>with an Interest Period of one month or RFR Loans, as applicable,</w:t>
      </w:r>
      <w:r>
        <w:rPr>
          <w:rFonts w:ascii="Arial" w:cs="Arial" w:eastAsia="Arial" w:hAnsi="Arial"/>
          <w:sz w:val="18"/>
          <w:szCs w:val="18"/>
          <w:color w:val="auto"/>
        </w:rPr>
        <w:t xml:space="preserve"> in their original currency </w:t>
      </w:r>
      <w:r>
        <w:rPr>
          <w:rFonts w:ascii="Arial" w:cs="Arial" w:eastAsia="Arial" w:hAnsi="Arial"/>
          <w:sz w:val="18"/>
          <w:szCs w:val="18"/>
          <w:color w:val="FF0000"/>
        </w:rPr>
        <w:t>with an Interest Period of one month</w:t>
      </w:r>
      <w:r>
        <w:rPr>
          <w:rFonts w:ascii="Arial" w:cs="Arial" w:eastAsia="Arial" w:hAnsi="Arial"/>
          <w:sz w:val="18"/>
          <w:szCs w:val="18"/>
          <w:color w:val="auto"/>
        </w:rPr>
        <w:t>. Any automatic conversion to Base Rate Loans shall be effective as of the last day of the Interest Period then in effect with respect to the applicable Eurocurrency Rate Loans. If a Borrower requests a Borrowing of, conversion to, or continuation of Eurocurrency Rate Loans in any Loan Notice, but fails to specify an Interest Period, it will be deemed to have specified an Interest Period of one month. No Loan may be converted into or continued as a Loan denominated in a different currency, but instead must be repaid in the original currency of such Loan and reborrowed in the other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-666750</wp:posOffset>
            </wp:positionV>
            <wp:extent cx="1933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54" w:lineRule="exact"/>
        <w:rPr>
          <w:sz w:val="20"/>
          <w:szCs w:val="20"/>
          <w:color w:val="auto"/>
        </w:rPr>
      </w:pPr>
    </w:p>
    <w:p>
      <w:pPr>
        <w:jc w:val="both"/>
        <w:ind w:firstLine="656"/>
        <w:spacing w:after="0" w:line="269" w:lineRule="auto"/>
        <w:tabs>
          <w:tab w:leader="none" w:pos="10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the Administrative Agent shall make all funds so received available to the applicable Borrower in like funds as received by the Administrative Agent either by (i) crediting the account of such Borrower on the books of BMO with the amount of such funds or (ii) wire transfer of such funds, in each case in accordance with instructions provided to (and reasonably acceptable to) the Administrative Agent by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Loan Notice with respect to a Borrowing of Revolving Loans denominated in Dollars is given by a Borrower,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shall be made available to such Borrower as provided above. Each Lender, at its option, may 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applicable Borrower to repay such Loan in accordance with the terms of this Agreement.</w:t>
      </w:r>
    </w:p>
    <w:p>
      <w:pPr>
        <w:spacing w:after="0" w:line="173" w:lineRule="exact"/>
        <w:rPr>
          <w:rFonts w:ascii="Arial" w:cs="Arial" w:eastAsia="Arial" w:hAnsi="Arial"/>
          <w:sz w:val="18"/>
          <w:szCs w:val="18"/>
          <w:color w:val="auto"/>
        </w:rPr>
      </w:pPr>
    </w:p>
    <w:p>
      <w:pPr>
        <w:jc w:val="both"/>
        <w:ind w:firstLine="656"/>
        <w:spacing w:after="0" w:line="243" w:lineRule="auto"/>
        <w:tabs>
          <w:tab w:leader="none" w:pos="1129" w:val="left"/>
        </w:tabs>
        <w:numPr>
          <w:ilvl w:val="0"/>
          <w:numId w:val="39"/>
        </w:numPr>
        <w:rPr>
          <w:rFonts w:ascii="Arial" w:cs="Arial" w:eastAsia="Arial" w:hAnsi="Arial"/>
          <w:sz w:val="20"/>
          <w:szCs w:val="20"/>
          <w:color w:val="auto"/>
        </w:rPr>
      </w:pPr>
      <w:r>
        <w:rPr>
          <w:rFonts w:ascii="Arial" w:cs="Arial" w:eastAsia="Arial" w:hAnsi="Arial"/>
          <w:sz w:val="20"/>
          <w:szCs w:val="20"/>
          <w:color w:val="auto"/>
        </w:rPr>
        <w:t>Except as otherwise provided herein, a Eurocurrency Rate Loan may be continued or converted only on the last day of the Interest Period for such Eurocurrency Rate Loan. During the existence of a Default, no Loans may be requested as, converted to or continued as Eurocurrency Rate Loans (whether in Dollars or an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11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Borrowers and the Lenders of the interest rate applicable to any Interest Period for Eurocurrency Rate Loans upon determination of such interest rate. At any time that Base Rate Loans are outstanding, the Administrative Agent shall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19" w:right="339" w:bottom="1440" w:gutter="0" w:footer="0" w:header="0"/>
        </w:sectPr>
      </w:pPr>
    </w:p>
    <w:bookmarkStart w:id="66" w:name="page67"/>
    <w:bookmarkEnd w:id="66"/>
    <w:p>
      <w:pPr>
        <w:spacing w:after="0" w:line="260" w:lineRule="auto"/>
        <w:rPr>
          <w:sz w:val="20"/>
          <w:szCs w:val="20"/>
          <w:color w:val="auto"/>
        </w:rPr>
      </w:pPr>
      <w:r>
        <w:rPr>
          <w:rFonts w:ascii="Arial" w:cs="Arial" w:eastAsia="Arial" w:hAnsi="Arial"/>
          <w:sz w:val="20"/>
          <w:szCs w:val="20"/>
          <w:color w:val="auto"/>
        </w:rPr>
        <w:t>Borrowers and the Lenders of any change in BMO’s prime rate used in determining the Base Rate promptly following the public announcement of such change.</w:t>
      </w:r>
    </w:p>
    <w:p>
      <w:pPr>
        <w:spacing w:after="0" w:line="177" w:lineRule="exact"/>
        <w:rPr>
          <w:sz w:val="20"/>
          <w:szCs w:val="20"/>
          <w:color w:val="auto"/>
        </w:rPr>
      </w:pPr>
    </w:p>
    <w:p>
      <w:pPr>
        <w:jc w:val="both"/>
        <w:ind w:firstLine="656"/>
        <w:spacing w:after="0" w:line="250" w:lineRule="auto"/>
        <w:tabs>
          <w:tab w:leader="none" w:pos="1061" w:val="left"/>
        </w:tabs>
        <w:numPr>
          <w:ilvl w:val="0"/>
          <w:numId w:val="40"/>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12 Interest Periods in effect with respect to Revolving Loans (no more than 4 of such Interest Periods may be for 7 days).</w:t>
      </w:r>
    </w:p>
    <w:p>
      <w:pPr>
        <w:spacing w:after="0" w:line="185" w:lineRule="exact"/>
        <w:rPr>
          <w:rFonts w:ascii="Arial" w:cs="Arial" w:eastAsia="Arial" w:hAnsi="Arial"/>
          <w:sz w:val="20"/>
          <w:szCs w:val="20"/>
          <w:color w:val="auto"/>
        </w:rPr>
      </w:pPr>
    </w:p>
    <w:p>
      <w:pPr>
        <w:ind w:left="1040" w:hanging="384"/>
        <w:spacing w:after="0"/>
        <w:tabs>
          <w:tab w:leader="none" w:pos="10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shall not apply to Swing Line Loans.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ind w:left="1060" w:hanging="404"/>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9" w:lineRule="auto"/>
        <w:tabs>
          <w:tab w:leader="none" w:pos="17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the L/C Issuer agrees, in reliance upon the agreements of the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Commitment or (y)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73" w:lineRule="exact"/>
        <w:rPr>
          <w:rFonts w:ascii="Arial" w:cs="Arial" w:eastAsia="Arial" w:hAnsi="Arial"/>
          <w:sz w:val="18"/>
          <w:szCs w:val="18"/>
          <w:color w:val="auto"/>
        </w:rPr>
      </w:pPr>
    </w:p>
    <w:p>
      <w:pPr>
        <w:ind w:left="1720" w:hanging="416"/>
        <w:spacing w:after="0"/>
        <w:tabs>
          <w:tab w:leader="none" w:pos="172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if:</w:t>
      </w:r>
    </w:p>
    <w:p>
      <w:pPr>
        <w:spacing w:after="0" w:line="215" w:lineRule="exact"/>
        <w:rPr>
          <w:rFonts w:ascii="Arial" w:cs="Arial" w:eastAsia="Arial" w:hAnsi="Arial"/>
          <w:sz w:val="20"/>
          <w:szCs w:val="20"/>
          <w:color w:val="auto"/>
        </w:rPr>
      </w:pPr>
    </w:p>
    <w:p>
      <w:pPr>
        <w:ind w:left="1300" w:firstLine="652"/>
        <w:spacing w:after="0" w:line="316" w:lineRule="auto"/>
        <w:tabs>
          <w:tab w:leader="none" w:pos="2403"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129" w:lineRule="exact"/>
        <w:rPr>
          <w:rFonts w:ascii="Arial" w:cs="Arial" w:eastAsia="Arial" w:hAnsi="Arial"/>
          <w:sz w:val="18"/>
          <w:szCs w:val="18"/>
          <w:color w:val="auto"/>
        </w:rPr>
      </w:pPr>
    </w:p>
    <w:p>
      <w:pPr>
        <w:jc w:val="both"/>
        <w:ind w:left="1300" w:firstLine="652"/>
        <w:spacing w:after="0" w:line="278" w:lineRule="auto"/>
        <w:tabs>
          <w:tab w:leader="none" w:pos="2392"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the expiry date of such requested Letter of Credit would occur after the Letter of Credit Expiration Date, unless all the Lenders have approved such expiry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agreement of the Borrowers set forth below in this clause (B), the L/C Issuer may issue Letters of Credit with an expiry date of up to one year after the Letter of Credit Expiration Date (but the L/C Issuer shall not have an obligation to issue such Letter of Credit). Each Borrower hereby agrees that if any Letter of Credit is issued pursuant to the foregoing proviso, it shall Cash Collateralize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19" w:right="339" w:bottom="1440" w:gutter="0" w:footer="0" w:header="0"/>
        </w:sectPr>
      </w:pPr>
    </w:p>
    <w:bookmarkStart w:id="67" w:name="page68"/>
    <w:bookmarkEnd w:id="67"/>
    <w:p>
      <w:pPr>
        <w:ind w:left="180"/>
        <w:spacing w:after="0"/>
        <w:rPr>
          <w:sz w:val="20"/>
          <w:szCs w:val="20"/>
          <w:color w:val="auto"/>
        </w:rPr>
      </w:pPr>
      <w:r>
        <w:rPr>
          <w:rFonts w:ascii="Arial" w:cs="Arial" w:eastAsia="Arial" w:hAnsi="Arial"/>
          <w:sz w:val="20"/>
          <w:szCs w:val="20"/>
          <w:color w:val="auto"/>
        </w:rPr>
        <w:t>on the date such Letter of Credit is issued in an amount equal to the Minimum Collateral Amount.</w:t>
      </w:r>
    </w:p>
    <w:p>
      <w:pPr>
        <w:spacing w:after="0" w:line="216" w:lineRule="exact"/>
        <w:rPr>
          <w:sz w:val="20"/>
          <w:szCs w:val="20"/>
          <w:color w:val="auto"/>
        </w:rPr>
      </w:pPr>
    </w:p>
    <w:p>
      <w:pPr>
        <w:ind w:left="660" w:hanging="476"/>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L/C Issuer shall not be under any obligation to issue any Letter of Credit if:</w:t>
      </w:r>
    </w:p>
    <w:p>
      <w:pPr>
        <w:spacing w:after="0" w:line="215" w:lineRule="exact"/>
        <w:rPr>
          <w:rFonts w:ascii="Arial" w:cs="Arial" w:eastAsia="Arial" w:hAnsi="Arial"/>
          <w:sz w:val="20"/>
          <w:szCs w:val="20"/>
          <w:color w:val="auto"/>
        </w:rPr>
      </w:pPr>
    </w:p>
    <w:p>
      <w:pPr>
        <w:jc w:val="both"/>
        <w:ind w:left="180" w:firstLine="652"/>
        <w:spacing w:after="0" w:line="256" w:lineRule="auto"/>
        <w:tabs>
          <w:tab w:leader="none" w:pos="1296" w:val="left"/>
        </w:tabs>
        <w:numPr>
          <w:ilvl w:val="1"/>
          <w:numId w:val="42"/>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if later, the date on which such Person became the L/C Issuer), or shall impose upon the L/C Issuer any unreimbursed loss, cost or expense which was not applicable on the Closing Date (or, if later, the date on which such Person became the L/C Issuer) and which the L/C Issuer in good faith deems material to it;</w:t>
      </w:r>
    </w:p>
    <w:p>
      <w:pPr>
        <w:spacing w:after="0" w:line="184" w:lineRule="exact"/>
        <w:rPr>
          <w:rFonts w:ascii="Arial" w:cs="Arial" w:eastAsia="Arial" w:hAnsi="Arial"/>
          <w:sz w:val="19"/>
          <w:szCs w:val="19"/>
          <w:color w:val="auto"/>
        </w:rPr>
      </w:pPr>
    </w:p>
    <w:p>
      <w:pPr>
        <w:ind w:left="180" w:firstLine="652"/>
        <w:spacing w:after="0" w:line="260" w:lineRule="auto"/>
        <w:tabs>
          <w:tab w:leader="none" w:pos="1299"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176" w:lineRule="exact"/>
        <w:rPr>
          <w:rFonts w:ascii="Arial" w:cs="Arial" w:eastAsia="Arial" w:hAnsi="Arial"/>
          <w:sz w:val="20"/>
          <w:szCs w:val="20"/>
          <w:color w:val="auto"/>
        </w:rPr>
      </w:pPr>
    </w:p>
    <w:p>
      <w:pPr>
        <w:jc w:val="both"/>
        <w:ind w:left="180" w:right="20" w:firstLine="652"/>
        <w:spacing w:after="0" w:line="250" w:lineRule="auto"/>
        <w:tabs>
          <w:tab w:leader="none" w:pos="127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85" w:lineRule="exact"/>
        <w:rPr>
          <w:rFonts w:ascii="Arial" w:cs="Arial" w:eastAsia="Arial" w:hAnsi="Arial"/>
          <w:sz w:val="20"/>
          <w:szCs w:val="20"/>
          <w:color w:val="auto"/>
        </w:rPr>
      </w:pPr>
    </w:p>
    <w:p>
      <w:pPr>
        <w:ind w:left="180" w:firstLine="652"/>
        <w:spacing w:after="0" w:line="260" w:lineRule="auto"/>
        <w:tabs>
          <w:tab w:leader="none" w:pos="131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L/C Issuer does not as of the issuance date of such requested Letter of Credit issue Letters of Credit in the requested currency;</w:t>
      </w:r>
    </w:p>
    <w:p>
      <w:pPr>
        <w:spacing w:after="0" w:line="176" w:lineRule="exact"/>
        <w:rPr>
          <w:rFonts w:ascii="Arial" w:cs="Arial" w:eastAsia="Arial" w:hAnsi="Arial"/>
          <w:sz w:val="20"/>
          <w:szCs w:val="20"/>
          <w:color w:val="auto"/>
        </w:rPr>
      </w:pPr>
    </w:p>
    <w:p>
      <w:pPr>
        <w:ind w:left="180" w:firstLine="652"/>
        <w:spacing w:after="0" w:line="260" w:lineRule="auto"/>
        <w:tabs>
          <w:tab w:leader="none" w:pos="1395" w:val="left"/>
        </w:tabs>
        <w:numPr>
          <w:ilvl w:val="1"/>
          <w:numId w:val="42"/>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 or</w:t>
      </w:r>
    </w:p>
    <w:p>
      <w:pPr>
        <w:spacing w:after="0" w:line="176" w:lineRule="exact"/>
        <w:rPr>
          <w:rFonts w:ascii="Arial" w:cs="Arial" w:eastAsia="Arial" w:hAnsi="Arial"/>
          <w:sz w:val="20"/>
          <w:szCs w:val="20"/>
          <w:color w:val="auto"/>
        </w:rPr>
      </w:pPr>
    </w:p>
    <w:p>
      <w:pPr>
        <w:jc w:val="both"/>
        <w:ind w:left="180" w:firstLine="652"/>
        <w:spacing w:after="0" w:line="243" w:lineRule="auto"/>
        <w:tabs>
          <w:tab w:leader="none" w:pos="1277" w:val="left"/>
        </w:tabs>
        <w:numPr>
          <w:ilvl w:val="1"/>
          <w:numId w:val="42"/>
        </w:numPr>
        <w:rPr>
          <w:rFonts w:ascii="Arial" w:cs="Arial" w:eastAsia="Arial" w:hAnsi="Arial"/>
          <w:sz w:val="20"/>
          <w:szCs w:val="20"/>
          <w:color w:val="auto"/>
        </w:rPr>
      </w:pPr>
      <w:r>
        <w:rPr>
          <w:rFonts w:ascii="Arial" w:cs="Arial" w:eastAsia="Arial" w:hAnsi="Arial"/>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Arial" w:cs="Arial" w:eastAsia="Arial" w:hAnsi="Arial"/>
          <w:sz w:val="20"/>
          <w:szCs w:val="20"/>
          <w:u w:val="single" w:color="auto"/>
          <w:color w:val="auto"/>
        </w:rPr>
        <w:t>Section 2.16(b)</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95" w:lineRule="exact"/>
        <w:rPr>
          <w:rFonts w:ascii="Arial" w:cs="Arial" w:eastAsia="Arial" w:hAnsi="Arial"/>
          <w:sz w:val="20"/>
          <w:szCs w:val="20"/>
          <w:color w:val="auto"/>
        </w:rPr>
      </w:pPr>
    </w:p>
    <w:p>
      <w:pPr>
        <w:ind w:left="-460" w:firstLine="644"/>
        <w:spacing w:after="0" w:line="260" w:lineRule="auto"/>
        <w:tabs>
          <w:tab w:leader="none" w:pos="65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w:t>
      </w:r>
    </w:p>
    <w:p>
      <w:pPr>
        <w:spacing w:after="0" w:line="176" w:lineRule="exact"/>
        <w:rPr>
          <w:rFonts w:ascii="Arial" w:cs="Arial" w:eastAsia="Arial" w:hAnsi="Arial"/>
          <w:sz w:val="20"/>
          <w:szCs w:val="20"/>
          <w:color w:val="auto"/>
        </w:rPr>
      </w:pPr>
    </w:p>
    <w:p>
      <w:pPr>
        <w:jc w:val="both"/>
        <w:ind w:left="-460" w:firstLine="644"/>
        <w:spacing w:after="0" w:line="250"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120"/>
          </w:cols>
          <w:pgMar w:left="1440" w:top="1419" w:right="339" w:bottom="1440" w:gutter="0" w:footer="0" w:header="0"/>
        </w:sectPr>
      </w:pPr>
    </w:p>
    <w:bookmarkStart w:id="68" w:name="page69"/>
    <w:bookmarkEnd w:id="68"/>
    <w:p>
      <w:pPr>
        <w:jc w:val="both"/>
        <w:ind w:left="4" w:firstLine="644"/>
        <w:spacing w:after="0" w:line="257" w:lineRule="auto"/>
        <w:tabs>
          <w:tab w:leader="none" w:pos="1145"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80" w:lineRule="exact"/>
        <w:rPr>
          <w:rFonts w:ascii="Arial" w:cs="Arial" w:eastAsia="Arial" w:hAnsi="Arial"/>
          <w:sz w:val="19"/>
          <w:szCs w:val="19"/>
          <w:color w:val="auto"/>
        </w:rPr>
      </w:pPr>
    </w:p>
    <w:p>
      <w:pPr>
        <w:ind w:left="404" w:hanging="404"/>
        <w:spacing w:after="0"/>
        <w:tabs>
          <w:tab w:leader="none" w:pos="404"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68" w:lineRule="auto"/>
        <w:tabs>
          <w:tab w:leader="none" w:pos="11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81" w:lineRule="exact"/>
        <w:rPr>
          <w:rFonts w:ascii="Arial" w:cs="Arial" w:eastAsia="Arial" w:hAnsi="Arial"/>
          <w:sz w:val="18"/>
          <w:szCs w:val="18"/>
          <w:color w:val="auto"/>
        </w:rPr>
      </w:pPr>
    </w:p>
    <w:p>
      <w:pPr>
        <w:jc w:val="both"/>
        <w:ind w:left="4" w:firstLine="644"/>
        <w:spacing w:after="0" w:line="269" w:lineRule="auto"/>
        <w:tabs>
          <w:tab w:leader="none" w:pos="1114" w:val="left"/>
        </w:tabs>
        <w:numPr>
          <w:ilvl w:val="1"/>
          <w:numId w:val="44"/>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84"/>
          </w:cols>
          <w:pgMar w:left="976" w:top="1419" w:right="339" w:bottom="1440" w:gutter="0" w:footer="0" w:header="0"/>
        </w:sectPr>
      </w:pPr>
    </w:p>
    <w:bookmarkStart w:id="69" w:name="page70"/>
    <w:bookmarkEnd w:id="69"/>
    <w:p>
      <w:pPr>
        <w:jc w:val="both"/>
        <w:ind w:left="4"/>
        <w:spacing w:after="0" w:line="257" w:lineRule="auto"/>
        <w:rPr>
          <w:sz w:val="20"/>
          <w:szCs w:val="20"/>
          <w:color w:val="auto"/>
        </w:rPr>
      </w:pPr>
      <w:r>
        <w:rPr>
          <w:rFonts w:ascii="Arial" w:cs="Arial" w:eastAsia="Arial" w:hAnsi="Arial"/>
          <w:sz w:val="19"/>
          <w:szCs w:val="19"/>
          <w:color w:val="auto"/>
        </w:rPr>
        <w:t xml:space="preserve">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times the amount of such Letter of Credit.</w:t>
      </w:r>
    </w:p>
    <w:p>
      <w:pPr>
        <w:spacing w:after="0" w:line="180" w:lineRule="exact"/>
        <w:rPr>
          <w:sz w:val="20"/>
          <w:szCs w:val="20"/>
          <w:color w:val="auto"/>
        </w:rPr>
      </w:pPr>
    </w:p>
    <w:p>
      <w:pPr>
        <w:jc w:val="both"/>
        <w:ind w:left="4" w:firstLine="644"/>
        <w:spacing w:after="0" w:line="254" w:lineRule="auto"/>
        <w:tabs>
          <w:tab w:leader="none" w:pos="1169"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Arial" w:cs="Arial" w:eastAsia="Arial" w:hAnsi="Arial"/>
          <w:sz w:val="19"/>
          <w:szCs w:val="19"/>
          <w:u w:val="single" w:color="auto"/>
          <w:color w:val="auto"/>
        </w:rPr>
        <w:t>Section 2.03(a)(ii)(B)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is not then satisfied, and in each case directing the L/C Issuer not to permit such extension.</w:t>
      </w:r>
    </w:p>
    <w:p>
      <w:pPr>
        <w:spacing w:after="0" w:line="188" w:lineRule="exact"/>
        <w:rPr>
          <w:rFonts w:ascii="Arial" w:cs="Arial" w:eastAsia="Arial" w:hAnsi="Arial"/>
          <w:sz w:val="19"/>
          <w:szCs w:val="19"/>
          <w:color w:val="auto"/>
        </w:rPr>
      </w:pPr>
    </w:p>
    <w:p>
      <w:pPr>
        <w:jc w:val="both"/>
        <w:ind w:left="4" w:firstLine="644"/>
        <w:spacing w:after="0" w:line="250" w:lineRule="auto"/>
        <w:tabs>
          <w:tab w:leader="none" w:pos="1172" w:val="left"/>
        </w:tabs>
        <w:numPr>
          <w:ilvl w:val="1"/>
          <w:numId w:val="45"/>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5" w:lineRule="exact"/>
        <w:rPr>
          <w:rFonts w:ascii="Arial" w:cs="Arial" w:eastAsia="Arial" w:hAnsi="Arial"/>
          <w:sz w:val="20"/>
          <w:szCs w:val="20"/>
          <w:color w:val="auto"/>
        </w:rPr>
      </w:pPr>
    </w:p>
    <w:p>
      <w:pPr>
        <w:ind w:left="404" w:hanging="404"/>
        <w:spacing w:after="0"/>
        <w:tabs>
          <w:tab w:leader="none" w:pos="40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57" w:lineRule="auto"/>
        <w:tabs>
          <w:tab w:leader="none" w:pos="1032"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w:t>
      </w:r>
      <w:r>
        <w:rPr>
          <w:rFonts w:ascii="Arial" w:cs="Arial" w:eastAsia="Arial" w:hAnsi="Arial"/>
          <w:sz w:val="19"/>
          <w:szCs w:val="19"/>
          <w:color w:val="FF0000"/>
          <w:strike w:val="1"/>
        </w:rPr>
        <w:t>Borrower</w:t>
      </w:r>
      <w:r>
        <w:rPr>
          <w:rFonts w:ascii="Arial" w:cs="Arial" w:eastAsia="Arial" w:hAnsi="Arial"/>
          <w:sz w:val="19"/>
          <w:szCs w:val="19"/>
          <w:color w:val="auto"/>
        </w:rPr>
        <w:t xml:space="preserve"> </w:t>
      </w:r>
      <w:r>
        <w:rPr>
          <w:rFonts w:ascii="Arial" w:cs="Arial" w:eastAsia="Arial" w:hAnsi="Arial"/>
          <w:sz w:val="19"/>
          <w:szCs w:val="19"/>
          <w:color w:val="0000FF"/>
        </w:rPr>
        <w:t>Company</w:t>
      </w:r>
      <w:r>
        <w:rPr>
          <w:rFonts w:ascii="Arial" w:cs="Arial" w:eastAsia="Arial" w:hAnsi="Arial"/>
          <w:sz w:val="19"/>
          <w:szCs w:val="19"/>
          <w:color w:val="auto"/>
        </w:rPr>
        <w:t xml:space="preserve"> shall have notified the L/C Issuer promptly following receipt of the notice of drawing that such Borrower will reimburse the L/C Issuer in Dollars. In the case of any such reimbursement in Dollars of a drawing under a Letter of Credit denominated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84"/>
          </w:cols>
          <w:pgMar w:left="976" w:top="1419" w:right="339" w:bottom="1440" w:gutter="0" w:footer="0" w:header="0"/>
        </w:sectPr>
      </w:pPr>
    </w:p>
    <w:bookmarkStart w:id="70" w:name="page71"/>
    <w:bookmarkEnd w:id="70"/>
    <w:p>
      <w:pPr>
        <w:jc w:val="both"/>
        <w:spacing w:after="0" w:line="269" w:lineRule="auto"/>
        <w:rPr>
          <w:sz w:val="20"/>
          <w:szCs w:val="20"/>
          <w:color w:val="auto"/>
        </w:rPr>
      </w:pPr>
      <w:r>
        <w:rPr>
          <w:rFonts w:ascii="Arial" w:cs="Arial" w:eastAsia="Arial" w:hAnsi="Arial"/>
          <w:sz w:val="18"/>
          <w:szCs w:val="18"/>
          <w:color w:val="auto"/>
        </w:rPr>
        <w:t>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 to be reimbursed in Dollars, or the Applicable Time on the Business Day following the date of any payment by the L/C Issuer under a Letter of Credit to be reimbursed in an Alternative Currency (each such date, an “</w:t>
      </w:r>
      <w:r>
        <w:rPr>
          <w:rFonts w:ascii="Arial" w:cs="Arial" w:eastAsia="Arial" w:hAnsi="Arial"/>
          <w:sz w:val="18"/>
          <w:szCs w:val="18"/>
          <w:u w:val="single" w:color="auto"/>
          <w:color w:val="auto"/>
        </w:rPr>
        <w:t>Honor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unutilized portion of the Aggregate Revolving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the delivery of a Loan Notice).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(including by facsimile or e-mail if permitted by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6" w:lineRule="exact"/>
        <w:rPr>
          <w:sz w:val="20"/>
          <w:szCs w:val="20"/>
          <w:color w:val="auto"/>
        </w:rPr>
      </w:pPr>
    </w:p>
    <w:p>
      <w:pPr>
        <w:jc w:val="both"/>
        <w:ind w:firstLine="644"/>
        <w:spacing w:after="0" w:line="243" w:lineRule="auto"/>
        <w:tabs>
          <w:tab w:leader="none" w:pos="10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Each Lender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92" w:lineRule="exact"/>
        <w:rPr>
          <w:rFonts w:ascii="Arial" w:cs="Arial" w:eastAsia="Arial" w:hAnsi="Arial"/>
          <w:sz w:val="20"/>
          <w:szCs w:val="20"/>
          <w:color w:val="auto"/>
        </w:rPr>
      </w:pPr>
    </w:p>
    <w:p>
      <w:pPr>
        <w:jc w:val="both"/>
        <w:ind w:firstLine="644"/>
        <w:spacing w:after="0" w:line="274" w:lineRule="auto"/>
        <w:tabs>
          <w:tab w:leader="none" w:pos="11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right="20" w:firstLine="644"/>
        <w:spacing w:after="0" w:line="250" w:lineRule="auto"/>
        <w:tabs>
          <w:tab w:leader="none" w:pos="1181"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Until each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Lender’s Pro Rata Share of such amount shall be solely for the account of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980" w:top="1419" w:right="339" w:bottom="1440" w:gutter="0" w:footer="0" w:header="0"/>
        </w:sectPr>
      </w:pPr>
    </w:p>
    <w:bookmarkStart w:id="71" w:name="page72"/>
    <w:bookmarkEnd w:id="71"/>
    <w:p>
      <w:pPr>
        <w:jc w:val="both"/>
        <w:ind w:left="4" w:firstLine="644"/>
        <w:spacing w:after="0" w:line="256" w:lineRule="auto"/>
        <w:tabs>
          <w:tab w:leader="none" w:pos="1103"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L/C Advances to reimburse the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Revolving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84" w:lineRule="exact"/>
        <w:rPr>
          <w:rFonts w:ascii="Arial" w:cs="Arial" w:eastAsia="Arial" w:hAnsi="Arial"/>
          <w:sz w:val="19"/>
          <w:szCs w:val="19"/>
          <w:color w:val="auto"/>
        </w:rPr>
      </w:pPr>
    </w:p>
    <w:p>
      <w:pPr>
        <w:jc w:val="both"/>
        <w:ind w:left="4" w:firstLine="644"/>
        <w:spacing w:after="0" w:line="271" w:lineRule="auto"/>
        <w:tabs>
          <w:tab w:leader="none" w:pos="1226"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2.03(c)(ii)</w:t>
      </w:r>
      <w:r>
        <w:rPr>
          <w:rFonts w:ascii="Arial" w:cs="Arial" w:eastAsia="Arial" w:hAnsi="Arial"/>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73" w:lineRule="exact"/>
        <w:rPr>
          <w:rFonts w:ascii="Arial" w:cs="Arial" w:eastAsia="Arial" w:hAnsi="Arial"/>
          <w:sz w:val="18"/>
          <w:szCs w:val="18"/>
          <w:color w:val="auto"/>
        </w:rPr>
      </w:pPr>
    </w:p>
    <w:p>
      <w:pPr>
        <w:ind w:left="404" w:hanging="404"/>
        <w:spacing w:after="0"/>
        <w:tabs>
          <w:tab w:leader="none" w:pos="40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43" w:lineRule="auto"/>
        <w:tabs>
          <w:tab w:leader="none" w:pos="1032"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20"/>
          <w:szCs w:val="20"/>
          <w:u w:val="single" w:color="auto"/>
          <w:color w:val="auto"/>
        </w:rPr>
        <w:t>Section 2.03(c)</w:t>
      </w:r>
      <w:r>
        <w:rPr>
          <w:rFonts w:ascii="Arial" w:cs="Arial" w:eastAsia="Arial" w:hAnsi="Arial"/>
          <w:sz w:val="20"/>
          <w:szCs w:val="20"/>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195" w:lineRule="exact"/>
        <w:rPr>
          <w:rFonts w:ascii="Arial" w:cs="Arial" w:eastAsia="Arial" w:hAnsi="Arial"/>
          <w:sz w:val="20"/>
          <w:szCs w:val="20"/>
          <w:color w:val="auto"/>
        </w:rPr>
      </w:pPr>
    </w:p>
    <w:p>
      <w:pPr>
        <w:jc w:val="both"/>
        <w:ind w:left="4" w:firstLine="644"/>
        <w:spacing w:after="0" w:line="276" w:lineRule="auto"/>
        <w:tabs>
          <w:tab w:leader="none" w:pos="10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4"/>
          </w:cols>
          <w:pgMar w:left="976" w:top="1419" w:right="339" w:bottom="1440" w:gutter="0" w:footer="0" w:header="0"/>
        </w:sectPr>
      </w:pPr>
    </w:p>
    <w:bookmarkStart w:id="72" w:name="page73"/>
    <w:bookmarkEnd w:id="72"/>
    <w:p>
      <w:pPr>
        <w:jc w:val="both"/>
        <w:ind w:firstLine="656"/>
        <w:spacing w:after="0" w:line="250" w:lineRule="auto"/>
        <w:tabs>
          <w:tab w:leader="none" w:pos="104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5" w:lineRule="exact"/>
        <w:rPr>
          <w:rFonts w:ascii="Arial" w:cs="Arial" w:eastAsia="Arial" w:hAnsi="Arial"/>
          <w:sz w:val="20"/>
          <w:szCs w:val="20"/>
          <w:color w:val="auto"/>
        </w:rPr>
      </w:pPr>
    </w:p>
    <w:p>
      <w:pPr>
        <w:ind w:left="1680" w:hanging="376"/>
        <w:spacing w:after="0"/>
        <w:tabs>
          <w:tab w:leader="none" w:pos="16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Loan Document;</w:t>
      </w:r>
    </w:p>
    <w:p>
      <w:pPr>
        <w:spacing w:after="0" w:line="215" w:lineRule="exact"/>
        <w:rPr>
          <w:rFonts w:ascii="Arial" w:cs="Arial" w:eastAsia="Arial" w:hAnsi="Arial"/>
          <w:sz w:val="20"/>
          <w:szCs w:val="20"/>
          <w:color w:val="auto"/>
        </w:rPr>
      </w:pPr>
    </w:p>
    <w:p>
      <w:pPr>
        <w:jc w:val="both"/>
        <w:ind w:left="660" w:firstLine="644"/>
        <w:spacing w:after="0" w:line="282" w:lineRule="auto"/>
        <w:tabs>
          <w:tab w:leader="none" w:pos="174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1" w:lineRule="exact"/>
        <w:rPr>
          <w:rFonts w:ascii="Arial" w:cs="Arial" w:eastAsia="Arial" w:hAnsi="Arial"/>
          <w:sz w:val="18"/>
          <w:szCs w:val="18"/>
          <w:color w:val="auto"/>
        </w:rPr>
      </w:pPr>
    </w:p>
    <w:p>
      <w:pPr>
        <w:jc w:val="both"/>
        <w:ind w:left="660" w:firstLine="644"/>
        <w:spacing w:after="0" w:line="269" w:lineRule="auto"/>
        <w:tabs>
          <w:tab w:leader="none" w:pos="1785"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9" w:lineRule="exact"/>
        <w:rPr>
          <w:rFonts w:ascii="Arial" w:cs="Arial" w:eastAsia="Arial" w:hAnsi="Arial"/>
          <w:sz w:val="19"/>
          <w:szCs w:val="19"/>
          <w:color w:val="auto"/>
        </w:rPr>
      </w:pPr>
    </w:p>
    <w:p>
      <w:pPr>
        <w:jc w:val="both"/>
        <w:ind w:left="660" w:firstLine="644"/>
        <w:spacing w:after="0" w:line="244" w:lineRule="auto"/>
        <w:tabs>
          <w:tab w:leader="none" w:pos="1828"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4" w:lineRule="exact"/>
        <w:rPr>
          <w:rFonts w:ascii="Arial" w:cs="Arial" w:eastAsia="Arial" w:hAnsi="Arial"/>
          <w:sz w:val="20"/>
          <w:szCs w:val="20"/>
          <w:color w:val="auto"/>
        </w:rPr>
      </w:pPr>
    </w:p>
    <w:p>
      <w:pPr>
        <w:ind w:left="660" w:firstLine="644"/>
        <w:spacing w:after="0" w:line="260" w:lineRule="auto"/>
        <w:tabs>
          <w:tab w:leader="none" w:pos="1772" w:val="left"/>
        </w:tabs>
        <w:numPr>
          <w:ilvl w:val="1"/>
          <w:numId w:val="50"/>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176" w:lineRule="exact"/>
        <w:rPr>
          <w:rFonts w:ascii="Arial" w:cs="Arial" w:eastAsia="Arial" w:hAnsi="Arial"/>
          <w:sz w:val="20"/>
          <w:szCs w:val="20"/>
          <w:color w:val="auto"/>
        </w:rPr>
      </w:pPr>
    </w:p>
    <w:p>
      <w:pPr>
        <w:ind w:left="660" w:firstLine="644"/>
        <w:spacing w:after="0" w:line="260" w:lineRule="auto"/>
        <w:tabs>
          <w:tab w:leader="none" w:pos="1828" w:val="left"/>
        </w:tabs>
        <w:numPr>
          <w:ilvl w:val="1"/>
          <w:numId w:val="50"/>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869"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5" w:lineRule="exact"/>
        <w:rPr>
          <w:rFonts w:ascii="Arial" w:cs="Arial" w:eastAsia="Arial" w:hAnsi="Arial"/>
          <w:sz w:val="20"/>
          <w:szCs w:val="20"/>
          <w:color w:val="auto"/>
        </w:rPr>
      </w:pPr>
    </w:p>
    <w:p>
      <w:pPr>
        <w:ind w:left="660" w:firstLine="644"/>
        <w:spacing w:after="0" w:line="260" w:lineRule="auto"/>
        <w:tabs>
          <w:tab w:leader="none" w:pos="1937"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176" w:lineRule="exact"/>
        <w:rPr>
          <w:rFonts w:ascii="Arial" w:cs="Arial" w:eastAsia="Arial" w:hAnsi="Arial"/>
          <w:sz w:val="20"/>
          <w:szCs w:val="20"/>
          <w:color w:val="auto"/>
        </w:rPr>
      </w:pPr>
    </w:p>
    <w:p>
      <w:pPr>
        <w:ind w:left="660" w:right="20" w:firstLine="644"/>
        <w:spacing w:after="0" w:line="287" w:lineRule="auto"/>
        <w:tabs>
          <w:tab w:leader="none" w:pos="1814"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19" w:right="33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20"/>
          <w:szCs w:val="20"/>
          <w:color w:val="auto"/>
        </w:rPr>
        <w:t>Borrowers shall be conclusively deemed to have waived any such claim against the L/C Issuer and its correspondents unless such notice is given as aforesaid.</w:t>
      </w:r>
    </w:p>
    <w:p>
      <w:pPr>
        <w:spacing w:after="0" w:line="177" w:lineRule="exact"/>
        <w:rPr>
          <w:sz w:val="20"/>
          <w:szCs w:val="20"/>
          <w:color w:val="auto"/>
        </w:rPr>
      </w:pPr>
    </w:p>
    <w:p>
      <w:pPr>
        <w:jc w:val="both"/>
        <w:ind w:firstLine="656"/>
        <w:spacing w:after="0" w:line="268" w:lineRule="auto"/>
        <w:tabs>
          <w:tab w:leader="none" w:pos="105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71" w:lineRule="exact"/>
        <w:rPr>
          <w:rFonts w:ascii="Arial" w:cs="Arial" w:eastAsia="Arial" w:hAnsi="Arial"/>
          <w:sz w:val="18"/>
          <w:szCs w:val="18"/>
          <w:color w:val="auto"/>
        </w:rPr>
      </w:pPr>
    </w:p>
    <w:p>
      <w:pPr>
        <w:jc w:val="both"/>
        <w:ind w:firstLine="656"/>
        <w:spacing w:after="0" w:line="257" w:lineRule="auto"/>
        <w:tabs>
          <w:tab w:leader="none" w:pos="107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19" w:right="339" w:bottom="144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0"/>
          <w:szCs w:val="20"/>
          <w:color w:val="auto"/>
        </w:rPr>
        <w:t>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1" w:lineRule="exact"/>
        <w:rPr>
          <w:sz w:val="20"/>
          <w:szCs w:val="20"/>
          <w:color w:val="auto"/>
        </w:rPr>
      </w:pPr>
    </w:p>
    <w:p>
      <w:pPr>
        <w:jc w:val="both"/>
        <w:ind w:firstLine="656"/>
        <w:spacing w:after="0" w:line="271"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shall pay to the Administrative Agent for the account of each Lender in accordance,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with its Pro Rata Share, in Dollars,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Rate times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73" w:lineRule="exact"/>
        <w:rPr>
          <w:rFonts w:ascii="Arial" w:cs="Arial" w:eastAsia="Arial" w:hAnsi="Arial"/>
          <w:sz w:val="18"/>
          <w:szCs w:val="18"/>
          <w:color w:val="auto"/>
        </w:rPr>
      </w:pPr>
    </w:p>
    <w:p>
      <w:pPr>
        <w:jc w:val="both"/>
        <w:ind w:firstLine="656"/>
        <w:spacing w:after="0" w:line="269" w:lineRule="auto"/>
        <w:tabs>
          <w:tab w:leader="none" w:pos="109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xml:space="preserve">.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promptly on demand and are nonrefundable.</w:t>
      </w:r>
    </w:p>
    <w:p>
      <w:pPr>
        <w:spacing w:after="0" w:line="178" w:lineRule="exact"/>
        <w:rPr>
          <w:rFonts w:ascii="Arial" w:cs="Arial" w:eastAsia="Arial" w:hAnsi="Arial"/>
          <w:sz w:val="18"/>
          <w:szCs w:val="18"/>
          <w:color w:val="auto"/>
        </w:rPr>
      </w:pPr>
    </w:p>
    <w:p>
      <w:pPr>
        <w:ind w:firstLine="656"/>
        <w:spacing w:after="0" w:line="260" w:lineRule="auto"/>
        <w:tabs>
          <w:tab w:leader="none" w:pos="1015"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6" w:lineRule="exact"/>
        <w:rPr>
          <w:rFonts w:ascii="Arial" w:cs="Arial" w:eastAsia="Arial" w:hAnsi="Arial"/>
          <w:sz w:val="20"/>
          <w:szCs w:val="20"/>
          <w:color w:val="auto"/>
        </w:rPr>
      </w:pPr>
    </w:p>
    <w:p>
      <w:pPr>
        <w:jc w:val="both"/>
        <w:ind w:firstLine="656"/>
        <w:spacing w:after="0" w:line="291" w:lineRule="auto"/>
        <w:tabs>
          <w:tab w:leader="none" w:pos="105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19" w:right="339" w:bottom="1440" w:gutter="0" w:footer="0" w:header="0"/>
        </w:sectPr>
      </w:pPr>
    </w:p>
    <w:bookmarkStart w:id="75" w:name="page76"/>
    <w:bookmarkEnd w:id="75"/>
    <w:p>
      <w:pPr>
        <w:spacing w:after="0" w:line="260" w:lineRule="auto"/>
        <w:rPr>
          <w:sz w:val="20"/>
          <w:szCs w:val="20"/>
          <w:color w:val="auto"/>
        </w:rPr>
      </w:pPr>
      <w:r>
        <w:rPr>
          <w:rFonts w:ascii="Arial" w:cs="Arial" w:eastAsia="Arial" w:hAnsi="Arial"/>
          <w:sz w:val="20"/>
          <w:szCs w:val="20"/>
          <w:color w:val="auto"/>
        </w:rPr>
        <w:t>of Subsidiaries inures to the benefit of the Borrowers, and that the Borrowers’ business derives substantial benefits from the businesses of such Subsidiaries.</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7" w:lineRule="auto"/>
        <w:tabs>
          <w:tab w:leader="none" w:pos="119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Domestic Borrowers in Dollars from time to time on any Business Day during the Availability Period in an Outstanding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after giving effect to any Swing Line Loan, (A) the Total Revolving Outstandings shall not exceed the Aggregate Revolving Commitments and (B) the aggregate Outstanding Amount of the Revolving Loans of any Lender, plus such Lender’s Pro Rata Share of the Outstanding Amount of all L/C Obligations, plus such Lender’s Pro Rata Share of the Outstanding Amount of all Swing Line Loans shall not exceed such Lender’s Revolving Commitment, (ii) no Borrower shall use the proceeds of any Swing Line Loan to refinance any outstanding Swing Line Loan and</w:t>
      </w:r>
    </w:p>
    <w:p>
      <w:pPr>
        <w:spacing w:after="0" w:line="8" w:lineRule="exact"/>
        <w:rPr>
          <w:rFonts w:ascii="Arial" w:cs="Arial" w:eastAsia="Arial" w:hAnsi="Arial"/>
          <w:sz w:val="18"/>
          <w:szCs w:val="18"/>
          <w:color w:val="auto"/>
        </w:rPr>
      </w:pPr>
    </w:p>
    <w:p>
      <w:pPr>
        <w:jc w:val="both"/>
        <w:ind w:firstLine="8"/>
        <w:spacing w:after="0" w:line="271" w:lineRule="auto"/>
        <w:tabs>
          <w:tab w:leader="none" w:pos="3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and bear interest at a rate per annum determined in accordance with </w:t>
      </w:r>
      <w:r>
        <w:rPr>
          <w:rFonts w:ascii="Arial" w:cs="Arial" w:eastAsia="Arial" w:hAnsi="Arial"/>
          <w:sz w:val="18"/>
          <w:szCs w:val="18"/>
          <w:u w:val="single" w:color="auto"/>
          <w:color w:val="auto"/>
        </w:rPr>
        <w:t>Section 2.08(a)</w:t>
      </w:r>
      <w:r>
        <w:rPr>
          <w:rFonts w:ascii="Arial" w:cs="Arial" w:eastAsia="Arial" w:hAnsi="Arial"/>
          <w:sz w:val="18"/>
          <w:szCs w:val="18"/>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07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19" w:right="339" w:bottom="1440" w:gutter="0" w:footer="0" w:header="0"/>
        </w:sectPr>
      </w:pPr>
    </w:p>
    <w:bookmarkStart w:id="76" w:name="page77"/>
    <w:bookmarkEnd w:id="76"/>
    <w:p>
      <w:pPr>
        <w:ind w:left="404" w:hanging="404"/>
        <w:spacing w:after="0"/>
        <w:tabs>
          <w:tab w:leader="none" w:pos="404"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54" w:lineRule="auto"/>
        <w:tabs>
          <w:tab w:leader="none" w:pos="1046"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91" w:lineRule="exact"/>
        <w:rPr>
          <w:rFonts w:ascii="Arial" w:cs="Arial" w:eastAsia="Arial" w:hAnsi="Arial"/>
          <w:sz w:val="19"/>
          <w:szCs w:val="19"/>
          <w:color w:val="auto"/>
        </w:rPr>
      </w:pPr>
    </w:p>
    <w:p>
      <w:pPr>
        <w:jc w:val="both"/>
        <w:ind w:left="4" w:firstLine="644"/>
        <w:spacing w:after="0" w:line="260" w:lineRule="auto"/>
        <w:tabs>
          <w:tab w:leader="none" w:pos="1114"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Borrowing of Revolving Loans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80" w:lineRule="exact"/>
        <w:rPr>
          <w:rFonts w:ascii="Arial" w:cs="Arial" w:eastAsia="Arial" w:hAnsi="Arial"/>
          <w:sz w:val="19"/>
          <w:szCs w:val="19"/>
          <w:color w:val="auto"/>
        </w:rPr>
      </w:pPr>
    </w:p>
    <w:p>
      <w:pPr>
        <w:jc w:val="both"/>
        <w:ind w:left="4" w:firstLine="644"/>
        <w:spacing w:after="0" w:line="256" w:lineRule="auto"/>
        <w:tabs>
          <w:tab w:leader="none" w:pos="1237"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4" w:lineRule="exact"/>
        <w:rPr>
          <w:rFonts w:ascii="Arial" w:cs="Arial" w:eastAsia="Arial" w:hAnsi="Arial"/>
          <w:sz w:val="19"/>
          <w:szCs w:val="19"/>
          <w:color w:val="auto"/>
        </w:rPr>
      </w:pPr>
    </w:p>
    <w:p>
      <w:pPr>
        <w:jc w:val="both"/>
        <w:ind w:left="4" w:firstLine="644"/>
        <w:spacing w:after="0" w:line="244" w:lineRule="auto"/>
        <w:tabs>
          <w:tab w:leader="none" w:pos="1172"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Each Lender’s obligation to make Revolving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4"/>
          </w:cols>
          <w:pgMar w:left="976" w:top="1419" w:right="339" w:bottom="1440" w:gutter="0" w:footer="0" w:header="0"/>
        </w:sectPr>
      </w:pPr>
    </w:p>
    <w:bookmarkStart w:id="77" w:name="page78"/>
    <w:bookmarkEnd w:id="77"/>
    <w:p>
      <w:pPr>
        <w:jc w:val="both"/>
        <w:ind w:left="660"/>
        <w:spacing w:after="0" w:line="246" w:lineRule="auto"/>
        <w:rPr>
          <w:sz w:val="20"/>
          <w:szCs w:val="20"/>
          <w:color w:val="auto"/>
        </w:rPr>
      </w:pPr>
      <w:r>
        <w:rPr>
          <w:rFonts w:ascii="Arial" w:cs="Arial" w:eastAsia="Arial" w:hAnsi="Arial"/>
          <w:sz w:val="20"/>
          <w:szCs w:val="20"/>
          <w:color w:val="auto"/>
        </w:rPr>
        <w:t xml:space="preserve">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each Lender’s obligation to make Revolving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is subject to the conditions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(other 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91" w:lineRule="exact"/>
        <w:rPr>
          <w:sz w:val="20"/>
          <w:szCs w:val="20"/>
          <w:color w:val="auto"/>
        </w:rPr>
      </w:pPr>
    </w:p>
    <w:p>
      <w:pPr>
        <w:ind w:left="1060" w:hanging="404"/>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3" w:lineRule="auto"/>
        <w:tabs>
          <w:tab w:leader="none" w:pos="1729" w:val="left"/>
        </w:tabs>
        <w:numPr>
          <w:ilvl w:val="1"/>
          <w:numId w:val="56"/>
        </w:numPr>
        <w:rPr>
          <w:rFonts w:ascii="Arial" w:cs="Arial" w:eastAsia="Arial" w:hAnsi="Arial"/>
          <w:sz w:val="19"/>
          <w:szCs w:val="19"/>
          <w:color w:val="auto"/>
        </w:rPr>
      </w:pPr>
      <w:r>
        <w:rPr>
          <w:rFonts w:ascii="Arial" w:cs="Arial" w:eastAsia="Arial" w:hAnsi="Arial"/>
          <w:sz w:val="19"/>
          <w:szCs w:val="19"/>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6" w:lineRule="exact"/>
        <w:rPr>
          <w:rFonts w:ascii="Arial" w:cs="Arial" w:eastAsia="Arial" w:hAnsi="Arial"/>
          <w:sz w:val="19"/>
          <w:szCs w:val="19"/>
          <w:color w:val="auto"/>
        </w:rPr>
      </w:pPr>
    </w:p>
    <w:p>
      <w:pPr>
        <w:jc w:val="both"/>
        <w:ind w:left="660" w:firstLine="644"/>
        <w:spacing w:after="0" w:line="243" w:lineRule="auto"/>
        <w:tabs>
          <w:tab w:leader="none" w:pos="1837"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2" w:lineRule="exact"/>
        <w:rPr>
          <w:rFonts w:ascii="Arial" w:cs="Arial" w:eastAsia="Arial" w:hAnsi="Arial"/>
          <w:sz w:val="20"/>
          <w:szCs w:val="20"/>
          <w:color w:val="auto"/>
        </w:rPr>
      </w:pPr>
    </w:p>
    <w:p>
      <w:pPr>
        <w:jc w:val="both"/>
        <w:ind w:firstLine="656"/>
        <w:spacing w:after="0" w:line="246" w:lineRule="auto"/>
        <w:tabs>
          <w:tab w:leader="none" w:pos="1048"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Lender funds its Revolving Loans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Lender’s Pro Rata Share of any Swing Line Loan, interest in respect of such Pro Rata Share shall be solely for the account of the Swing Line Lender.</w:t>
      </w:r>
    </w:p>
    <w:p>
      <w:pPr>
        <w:spacing w:after="0" w:line="191" w:lineRule="exact"/>
        <w:rPr>
          <w:rFonts w:ascii="Arial" w:cs="Arial" w:eastAsia="Arial" w:hAnsi="Arial"/>
          <w:sz w:val="20"/>
          <w:szCs w:val="20"/>
          <w:color w:val="auto"/>
        </w:rPr>
      </w:pPr>
    </w:p>
    <w:p>
      <w:pPr>
        <w:ind w:firstLine="656"/>
        <w:spacing w:after="0" w:line="260" w:lineRule="auto"/>
        <w:tabs>
          <w:tab w:leader="none" w:pos="109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72" w:lineRule="auto"/>
        <w:tabs>
          <w:tab w:leader="none" w:pos="170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xml:space="preserve">. A Borrower may, upon notice from such Borrower to the Administrative Agent, at any time or from time to time voluntarily prepay Revolving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in a form reasonably acceptable to the Administrative Agent and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w:t>
      </w:r>
      <w:r>
        <w:rPr>
          <w:rFonts w:ascii="Arial" w:cs="Arial" w:eastAsia="Arial" w:hAnsi="Arial"/>
          <w:sz w:val="18"/>
          <w:szCs w:val="18"/>
          <w:color w:val="0000FF"/>
        </w:rPr>
        <w:t>or RFR Loans</w:t>
      </w:r>
      <w:r>
        <w:rPr>
          <w:rFonts w:ascii="Arial" w:cs="Arial" w:eastAsia="Arial" w:hAnsi="Arial"/>
          <w:sz w:val="18"/>
          <w:szCs w:val="18"/>
          <w:color w:val="auto"/>
        </w:rPr>
        <w:t xml:space="preserve">, and (3) on the date of prepayment of Base Rate Loans; (B) any such prepayment of Eurocurrency Rate Loans denominated in Dollars shall be in a principal amount of $1,000,000 or a whole multiple of $500,000 in excess thereof (or, if less, the entire principal amount thereof then outstanding); (C) any prepayment of Eurocurrency Rate Loans denominated in Alternative Currencies </w:t>
      </w:r>
      <w:r>
        <w:rPr>
          <w:rFonts w:ascii="Arial" w:cs="Arial" w:eastAsia="Arial" w:hAnsi="Arial"/>
          <w:sz w:val="18"/>
          <w:szCs w:val="18"/>
          <w:color w:val="0000FF"/>
        </w:rPr>
        <w:t>or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-480695</wp:posOffset>
            </wp:positionV>
            <wp:extent cx="786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6130"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-43180</wp:posOffset>
            </wp:positionV>
            <wp:extent cx="405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19" w:right="339" w:bottom="1440" w:gutter="0" w:footer="0" w:header="0"/>
        </w:sectPr>
      </w:pPr>
    </w:p>
    <w:bookmarkStart w:id="78" w:name="page79"/>
    <w:bookmarkEnd w:id="78"/>
    <w:p>
      <w:pPr>
        <w:jc w:val="both"/>
        <w:ind w:left="4"/>
        <w:spacing w:after="0" w:line="271" w:lineRule="auto"/>
        <w:rPr>
          <w:sz w:val="20"/>
          <w:szCs w:val="20"/>
          <w:color w:val="auto"/>
        </w:rPr>
      </w:pPr>
      <w:r>
        <w:rPr>
          <w:rFonts w:ascii="Arial" w:cs="Arial" w:eastAsia="Arial" w:hAnsi="Arial"/>
          <w:sz w:val="18"/>
          <w:szCs w:val="18"/>
          <w:u w:val="single" w:color="auto"/>
          <w:color w:val="0000FF"/>
        </w:rPr>
        <w:t>Loans</w:t>
      </w:r>
      <w:r>
        <w:rPr>
          <w:rFonts w:ascii="Arial" w:cs="Arial" w:eastAsia="Arial" w:hAnsi="Arial"/>
          <w:sz w:val="18"/>
          <w:szCs w:val="18"/>
          <w:color w:val="0000FF"/>
        </w:rPr>
        <w:t xml:space="preserve"> </w:t>
      </w:r>
      <w:r>
        <w:rPr>
          <w:rFonts w:ascii="Arial" w:cs="Arial" w:eastAsia="Arial" w:hAnsi="Arial"/>
          <w:sz w:val="18"/>
          <w:szCs w:val="18"/>
          <w:color w:val="000000"/>
        </w:rPr>
        <w:t>shall be in a principal amount of $1,000,000 or a whole multiple of $500,000 in excess thereof (or, if less, the entire principal</w:t>
      </w:r>
      <w:r>
        <w:rPr>
          <w:rFonts w:ascii="Arial" w:cs="Arial" w:eastAsia="Arial" w:hAnsi="Arial"/>
          <w:sz w:val="18"/>
          <w:szCs w:val="18"/>
          <w:color w:val="0000FF"/>
        </w:rPr>
        <w:t xml:space="preserve"> </w:t>
      </w:r>
      <w:r>
        <w:rPr>
          <w:rFonts w:ascii="Arial" w:cs="Arial" w:eastAsia="Arial" w:hAnsi="Arial"/>
          <w:sz w:val="18"/>
          <w:szCs w:val="18"/>
          <w:color w:val="000000"/>
        </w:rPr>
        <w:t xml:space="preserve">amount thereof then outstanding)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Eurocurrency Rate Loan shall be accompanied by all accrued interest on the amount prepaid, together with any additional amounts required pursuant to </w:t>
      </w:r>
      <w:r>
        <w:rPr>
          <w:rFonts w:ascii="Arial" w:cs="Arial" w:eastAsia="Arial" w:hAnsi="Arial"/>
          <w:sz w:val="18"/>
          <w:szCs w:val="18"/>
          <w:u w:val="single" w:color="auto"/>
          <w:color w:val="000000"/>
        </w:rPr>
        <w:t>Section 3.05</w:t>
      </w:r>
      <w:r>
        <w:rPr>
          <w:rFonts w:ascii="Arial" w:cs="Arial" w:eastAsia="Arial" w:hAnsi="Arial"/>
          <w:sz w:val="18"/>
          <w:szCs w:val="18"/>
          <w:color w:val="000000"/>
        </w:rPr>
        <w:t xml:space="preserve">. Subject to </w:t>
      </w:r>
      <w:r>
        <w:rPr>
          <w:rFonts w:ascii="Arial" w:cs="Arial" w:eastAsia="Arial" w:hAnsi="Arial"/>
          <w:sz w:val="18"/>
          <w:szCs w:val="18"/>
          <w:u w:val="single" w:color="auto"/>
          <w:color w:val="000000"/>
        </w:rPr>
        <w:t>Section 2.16</w:t>
      </w:r>
      <w:r>
        <w:rPr>
          <w:rFonts w:ascii="Arial" w:cs="Arial" w:eastAsia="Arial" w:hAnsi="Arial"/>
          <w:sz w:val="18"/>
          <w:szCs w:val="18"/>
          <w:color w:val="000000"/>
        </w:rPr>
        <w:t>, each such prepayment shall be applied to the Loans of the Lenders in accordance with their respective Pro Rata Shares.</w:t>
      </w:r>
    </w:p>
    <w:p>
      <w:pPr>
        <w:spacing w:after="0" w:line="170" w:lineRule="exact"/>
        <w:rPr>
          <w:sz w:val="20"/>
          <w:szCs w:val="20"/>
          <w:color w:val="auto"/>
        </w:rPr>
      </w:pPr>
    </w:p>
    <w:p>
      <w:pPr>
        <w:jc w:val="both"/>
        <w:ind w:left="4" w:right="20" w:firstLine="644"/>
        <w:spacing w:after="0" w:line="275" w:lineRule="auto"/>
        <w:tabs>
          <w:tab w:leader="none" w:pos="108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A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jc w:val="both"/>
        <w:ind w:left="4" w:hanging="4"/>
        <w:spacing w:after="0" w:line="272" w:lineRule="auto"/>
        <w:tabs>
          <w:tab w:leader="none" w:pos="2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70" w:lineRule="exact"/>
        <w:rPr>
          <w:sz w:val="20"/>
          <w:szCs w:val="20"/>
          <w:color w:val="auto"/>
        </w:rPr>
      </w:pPr>
    </w:p>
    <w:p>
      <w:pPr>
        <w:ind w:left="404" w:hanging="404"/>
        <w:spacing w:after="0"/>
        <w:tabs>
          <w:tab w:leader="none" w:pos="40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Mandatory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4"/>
        <w:spacing w:after="0" w:line="257" w:lineRule="auto"/>
        <w:tabs>
          <w:tab w:leader="none" w:pos="1059"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Total Revolving Outstandings</w:t>
      </w:r>
      <w:r>
        <w:rPr>
          <w:rFonts w:ascii="Arial" w:cs="Arial" w:eastAsia="Arial" w:hAnsi="Arial"/>
          <w:sz w:val="19"/>
          <w:szCs w:val="19"/>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unless after such prepayment of the Loans the Total Revolving Outstandings exceed the Aggregate Revolving Commitments then in effect.</w:t>
      </w:r>
    </w:p>
    <w:p>
      <w:pPr>
        <w:spacing w:after="0" w:line="184" w:lineRule="exact"/>
        <w:rPr>
          <w:rFonts w:ascii="Arial" w:cs="Arial" w:eastAsia="Arial" w:hAnsi="Arial"/>
          <w:sz w:val="19"/>
          <w:szCs w:val="19"/>
          <w:color w:val="auto"/>
        </w:rPr>
      </w:pPr>
    </w:p>
    <w:p>
      <w:pPr>
        <w:jc w:val="both"/>
        <w:ind w:left="4" w:firstLine="644"/>
        <w:spacing w:after="0" w:line="250" w:lineRule="auto"/>
        <w:tabs>
          <w:tab w:leader="none" w:pos="1181"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Application of Mandatory Prepayments</w:t>
      </w:r>
      <w:r>
        <w:rPr>
          <w:rFonts w:ascii="Arial" w:cs="Arial" w:eastAsia="Arial" w:hAnsi="Arial"/>
          <w:sz w:val="20"/>
          <w:szCs w:val="20"/>
          <w:color w:val="auto"/>
        </w:rPr>
        <w:t xml:space="preserve">. All amounts required to be paid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to Revolving Loans and Swing Line Loans and (after all Revolving Loans and all Swing Line Loans have been repaid) to Cash Collateralize L/C Obligations.</w:t>
      </w:r>
    </w:p>
    <w:p>
      <w:pPr>
        <w:spacing w:after="0" w:line="186" w:lineRule="exact"/>
        <w:rPr>
          <w:sz w:val="20"/>
          <w:szCs w:val="20"/>
          <w:color w:val="auto"/>
        </w:rPr>
      </w:pPr>
    </w:p>
    <w:p>
      <w:pPr>
        <w:jc w:val="both"/>
        <w:ind w:left="644"/>
        <w:spacing w:after="0" w:line="250" w:lineRule="auto"/>
        <w:rPr>
          <w:sz w:val="20"/>
          <w:szCs w:val="20"/>
          <w:color w:val="auto"/>
        </w:rPr>
      </w:pPr>
      <w:r>
        <w:rPr>
          <w:rFonts w:ascii="Arial" w:cs="Arial" w:eastAsia="Arial" w:hAnsi="Arial"/>
          <w:sz w:val="20"/>
          <w:szCs w:val="20"/>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84"/>
          </w:cols>
          <w:pgMar w:left="976" w:top="1419" w:right="339" w:bottom="1440" w:gutter="0" w:footer="0" w:header="0"/>
        </w:sectPr>
      </w:pPr>
    </w:p>
    <w:bookmarkStart w:id="79" w:name="page80"/>
    <w:bookmarkEnd w:id="79"/>
    <w:p>
      <w:pPr>
        <w:ind w:left="1300"/>
        <w:spacing w:after="0" w:line="260" w:lineRule="auto"/>
        <w:rPr>
          <w:sz w:val="20"/>
          <w:szCs w:val="20"/>
          <w:color w:val="auto"/>
        </w:rPr>
      </w:pP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Aggregate Revolving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an amount not to exceed the lesser of (i) the initial amounts of such sublimits as in effect on the Closing Date and (ii) the amount of such increase in the Aggregate Revolving Commitment). The Administrative Agent will promptly notify the Lenders of any such notice of termination or reduction of the Aggregate Revolving Commitments. The amount of any such Aggregate Revolving Commitment reduction shall not be applied to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 If the Aggregate Revolving Commitments terminate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w:t>
      </w:r>
      <w:r>
        <w:rPr>
          <w:rFonts w:ascii="Arial" w:cs="Arial" w:eastAsia="Arial" w:hAnsi="Arial"/>
          <w:sz w:val="18"/>
          <w:szCs w:val="18"/>
          <w:color w:val="auto"/>
        </w:rPr>
        <w:t xml:space="preserve"> and the Borrowers have paid all amounts payable hereunder 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260" w:lineRule="auto"/>
        <w:tabs>
          <w:tab w:leader="none" w:pos="1183"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Borrowers shall repay to the Lenders on the Maturity Date the aggregate principal amount of all Revolving Loans outstanding on such date.</w:t>
      </w:r>
    </w:p>
    <w:p>
      <w:pPr>
        <w:spacing w:after="0" w:line="176" w:lineRule="exact"/>
        <w:rPr>
          <w:rFonts w:ascii="Arial" w:cs="Arial" w:eastAsia="Arial" w:hAnsi="Arial"/>
          <w:sz w:val="20"/>
          <w:szCs w:val="20"/>
          <w:color w:val="auto"/>
        </w:rPr>
      </w:pPr>
    </w:p>
    <w:p>
      <w:pPr>
        <w:ind w:firstLine="656"/>
        <w:spacing w:after="0" w:line="260" w:lineRule="auto"/>
        <w:tabs>
          <w:tab w:leader="none" w:pos="1099"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Borrowers shall repay each Swing Line Loan on the earlier to occur of (i) the date ten Business Days after such Swing Line Loan is made and (ii)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19" w:right="339" w:bottom="1440" w:gutter="0" w:footer="0" w:header="0"/>
        </w:sectPr>
      </w:pPr>
    </w:p>
    <w:bookmarkStart w:id="80" w:name="page81"/>
    <w:bookmarkEnd w:id="80"/>
    <w:p>
      <w:pPr>
        <w:spacing w:after="0"/>
        <w:tabs>
          <w:tab w:leader="none" w:pos="5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4" w:lineRule="auto"/>
        <w:tabs>
          <w:tab w:leader="none" w:pos="11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Subject to the provisions of subsection (b) below, (i) each Eurocurrency Rate Loan shall bear interest on the outstanding principal amount thereof for each Interest Period at a rate per annum equal to the sum of the Eurocurrency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(ii) each Base Rate Loan shall bear interest on the outstanding principal amount thereof from the applicable borrowing date at a rate per annum equal to the sum of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Rate; </w:t>
      </w:r>
      <w:r>
        <w:rPr>
          <w:rFonts w:ascii="Arial" w:cs="Arial" w:eastAsia="Arial" w:hAnsi="Arial"/>
          <w:sz w:val="18"/>
          <w:szCs w:val="18"/>
          <w:color w:val="FF0000"/>
          <w:strike w:val="1"/>
        </w:rPr>
        <w:t>and (iii</w:t>
      </w:r>
      <w:r>
        <w:rPr>
          <w:rFonts w:ascii="Arial" w:cs="Arial" w:eastAsia="Arial" w:hAnsi="Arial"/>
          <w:sz w:val="18"/>
          <w:szCs w:val="18"/>
          <w:u w:val="single" w:color="auto"/>
          <w:color w:val="0000FF"/>
        </w:rPr>
        <w:t>(iii) each RFR Loan shall bear interest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outstanding principal amount thereof from the applicable borrowing date at a rate per annum equal to the sum of (A) Daily Simple SONIA plus (B) the Applicable Rate; and (iv</w:t>
      </w:r>
      <w:r>
        <w:rPr>
          <w:rFonts w:ascii="Arial" w:cs="Arial" w:eastAsia="Arial" w:hAnsi="Arial"/>
          <w:sz w:val="18"/>
          <w:szCs w:val="18"/>
          <w:color w:val="000000"/>
        </w:rPr>
        <w:t>) each Swing Line Loan shall bear interest on the outstanding principal amount thereof from the</w:t>
      </w:r>
      <w:r>
        <w:rPr>
          <w:rFonts w:ascii="Arial" w:cs="Arial" w:eastAsia="Arial" w:hAnsi="Arial"/>
          <w:sz w:val="18"/>
          <w:szCs w:val="18"/>
          <w:color w:val="0000FF"/>
        </w:rPr>
        <w:t xml:space="preserve"> </w:t>
      </w:r>
      <w:r>
        <w:rPr>
          <w:rFonts w:ascii="Arial" w:cs="Arial" w:eastAsia="Arial" w:hAnsi="Arial"/>
          <w:sz w:val="18"/>
          <w:szCs w:val="18"/>
          <w:color w:val="000000"/>
        </w:rPr>
        <w:t xml:space="preserve">applicable borrowing date at a rate per annum equal to the sum of (A) the Base 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(B) the Applicable Rate.</w:t>
      </w:r>
    </w:p>
    <w:p>
      <w:pPr>
        <w:spacing w:after="0" w:line="168" w:lineRule="exact"/>
        <w:rPr>
          <w:rFonts w:ascii="Arial" w:cs="Arial" w:eastAsia="Arial" w:hAnsi="Arial"/>
          <w:sz w:val="18"/>
          <w:szCs w:val="18"/>
          <w:color w:val="auto"/>
        </w:rPr>
      </w:pPr>
    </w:p>
    <w:p>
      <w:pPr>
        <w:jc w:val="both"/>
        <w:ind w:left="660" w:right="20" w:hanging="4"/>
        <w:spacing w:after="0" w:line="250" w:lineRule="auto"/>
        <w:tabs>
          <w:tab w:leader="none" w:pos="1097" w:val="left"/>
        </w:tabs>
        <w:numPr>
          <w:ilvl w:val="0"/>
          <w:numId w:val="62"/>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729" w:val="left"/>
        </w:tabs>
        <w:numPr>
          <w:ilvl w:val="1"/>
          <w:numId w:val="62"/>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91" w:lineRule="exact"/>
        <w:rPr>
          <w:rFonts w:ascii="Arial" w:cs="Arial" w:eastAsia="Arial" w:hAnsi="Arial"/>
          <w:sz w:val="20"/>
          <w:szCs w:val="20"/>
          <w:color w:val="auto"/>
        </w:rPr>
      </w:pPr>
    </w:p>
    <w:p>
      <w:pPr>
        <w:jc w:val="both"/>
        <w:ind w:left="660" w:firstLine="644"/>
        <w:spacing w:after="0" w:line="269" w:lineRule="auto"/>
        <w:tabs>
          <w:tab w:leader="none" w:pos="1825" w:val="left"/>
        </w:tabs>
        <w:numPr>
          <w:ilvl w:val="1"/>
          <w:numId w:val="62"/>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69" w:lineRule="exact"/>
        <w:rPr>
          <w:rFonts w:ascii="Arial" w:cs="Arial" w:eastAsia="Arial" w:hAnsi="Arial"/>
          <w:sz w:val="19"/>
          <w:szCs w:val="19"/>
          <w:color w:val="auto"/>
        </w:rPr>
      </w:pPr>
    </w:p>
    <w:p>
      <w:pPr>
        <w:ind w:left="660" w:firstLine="644"/>
        <w:spacing w:after="0" w:line="260" w:lineRule="auto"/>
        <w:tabs>
          <w:tab w:leader="none" w:pos="1841" w:val="left"/>
        </w:tabs>
        <w:numPr>
          <w:ilvl w:val="1"/>
          <w:numId w:val="62"/>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 to the fullest extent permitted by applicable Laws.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02"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6"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Company shall pay to the Administrative Agent, for the account of each Lender in accordance with its Pro Rata Share, a commitment fee in Dollars equal to the product of (A)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Such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19" w:right="339" w:bottom="1440" w:gutter="0" w:footer="0" w:header="0"/>
        </w:sectPr>
      </w:pPr>
    </w:p>
    <w:bookmarkStart w:id="81" w:name="page82"/>
    <w:bookmarkEnd w:id="81"/>
    <w:p>
      <w:pPr>
        <w:jc w:val="both"/>
        <w:spacing w:after="0" w:line="244" w:lineRule="auto"/>
        <w:rPr>
          <w:sz w:val="20"/>
          <w:szCs w:val="20"/>
          <w:color w:val="auto"/>
        </w:rPr>
      </w:pPr>
      <w:r>
        <w:rPr>
          <w:rFonts w:ascii="Arial" w:cs="Arial" w:eastAsia="Arial" w:hAnsi="Arial"/>
          <w:sz w:val="20"/>
          <w:szCs w:val="20"/>
          <w:color w:val="auto"/>
        </w:rPr>
        <w:t>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94" w:lineRule="exact"/>
        <w:rPr>
          <w:sz w:val="20"/>
          <w:szCs w:val="20"/>
          <w:color w:val="auto"/>
        </w:rPr>
      </w:pPr>
    </w:p>
    <w:p>
      <w:pPr>
        <w:ind w:left="1060" w:hanging="404"/>
        <w:spacing w:after="0"/>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29"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Company shall pay to BMO Capital Markets and the Administrative Agent for their own respective accounts, in Dollars, fees in the amounts and at the times specified in the Fee Letter. Such fees shall be fully earned when paid and shall be non-refundable for any reason whatsoever.</w:t>
      </w:r>
    </w:p>
    <w:p>
      <w:pPr>
        <w:spacing w:after="0" w:line="185" w:lineRule="exact"/>
        <w:rPr>
          <w:rFonts w:ascii="Arial" w:cs="Arial" w:eastAsia="Arial" w:hAnsi="Arial"/>
          <w:sz w:val="20"/>
          <w:szCs w:val="20"/>
          <w:color w:val="auto"/>
        </w:rPr>
      </w:pPr>
    </w:p>
    <w:p>
      <w:pPr>
        <w:ind w:left="660" w:firstLine="644"/>
        <w:spacing w:after="0" w:line="316" w:lineRule="auto"/>
        <w:tabs>
          <w:tab w:leader="none" w:pos="17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All computations of interest for Base Rate Loans (including Base Rate Loans determined by reference to the Eurocurrency Rate)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RFR Loans</w:t>
      </w:r>
      <w:r>
        <w:rPr>
          <w:rFonts w:ascii="Arial" w:cs="Arial" w:eastAsia="Arial" w:hAnsi="Arial"/>
          <w:sz w:val="19"/>
          <w:szCs w:val="19"/>
          <w:color w:val="0000FF"/>
        </w:rPr>
        <w:t xml:space="preserve"> </w:t>
      </w:r>
      <w:r>
        <w:rPr>
          <w:rFonts w:ascii="Arial" w:cs="Arial" w:eastAsia="Arial" w:hAnsi="Arial"/>
          <w:sz w:val="19"/>
          <w:szCs w:val="19"/>
          <w:color w:val="000000"/>
        </w:rPr>
        <w:t>shall be made on the basis of a year of 365 or 366 days, as the case may be, and actual days elapsed. All other computations of</w:t>
      </w:r>
      <w:r>
        <w:rPr>
          <w:rFonts w:ascii="Arial" w:cs="Arial" w:eastAsia="Arial" w:hAnsi="Arial"/>
          <w:sz w:val="19"/>
          <w:szCs w:val="19"/>
          <w:color w:val="0000FF"/>
        </w:rPr>
        <w:t xml:space="preserve"> </w:t>
      </w:r>
      <w:r>
        <w:rPr>
          <w:rFonts w:ascii="Arial" w:cs="Arial" w:eastAsia="Arial" w:hAnsi="Arial"/>
          <w:sz w:val="19"/>
          <w:szCs w:val="19"/>
          <w:color w:val="000000"/>
        </w:rPr>
        <w:t xml:space="preserve">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Loan that is repaid on the same day on which it is made shall, subject to </w:t>
      </w:r>
      <w:r>
        <w:rPr>
          <w:rFonts w:ascii="Arial" w:cs="Arial" w:eastAsia="Arial" w:hAnsi="Arial"/>
          <w:sz w:val="19"/>
          <w:szCs w:val="19"/>
          <w:u w:val="single" w:color="auto"/>
          <w:color w:val="000000"/>
        </w:rPr>
        <w:t>Section 2.12(a)</w:t>
      </w:r>
      <w:r>
        <w:rPr>
          <w:rFonts w:ascii="Arial" w:cs="Arial" w:eastAsia="Arial" w:hAnsi="Arial"/>
          <w:sz w:val="19"/>
          <w:szCs w:val="19"/>
          <w:color w:val="000000"/>
        </w:rPr>
        <w:t>, bear interest for one day. Each determination by the Administrative Agent of an interest rate or fee hereunder shall be conclusive and binding for all purposes, absent demonstrable error.</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061"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9"/>
          <w:szCs w:val="19"/>
          <w:u w:val="single" w:color="auto"/>
          <w:color w:val="auto"/>
        </w:rPr>
        <w:t>Exhibit 2.11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Note</w:t>
      </w:r>
      <w:r>
        <w:rPr>
          <w:rFonts w:ascii="Arial" w:cs="Arial" w:eastAsia="Arial" w:hAnsi="Arial"/>
          <w:sz w:val="19"/>
          <w:szCs w:val="19"/>
          <w:color w:val="auto"/>
        </w:rPr>
        <w:t>”). Each Lender may attach schedules to its Note and endorse thereon the date, Type (if applicable), amount, currency and maturity of its Loans and payments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19" w:right="339" w:bottom="1440" w:gutter="0" w:footer="0" w:header="0"/>
        </w:sectPr>
      </w:pPr>
    </w:p>
    <w:bookmarkStart w:id="82" w:name="page83"/>
    <w:bookmarkEnd w:id="82"/>
    <w:p>
      <w:pPr>
        <w:jc w:val="both"/>
        <w:ind w:firstLine="656"/>
        <w:spacing w:after="0" w:line="244" w:lineRule="auto"/>
        <w:tabs>
          <w:tab w:leader="none" w:pos="1058"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demonstrable error.</w:t>
      </w:r>
    </w:p>
    <w:p>
      <w:pPr>
        <w:spacing w:after="0" w:line="200" w:lineRule="exact"/>
        <w:rPr>
          <w:sz w:val="20"/>
          <w:szCs w:val="20"/>
          <w:color w:val="auto"/>
        </w:rPr>
      </w:pPr>
    </w:p>
    <w:p>
      <w:pPr>
        <w:spacing w:after="0" w:line="23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304" w:lineRule="auto"/>
        <w:tabs>
          <w:tab w:leader="none" w:pos="106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both"/>
        <w:ind w:left="660" w:hanging="4"/>
        <w:spacing w:after="0" w:line="255" w:lineRule="auto"/>
        <w:tabs>
          <w:tab w:leader="none" w:pos="1111"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Eurocurrency Rate </w:t>
      </w:r>
      <w:r>
        <w:rPr>
          <w:rFonts w:ascii="Arial" w:cs="Arial" w:eastAsia="Arial" w:hAnsi="Arial"/>
          <w:sz w:val="19"/>
          <w:szCs w:val="19"/>
          <w:u w:val="single" w:color="auto"/>
          <w:color w:val="0000FF"/>
        </w:rPr>
        <w:t>Loans or RFR</w:t>
      </w:r>
      <w:r>
        <w:rPr>
          <w:rFonts w:ascii="Arial" w:cs="Arial" w:eastAsia="Arial" w:hAnsi="Arial"/>
          <w:sz w:val="19"/>
          <w:szCs w:val="19"/>
          <w:color w:val="auto"/>
        </w:rPr>
        <w:t xml:space="preserv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19" w:right="339" w:bottom="1440" w:gutter="0" w:footer="0" w:header="0"/>
        </w:sectPr>
      </w:pPr>
    </w:p>
    <w:bookmarkStart w:id="83" w:name="page84"/>
    <w:bookmarkEnd w:id="83"/>
    <w:p>
      <w:pPr>
        <w:jc w:val="both"/>
        <w:ind w:left="660"/>
        <w:spacing w:after="0" w:line="242" w:lineRule="auto"/>
        <w:rPr>
          <w:sz w:val="20"/>
          <w:szCs w:val="20"/>
          <w:color w:val="auto"/>
        </w:rPr>
      </w:pPr>
      <w:r>
        <w:rPr>
          <w:rFonts w:ascii="Arial" w:cs="Arial" w:eastAsia="Arial" w:hAnsi="Arial"/>
          <w:sz w:val="20"/>
          <w:szCs w:val="20"/>
          <w:color w:val="auto"/>
        </w:rPr>
        <w:t>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4" w:lineRule="exact"/>
        <w:rPr>
          <w:sz w:val="20"/>
          <w:szCs w:val="20"/>
          <w:color w:val="auto"/>
        </w:rPr>
      </w:pPr>
    </w:p>
    <w:p>
      <w:pPr>
        <w:jc w:val="both"/>
        <w:ind w:left="660" w:firstLine="644"/>
        <w:spacing w:after="0" w:line="311" w:lineRule="auto"/>
        <w:tabs>
          <w:tab w:leader="none" w:pos="179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 by Administrative Agent</w:t>
      </w:r>
      <w:r>
        <w:rPr>
          <w:rFonts w:ascii="Arial" w:cs="Arial" w:eastAsia="Arial" w:hAnsi="Arial"/>
          <w:sz w:val="16"/>
          <w:szCs w:val="16"/>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44" w:lineRule="exact"/>
        <w:rPr>
          <w:rFonts w:ascii="Arial" w:cs="Arial" w:eastAsia="Arial" w:hAnsi="Arial"/>
          <w:sz w:val="16"/>
          <w:szCs w:val="16"/>
          <w:color w:val="auto"/>
        </w:rPr>
      </w:pPr>
    </w:p>
    <w:p>
      <w:pPr>
        <w:ind w:left="660" w:firstLine="644"/>
        <w:spacing w:after="0" w:line="260" w:lineRule="auto"/>
        <w:tabs>
          <w:tab w:leader="none" w:pos="178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 notice of the Administrative Agent to any Lender or any Borrower with respect to any amount owing under this subsection (b) shall be conclusive, absent demonstrable error.</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10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and such funds are not made available to the applicable 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11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Swing Line Loans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04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19" w:right="339" w:bottom="1440" w:gutter="0" w:footer="0" w:header="0"/>
        </w:sectPr>
      </w:pPr>
    </w:p>
    <w:bookmarkStart w:id="84" w:name="page85"/>
    <w:bookmarkEnd w:id="84"/>
    <w:p>
      <w:pPr>
        <w:spacing w:after="0"/>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20"/>
          <w:szCs w:val="20"/>
          <w:u w:val="single" w:color="auto"/>
          <w:color w:val="auto"/>
        </w:rPr>
        <w:t>pro</w:t>
      </w:r>
      <w:r>
        <w:rPr>
          <w:rFonts w:ascii="Arial" w:cs="Arial" w:eastAsia="Arial" w:hAnsi="Arial"/>
          <w:sz w:val="20"/>
          <w:szCs w:val="20"/>
          <w:color w:val="auto"/>
        </w:rPr>
        <w:t xml:space="preserve"> </w:t>
      </w:r>
      <w:r>
        <w:rPr>
          <w:rFonts w:ascii="Arial" w:cs="Arial" w:eastAsia="Arial" w:hAnsi="Arial"/>
          <w:sz w:val="20"/>
          <w:szCs w:val="20"/>
          <w:u w:val="single" w:color="auto"/>
          <w:color w:val="auto"/>
        </w:rPr>
        <w:t>rata</w:t>
      </w:r>
      <w:r>
        <w:rPr>
          <w:rFonts w:ascii="Arial" w:cs="Arial" w:eastAsia="Arial" w:hAnsi="Arial"/>
          <w:sz w:val="20"/>
          <w:szCs w:val="20"/>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97" w:lineRule="exact"/>
        <w:rPr>
          <w:sz w:val="20"/>
          <w:szCs w:val="20"/>
          <w:color w:val="auto"/>
        </w:rPr>
      </w:pPr>
    </w:p>
    <w:p>
      <w:pPr>
        <w:jc w:val="both"/>
        <w:ind w:left="660" w:firstLine="644"/>
        <w:spacing w:after="0" w:line="250" w:lineRule="auto"/>
        <w:tabs>
          <w:tab w:leader="none" w:pos="1702"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0"/>
          <w:szCs w:val="20"/>
          <w:color w:val="auto"/>
        </w:rPr>
      </w:pPr>
    </w:p>
    <w:p>
      <w:pPr>
        <w:jc w:val="both"/>
        <w:ind w:left="660" w:firstLine="644"/>
        <w:spacing w:after="0" w:line="243" w:lineRule="auto"/>
        <w:tabs>
          <w:tab w:leader="none" w:pos="1743"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Designated Borrowers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56"/>
        <w:spacing w:after="0" w:line="250" w:lineRule="auto"/>
        <w:tabs>
          <w:tab w:leader="none" w:pos="1061" w:val="left"/>
        </w:tabs>
        <w:numPr>
          <w:ilvl w:val="0"/>
          <w:numId w:val="71"/>
        </w:numPr>
        <w:rPr>
          <w:rFonts w:ascii="Arial" w:cs="Arial" w:eastAsia="Arial" w:hAnsi="Arial"/>
          <w:sz w:val="20"/>
          <w:szCs w:val="20"/>
          <w:color w:val="auto"/>
        </w:rPr>
      </w:pPr>
      <w:r>
        <w:rPr>
          <w:rFonts w:ascii="Arial" w:cs="Arial" w:eastAsia="Arial" w:hAnsi="Arial"/>
          <w:sz w:val="20"/>
          <w:szCs w:val="20"/>
          <w:color w:val="auto"/>
        </w:rPr>
        <w:t>Effective as of the Closing Date, each of Brady Worldwide, Inc., a Wisconsin corporation (“</w:t>
      </w:r>
      <w:r>
        <w:rPr>
          <w:rFonts w:ascii="Arial" w:cs="Arial" w:eastAsia="Arial" w:hAnsi="Arial"/>
          <w:sz w:val="20"/>
          <w:szCs w:val="20"/>
          <w:u w:val="single" w:color="auto"/>
          <w:color w:val="auto"/>
        </w:rPr>
        <w:t>Worldwide</w:t>
      </w:r>
      <w:r>
        <w:rPr>
          <w:rFonts w:ascii="Arial" w:cs="Arial" w:eastAsia="Arial" w:hAnsi="Arial"/>
          <w:sz w:val="20"/>
          <w:szCs w:val="20"/>
          <w:color w:val="auto"/>
        </w:rPr>
        <w:t>”), Tricor Direct, Inc., a Delaware corporation (“</w:t>
      </w:r>
      <w:r>
        <w:rPr>
          <w:rFonts w:ascii="Arial" w:cs="Arial" w:eastAsia="Arial" w:hAnsi="Arial"/>
          <w:sz w:val="20"/>
          <w:szCs w:val="20"/>
          <w:u w:val="single" w:color="auto"/>
          <w:color w:val="auto"/>
        </w:rPr>
        <w:t>Tricor</w:t>
      </w:r>
      <w:r>
        <w:rPr>
          <w:rFonts w:ascii="Arial" w:cs="Arial" w:eastAsia="Arial" w:hAnsi="Arial"/>
          <w:sz w:val="20"/>
          <w:szCs w:val="20"/>
          <w:color w:val="auto"/>
        </w:rPr>
        <w:t>”), Brady Finance Luxembourg and Brady SARL shall be a “Designated Borrower” hereunder and may receive Loans for its account on the terms and conditions set forth in this Agreement.</w:t>
      </w:r>
    </w:p>
    <w:p>
      <w:pPr>
        <w:spacing w:after="0" w:line="185" w:lineRule="exact"/>
        <w:rPr>
          <w:rFonts w:ascii="Arial" w:cs="Arial" w:eastAsia="Arial" w:hAnsi="Arial"/>
          <w:sz w:val="20"/>
          <w:szCs w:val="20"/>
          <w:color w:val="auto"/>
        </w:rPr>
      </w:pPr>
    </w:p>
    <w:p>
      <w:pPr>
        <w:jc w:val="both"/>
        <w:ind w:firstLine="656"/>
        <w:spacing w:after="0" w:line="257" w:lineRule="auto"/>
        <w:tabs>
          <w:tab w:leader="none" w:pos="1058"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Arial" w:cs="Arial" w:eastAsia="Arial" w:hAnsi="Arial"/>
          <w:sz w:val="19"/>
          <w:szCs w:val="19"/>
          <w:u w:val="single" w:color="auto"/>
          <w:color w:val="auto"/>
        </w:rPr>
        <w:t>Applicant Borrower</w:t>
      </w:r>
      <w:r>
        <w:rPr>
          <w:rFonts w:ascii="Arial" w:cs="Arial" w:eastAsia="Arial" w:hAnsi="Arial"/>
          <w:sz w:val="19"/>
          <w:szCs w:val="19"/>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Arial" w:cs="Arial" w:eastAsia="Arial" w:hAnsi="Arial"/>
          <w:sz w:val="19"/>
          <w:szCs w:val="19"/>
          <w:u w:val="single" w:color="auto"/>
          <w:color w:val="auto"/>
        </w:rPr>
        <w:t>Exhibit 2.14(a)</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Designated Borrower Request</w:t>
      </w:r>
      <w:r>
        <w:rPr>
          <w:rFonts w:ascii="Arial" w:cs="Arial" w:eastAsia="Arial" w:hAnsi="Arial"/>
          <w:sz w:val="19"/>
          <w:szCs w:val="19"/>
          <w:color w:val="auto"/>
        </w:rPr>
        <w:t>”). If (i) in the case of a Foreign Subsidiary, the Administrative Agent and the Lenders, and (ii) in the case of a Domestic Subsidiary, the Administrative Agent and the Required Lenders, agree (which agreement shall not be unreasonably withheld or delayed) that an Applicant Borrower shall be entitled to receive Loans hereunder, then the Administrative Agent and the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19" w:right="33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18"/>
          <w:szCs w:val="18"/>
          <w:color w:val="auto"/>
        </w:rPr>
        <w:t xml:space="preserve">the Required Lenders, as applicable, shall send an agreement in substantially the form of </w:t>
      </w:r>
      <w:r>
        <w:rPr>
          <w:rFonts w:ascii="Arial" w:cs="Arial" w:eastAsia="Arial" w:hAnsi="Arial"/>
          <w:sz w:val="18"/>
          <w:szCs w:val="18"/>
          <w:u w:val="single" w:color="auto"/>
          <w:color w:val="auto"/>
        </w:rPr>
        <w:t>Exhibit 2.14(b)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Joinder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facility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74" w:lineRule="exact"/>
        <w:rPr>
          <w:sz w:val="20"/>
          <w:szCs w:val="20"/>
          <w:color w:val="auto"/>
        </w:rPr>
      </w:pPr>
    </w:p>
    <w:p>
      <w:pPr>
        <w:ind w:firstLine="656"/>
        <w:spacing w:after="0" w:line="260" w:lineRule="auto"/>
        <w:tabs>
          <w:tab w:leader="none" w:pos="1129"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Obligations of the Domestic Borrowers shall be joint and several in nature. The Obligations of each of the Designated Borrowers that is a Foreign Subsidiary shall be several in nature.</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085"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Each Subsidiary of the Company that is or becomes a “Designated Borrower”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communication is directed to a specific Designated Borrower, it shall indicate to which Designated Borrower it is directed.</w:t>
      </w:r>
    </w:p>
    <w:p>
      <w:pPr>
        <w:spacing w:after="0" w:line="186" w:lineRule="exact"/>
        <w:rPr>
          <w:rFonts w:ascii="Arial" w:cs="Arial" w:eastAsia="Arial" w:hAnsi="Arial"/>
          <w:sz w:val="19"/>
          <w:szCs w:val="19"/>
          <w:color w:val="auto"/>
        </w:rPr>
      </w:pPr>
    </w:p>
    <w:p>
      <w:pPr>
        <w:jc w:val="both"/>
        <w:ind w:firstLine="656"/>
        <w:spacing w:after="0" w:line="257" w:lineRule="auto"/>
        <w:tabs>
          <w:tab w:leader="none" w:pos="108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3" w:lineRule="auto"/>
        <w:tabs>
          <w:tab w:leader="none" w:pos="108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xml:space="preserve"> or (iv) there shall exist a Defaulting Lender, the applicable Borrower shall immediately (in the case of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19" w:right="339" w:bottom="1440" w:gutter="0" w:footer="0" w:header="0"/>
        </w:sectPr>
      </w:pPr>
    </w:p>
    <w:bookmarkStart w:id="86" w:name="page87"/>
    <w:bookmarkEnd w:id="86"/>
    <w:p>
      <w:pPr>
        <w:jc w:val="both"/>
        <w:ind w:firstLine="8"/>
        <w:spacing w:after="0" w:line="291" w:lineRule="auto"/>
        <w:tabs>
          <w:tab w:leader="none" w:pos="3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and any Cash Collateral provided by the Defaulting Lender).</w:t>
      </w:r>
    </w:p>
    <w:p>
      <w:pPr>
        <w:spacing w:after="0" w:line="151" w:lineRule="exact"/>
        <w:rPr>
          <w:rFonts w:ascii="Arial" w:cs="Arial" w:eastAsia="Arial" w:hAnsi="Arial"/>
          <w:sz w:val="18"/>
          <w:szCs w:val="18"/>
          <w:color w:val="auto"/>
        </w:rPr>
      </w:pPr>
    </w:p>
    <w:p>
      <w:pPr>
        <w:jc w:val="both"/>
        <w:ind w:firstLine="656"/>
        <w:spacing w:after="0" w:line="255" w:lineRule="auto"/>
        <w:tabs>
          <w:tab w:leader="none" w:pos="105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7.08(h)</w:t>
      </w:r>
      <w:r>
        <w:rPr>
          <w:rFonts w:ascii="Arial" w:cs="Arial" w:eastAsia="Arial" w:hAnsi="Arial"/>
          <w:sz w:val="19"/>
          <w:szCs w:val="19"/>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BMO.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81" w:lineRule="exact"/>
        <w:rPr>
          <w:rFonts w:ascii="Arial" w:cs="Arial" w:eastAsia="Arial" w:hAnsi="Arial"/>
          <w:sz w:val="19"/>
          <w:szCs w:val="19"/>
          <w:color w:val="auto"/>
        </w:rPr>
      </w:pPr>
    </w:p>
    <w:p>
      <w:pPr>
        <w:jc w:val="both"/>
        <w:ind w:firstLine="656"/>
        <w:spacing w:after="0" w:line="244" w:lineRule="auto"/>
        <w:tabs>
          <w:tab w:leader="none" w:pos="1075"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4" w:lineRule="exact"/>
        <w:rPr>
          <w:rFonts w:ascii="Arial" w:cs="Arial" w:eastAsia="Arial" w:hAnsi="Arial"/>
          <w:sz w:val="20"/>
          <w:szCs w:val="20"/>
          <w:color w:val="auto"/>
        </w:rPr>
      </w:pPr>
    </w:p>
    <w:p>
      <w:pPr>
        <w:jc w:val="both"/>
        <w:ind w:firstLine="656"/>
        <w:spacing w:after="0" w:line="242" w:lineRule="auto"/>
        <w:tabs>
          <w:tab w:leader="none" w:pos="1234"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0"/>
          <w:szCs w:val="20"/>
          <w:u w:val="single" w:color="auto"/>
          <w:color w:val="auto"/>
        </w:rPr>
        <w:t>Section 11.06(b)(vi))</w:t>
      </w:r>
      <w:r>
        <w:rPr>
          <w:rFonts w:ascii="Arial" w:cs="Arial" w:eastAsia="Arial" w:hAnsi="Arial"/>
          <w:sz w:val="20"/>
          <w:szCs w:val="20"/>
          <w:color w:val="auto"/>
        </w:rPr>
        <w:t xml:space="preserve">) or (ii) the good faith determination by the Administrative Agent and, to the extent the Cash Collateral was provided for the benefit of the L/C Issuer, the L/C Issuer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4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19" w:right="339" w:bottom="1440" w:gutter="0" w:footer="0" w:header="0"/>
        </w:sectPr>
      </w:pPr>
    </w:p>
    <w:bookmarkStart w:id="87" w:name="page88"/>
    <w:bookmarkEnd w:id="87"/>
    <w:p>
      <w:pPr>
        <w:ind w:left="-460" w:firstLine="644"/>
        <w:spacing w:after="0" w:line="316" w:lineRule="auto"/>
        <w:tabs>
          <w:tab w:leader="none" w:pos="5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460" w:firstLine="644"/>
        <w:spacing w:after="0" w:line="268"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the L/C Issuer or Swing 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71" w:lineRule="exact"/>
        <w:rPr>
          <w:rFonts w:ascii="Arial" w:cs="Arial" w:eastAsia="Arial" w:hAnsi="Arial"/>
          <w:sz w:val="18"/>
          <w:szCs w:val="18"/>
          <w:color w:val="auto"/>
        </w:rPr>
      </w:pPr>
    </w:p>
    <w:p>
      <w:pPr>
        <w:ind w:left="660" w:hanging="476"/>
        <w:spacing w:after="0"/>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0" w:firstLine="652"/>
        <w:spacing w:after="0" w:line="250" w:lineRule="auto"/>
        <w:tabs>
          <w:tab w:leader="none" w:pos="1310"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20"/>
          </w:cols>
          <w:pgMar w:left="1440" w:top="1419" w:right="339" w:bottom="1440" w:gutter="0" w:footer="0" w:header="0"/>
        </w:sectPr>
      </w:pPr>
    </w:p>
    <w:bookmarkStart w:id="88" w:name="page89"/>
    <w:bookmarkEnd w:id="88"/>
    <w:p>
      <w:pPr>
        <w:jc w:val="both"/>
        <w:ind w:left="1300" w:right="20" w:firstLine="652"/>
        <w:spacing w:after="0" w:line="250" w:lineRule="auto"/>
        <w:tabs>
          <w:tab w:leader="none" w:pos="2486"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1300" w:firstLine="652"/>
        <w:spacing w:after="0" w:line="259" w:lineRule="auto"/>
        <w:tabs>
          <w:tab w:leader="none" w:pos="2392"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78" w:lineRule="exact"/>
        <w:rPr>
          <w:rFonts w:ascii="Arial" w:cs="Arial" w:eastAsia="Arial" w:hAnsi="Arial"/>
          <w:sz w:val="19"/>
          <w:szCs w:val="19"/>
          <w:color w:val="auto"/>
        </w:rPr>
      </w:pPr>
    </w:p>
    <w:p>
      <w:pPr>
        <w:jc w:val="both"/>
        <w:ind w:firstLine="656"/>
        <w:spacing w:after="0" w:line="272" w:lineRule="auto"/>
        <w:tabs>
          <w:tab w:leader="none" w:pos="10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Reallocation of Pro Rata Shares to Reduce Fronting Exposure</w:t>
      </w:r>
      <w:r>
        <w:rPr>
          <w:rFonts w:ascii="Arial" w:cs="Arial" w:eastAsia="Arial" w:hAnsi="Arial"/>
          <w:sz w:val="18"/>
          <w:szCs w:val="18"/>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0" w:lineRule="exact"/>
        <w:rPr>
          <w:rFonts w:ascii="Arial" w:cs="Arial" w:eastAsia="Arial" w:hAnsi="Arial"/>
          <w:sz w:val="18"/>
          <w:szCs w:val="18"/>
          <w:color w:val="auto"/>
        </w:rPr>
      </w:pPr>
    </w:p>
    <w:p>
      <w:pPr>
        <w:jc w:val="both"/>
        <w:ind w:firstLine="656"/>
        <w:spacing w:after="0" w:line="246" w:lineRule="auto"/>
        <w:tabs>
          <w:tab w:leader="none" w:pos="104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 Line Loans</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cannot, or can only partially, be effected, the Borrowers shall, without prejudice to any right or remedy available to it hereunder or under applicable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 Line Loans in an amount equal to the Swing 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L/C Issuers’ Fronting Exposure in accordance with the procedures set forth in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308" w:lineRule="auto"/>
        <w:tabs>
          <w:tab w:leader="none" w:pos="111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as to such Lender),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19" w:right="339" w:bottom="1440" w:gutter="0" w:footer="0" w:header="0"/>
        </w:sectPr>
      </w:pPr>
    </w:p>
    <w:bookmarkStart w:id="89" w:name="page90"/>
    <w:bookmarkEnd w:id="89"/>
    <w:p>
      <w:pPr>
        <w:spacing w:after="0" w:line="260" w:lineRule="auto"/>
        <w:rPr>
          <w:sz w:val="20"/>
          <w:szCs w:val="20"/>
          <w:color w:val="auto"/>
        </w:rPr>
      </w:pPr>
      <w:r>
        <w:rPr>
          <w:rFonts w:ascii="Arial" w:cs="Arial" w:eastAsia="Arial" w:hAnsi="Arial"/>
          <w:sz w:val="20"/>
          <w:szCs w:val="20"/>
          <w:color w:val="auto"/>
        </w:rPr>
        <w:t>Defaulting Lender to Lender will constitute a waiver or release of any claim of any party hereunder arising from that Lender having been a Defaulting Lender.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8" w:lineRule="auto"/>
        <w:tabs>
          <w:tab w:leader="none" w:pos="106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Requests for Extension</w:t>
      </w:r>
      <w:r>
        <w:rPr>
          <w:rFonts w:ascii="Arial" w:cs="Arial" w:eastAsia="Arial" w:hAnsi="Arial"/>
          <w:sz w:val="18"/>
          <w:szCs w:val="18"/>
          <w:color w:val="auto"/>
        </w:rPr>
        <w:t>. The Company may, no more than one (1) time during the term of this Agreement, by delivering written notice (an “</w:t>
      </w:r>
      <w:r>
        <w:rPr>
          <w:rFonts w:ascii="Arial" w:cs="Arial" w:eastAsia="Arial" w:hAnsi="Arial"/>
          <w:sz w:val="18"/>
          <w:szCs w:val="18"/>
          <w:u w:val="single" w:color="auto"/>
          <w:color w:val="auto"/>
        </w:rPr>
        <w:t>Extension Request</w:t>
      </w:r>
      <w:r>
        <w:rPr>
          <w:rFonts w:ascii="Arial" w:cs="Arial" w:eastAsia="Arial" w:hAnsi="Arial"/>
          <w:sz w:val="18"/>
          <w:szCs w:val="18"/>
          <w:color w:val="auto"/>
        </w:rPr>
        <w:t>”) to the Administrative Agent (who shall promptly notify the Lenders) no earlier than the second anniversary of the Closing Date and not later than 45 days prior to the Maturity Date then in effect hereunder (the “</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request that each Lender extend such Lender’s Maturity Date for an additional one-year period from the Existing Maturity Date. Subject to the provisions in this Section 2.17, such extension shall become effective on the date specified in the Extension Request (such date, the “</w:t>
      </w:r>
      <w:r>
        <w:rPr>
          <w:rFonts w:ascii="Arial" w:cs="Arial" w:eastAsia="Arial" w:hAnsi="Arial"/>
          <w:sz w:val="18"/>
          <w:szCs w:val="18"/>
          <w:u w:val="single" w:color="auto"/>
          <w:color w:val="auto"/>
        </w:rPr>
        <w:t>Extension Date</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656"/>
        <w:spacing w:after="0" w:line="259" w:lineRule="auto"/>
        <w:tabs>
          <w:tab w:leader="none" w:pos="124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Lender Elections to Extend</w:t>
      </w:r>
      <w:r>
        <w:rPr>
          <w:rFonts w:ascii="Arial" w:cs="Arial" w:eastAsia="Arial" w:hAnsi="Arial"/>
          <w:sz w:val="19"/>
          <w:szCs w:val="19"/>
          <w:color w:val="auto"/>
        </w:rPr>
        <w:t>. Each Lender, acting in its sole and individual discretion, shall, by written notice to the Administrative Agent given not later than 21 days (the “</w:t>
      </w:r>
      <w:r>
        <w:rPr>
          <w:rFonts w:ascii="Arial" w:cs="Arial" w:eastAsia="Arial" w:hAnsi="Arial"/>
          <w:sz w:val="19"/>
          <w:szCs w:val="19"/>
          <w:u w:val="single" w:color="auto"/>
          <w:color w:val="auto"/>
        </w:rPr>
        <w:t>Notice Date</w:t>
      </w:r>
      <w:r>
        <w:rPr>
          <w:rFonts w:ascii="Arial" w:cs="Arial" w:eastAsia="Arial" w:hAnsi="Arial"/>
          <w:sz w:val="19"/>
          <w:szCs w:val="19"/>
          <w:color w:val="auto"/>
        </w:rPr>
        <w:t>”) after the date of the Company’s notice, advise the Administrative Agent whether or not such Lender agrees to such extension, and each Lender that determines not to so extend its Maturity Date (a “</w:t>
      </w:r>
      <w:r>
        <w:rPr>
          <w:rFonts w:ascii="Arial" w:cs="Arial" w:eastAsia="Arial" w:hAnsi="Arial"/>
          <w:sz w:val="19"/>
          <w:szCs w:val="19"/>
          <w:u w:val="single" w:color="auto"/>
          <w:color w:val="auto"/>
        </w:rPr>
        <w:t>Non-Extending Lender</w:t>
      </w:r>
      <w:r>
        <w:rPr>
          <w:rFonts w:ascii="Arial" w:cs="Arial" w:eastAsia="Arial" w:hAnsi="Arial"/>
          <w:sz w:val="19"/>
          <w:szCs w:val="19"/>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78" w:lineRule="exact"/>
        <w:rPr>
          <w:rFonts w:ascii="Arial" w:cs="Arial" w:eastAsia="Arial" w:hAnsi="Arial"/>
          <w:sz w:val="19"/>
          <w:szCs w:val="19"/>
          <w:color w:val="auto"/>
        </w:rPr>
      </w:pPr>
    </w:p>
    <w:p>
      <w:pPr>
        <w:jc w:val="both"/>
        <w:ind w:right="20" w:firstLine="656"/>
        <w:spacing w:after="0" w:line="250" w:lineRule="auto"/>
        <w:tabs>
          <w:tab w:leader="none" w:pos="114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Notification by Administrative Agent</w:t>
      </w:r>
      <w:r>
        <w:rPr>
          <w:rFonts w:ascii="Arial" w:cs="Arial" w:eastAsia="Arial" w:hAnsi="Arial"/>
          <w:sz w:val="20"/>
          <w:szCs w:val="20"/>
          <w:color w:val="auto"/>
        </w:rPr>
        <w:t>. The Administrative Agent shall notify the Company of each Lender’s determination under this Section no later than 5 days after the Notice Date (or, if such date is not a Business Day, on the immediately preceding Business Day).</w:t>
      </w:r>
    </w:p>
    <w:p>
      <w:pPr>
        <w:spacing w:after="0" w:line="185" w:lineRule="exact"/>
        <w:rPr>
          <w:rFonts w:ascii="Arial" w:cs="Arial" w:eastAsia="Arial" w:hAnsi="Arial"/>
          <w:sz w:val="20"/>
          <w:szCs w:val="20"/>
          <w:color w:val="auto"/>
        </w:rPr>
      </w:pPr>
    </w:p>
    <w:p>
      <w:pPr>
        <w:jc w:val="both"/>
        <w:ind w:firstLine="656"/>
        <w:spacing w:after="0" w:line="256" w:lineRule="auto"/>
        <w:tabs>
          <w:tab w:leader="none" w:pos="115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Additional Commitment Lenders</w:t>
      </w:r>
      <w:r>
        <w:rPr>
          <w:rFonts w:ascii="Arial" w:cs="Arial" w:eastAsia="Arial" w:hAnsi="Arial"/>
          <w:sz w:val="19"/>
          <w:szCs w:val="19"/>
          <w:color w:val="auto"/>
        </w:rPr>
        <w:t>. The Company shall have the right on or before the Extension Date to replace any Non-Extending Lender with, and add as “Lenders” under this Agreement in place thereof, one or more Eligible Assignees and/or one or more existing Lenders (each, an “</w:t>
      </w:r>
      <w:r>
        <w:rPr>
          <w:rFonts w:ascii="Arial" w:cs="Arial" w:eastAsia="Arial" w:hAnsi="Arial"/>
          <w:sz w:val="19"/>
          <w:szCs w:val="19"/>
          <w:u w:val="single" w:color="auto"/>
          <w:color w:val="auto"/>
        </w:rPr>
        <w:t>Additional Commitment Lender</w:t>
      </w:r>
      <w:r>
        <w:rPr>
          <w:rFonts w:ascii="Arial" w:cs="Arial" w:eastAsia="Arial" w:hAnsi="Arial"/>
          <w:sz w:val="19"/>
          <w:szCs w:val="19"/>
          <w:color w:val="auto"/>
        </w:rPr>
        <w:t xml:space="preserve">”) as provided in </w:t>
      </w:r>
      <w:r>
        <w:rPr>
          <w:rFonts w:ascii="Arial" w:cs="Arial" w:eastAsia="Arial" w:hAnsi="Arial"/>
          <w:sz w:val="19"/>
          <w:szCs w:val="19"/>
          <w:u w:val="single" w:color="auto"/>
          <w:color w:val="auto"/>
        </w:rPr>
        <w:t>Section 11.06</w:t>
      </w:r>
      <w:r>
        <w:rPr>
          <w:rFonts w:ascii="Arial" w:cs="Arial" w:eastAsia="Arial" w:hAnsi="Arial"/>
          <w:sz w:val="19"/>
          <w:szCs w:val="19"/>
          <w:color w:val="auto"/>
        </w:rPr>
        <w:t>, each of which Additional Commitment Lenders shall have entered into an Assignment and Assumption with such Non-Extending Lender pursuant to which such Additional Commitment Lender shall, effective as of the Extension Date, undertake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to become an Extending Lender, provided that the Company consents thereto in writing in its sole discretion.</w:t>
      </w:r>
    </w:p>
    <w:p>
      <w:pPr>
        <w:spacing w:after="0" w:line="184" w:lineRule="exact"/>
        <w:rPr>
          <w:rFonts w:ascii="Arial" w:cs="Arial" w:eastAsia="Arial" w:hAnsi="Arial"/>
          <w:sz w:val="19"/>
          <w:szCs w:val="19"/>
          <w:color w:val="auto"/>
        </w:rPr>
      </w:pPr>
    </w:p>
    <w:p>
      <w:pPr>
        <w:jc w:val="both"/>
        <w:ind w:firstLine="656"/>
        <w:spacing w:after="0" w:line="243" w:lineRule="auto"/>
        <w:tabs>
          <w:tab w:leader="none" w:pos="108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Minimum Extension Requirement</w:t>
      </w:r>
      <w:r>
        <w:rPr>
          <w:rFonts w:ascii="Arial" w:cs="Arial" w:eastAsia="Arial" w:hAnsi="Arial"/>
          <w:sz w:val="20"/>
          <w:szCs w:val="20"/>
          <w:color w:val="auto"/>
        </w:rPr>
        <w:t>. If (and only if) the total of the Commitments of the Lenders that have agreed so to extend their Existing Maturity Date (each, an “</w:t>
      </w:r>
      <w:r>
        <w:rPr>
          <w:rFonts w:ascii="Arial" w:cs="Arial" w:eastAsia="Arial" w:hAnsi="Arial"/>
          <w:sz w:val="20"/>
          <w:szCs w:val="20"/>
          <w:u w:val="single" w:color="auto"/>
          <w:color w:val="auto"/>
        </w:rPr>
        <w:t>Extending Lender</w:t>
      </w:r>
      <w:r>
        <w:rPr>
          <w:rFonts w:ascii="Arial" w:cs="Arial" w:eastAsia="Arial" w:hAnsi="Arial"/>
          <w:sz w:val="20"/>
          <w:szCs w:val="20"/>
          <w:color w:val="auto"/>
        </w:rPr>
        <w:t>”) and the additional Commitments of the Additional Commitment Lenders shall be more than 50% of the aggregate amount of the Commitments in effect immediately prior to the Extension Date, then, effective as of the Extension Date, the Maturity Date of each Extending Lender and of each Additional Commitment Lender shall be extended to the date falling one year after the Existing Maturity Date (except that, if such date is not a Business Day, such Maturity Date as so extended shall be the immediately preceding Business Day) and each Additional Commitment Lender (if it is not already a Lender) shall thereupon become a “Lender”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19" w:right="339" w:bottom="1440" w:gutter="0" w:footer="0" w:header="0"/>
        </w:sectPr>
      </w:pPr>
    </w:p>
    <w:bookmarkStart w:id="90" w:name="page91"/>
    <w:bookmarkEnd w:id="90"/>
    <w:p>
      <w:pPr>
        <w:ind w:firstLine="656"/>
        <w:spacing w:after="0" w:line="260" w:lineRule="auto"/>
        <w:tabs>
          <w:tab w:leader="none" w:pos="108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Extensions</w:t>
      </w:r>
      <w:r>
        <w:rPr>
          <w:rFonts w:ascii="Arial" w:cs="Arial" w:eastAsia="Arial" w:hAnsi="Arial"/>
          <w:sz w:val="20"/>
          <w:szCs w:val="20"/>
          <w:color w:val="auto"/>
        </w:rPr>
        <w:t>. Notwithstanding the foregoing, the extension of the Maturity Date pursuant to this Section shall not be effective with respect to any Lender unless:</w:t>
      </w:r>
    </w:p>
    <w:p>
      <w:pPr>
        <w:spacing w:after="0" w:line="176" w:lineRule="exact"/>
        <w:rPr>
          <w:rFonts w:ascii="Arial" w:cs="Arial" w:eastAsia="Arial" w:hAnsi="Arial"/>
          <w:sz w:val="20"/>
          <w:szCs w:val="20"/>
          <w:color w:val="auto"/>
        </w:rPr>
      </w:pPr>
    </w:p>
    <w:p>
      <w:pPr>
        <w:jc w:val="both"/>
        <w:ind w:left="660" w:firstLine="644"/>
        <w:spacing w:after="0" w:line="302" w:lineRule="auto"/>
        <w:tabs>
          <w:tab w:leader="none" w:pos="1688"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a certificate of the Company dated as of the Extension Date signed by a Responsible Officer of the Company certifying that, before and after giving effect to such extension, (1) the representations and warranties of the Loan Parties contained in this Agreement and the other Loan Documents are true and correct in all material respects on and as of the Extension Date as if made on and as of such date (or, if any such representation or warranty is expressly stated to have been made as of a specific date, as of such specific date), and except that, for purposes of this Section, the representations and warranties contained in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and</w:t>
      </w:r>
    </w:p>
    <w:p>
      <w:pPr>
        <w:spacing w:after="0" w:line="3" w:lineRule="exact"/>
        <w:rPr>
          <w:rFonts w:ascii="Arial" w:cs="Arial" w:eastAsia="Arial" w:hAnsi="Arial"/>
          <w:sz w:val="16"/>
          <w:szCs w:val="16"/>
          <w:color w:val="auto"/>
        </w:rPr>
      </w:pPr>
    </w:p>
    <w:p>
      <w:pPr>
        <w:jc w:val="both"/>
        <w:ind w:left="660"/>
        <w:spacing w:after="0" w:line="241" w:lineRule="auto"/>
        <w:rPr>
          <w:rFonts w:ascii="Arial" w:cs="Arial" w:eastAsia="Arial" w:hAnsi="Arial"/>
          <w:sz w:val="16"/>
          <w:szCs w:val="16"/>
          <w:color w:val="auto"/>
        </w:rPr>
      </w:pPr>
      <w:r>
        <w:rPr>
          <w:rFonts w:ascii="Arial" w:cs="Arial" w:eastAsia="Arial" w:hAnsi="Arial"/>
          <w:sz w:val="20"/>
          <w:szCs w:val="20"/>
          <w:color w:val="auto"/>
        </w:rPr>
        <w:t>(2) no Default has occurred and is continuing; (B) a duly executed Assignment and Assumption referred to in paragraph (d) of this Section from each Additional Commitment Lender; and (C) such other information or documentation as the Administrative Agent may reasonably request; and</w:t>
      </w:r>
    </w:p>
    <w:p>
      <w:pPr>
        <w:spacing w:after="0" w:line="195" w:lineRule="exact"/>
        <w:rPr>
          <w:rFonts w:ascii="Arial" w:cs="Arial" w:eastAsia="Arial" w:hAnsi="Arial"/>
          <w:sz w:val="16"/>
          <w:szCs w:val="16"/>
          <w:color w:val="auto"/>
        </w:rPr>
      </w:pPr>
    </w:p>
    <w:p>
      <w:pPr>
        <w:jc w:val="both"/>
        <w:ind w:left="660" w:firstLine="644"/>
        <w:spacing w:after="0" w:line="250" w:lineRule="auto"/>
        <w:tabs>
          <w:tab w:leader="none" w:pos="1797" w:val="left"/>
        </w:tabs>
        <w:numPr>
          <w:ilvl w:val="1"/>
          <w:numId w:val="80"/>
        </w:numPr>
        <w:rPr>
          <w:rFonts w:ascii="Arial" w:cs="Arial" w:eastAsia="Arial" w:hAnsi="Arial"/>
          <w:sz w:val="20"/>
          <w:szCs w:val="20"/>
          <w:color w:val="auto"/>
        </w:rPr>
      </w:pPr>
      <w:r>
        <w:rPr>
          <w:rFonts w:ascii="Arial" w:cs="Arial" w:eastAsia="Arial" w:hAnsi="Arial"/>
          <w:sz w:val="20"/>
          <w:szCs w:val="20"/>
          <w:color w:val="auto"/>
        </w:rPr>
        <w:t>on or before the Extension Date, (1) the Borrowers shall have paid in full the principal of and interest on all of the Loans made by each Non-Extending Lender to them hereunder and (2) the Borrowers shall have paid in full all other amounts owing to such Non-Extending Lender hereunder.</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9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Amendment; Sharing of Payments</w:t>
      </w:r>
      <w:r>
        <w:rPr>
          <w:rFonts w:ascii="Arial" w:cs="Arial" w:eastAsia="Arial" w:hAnsi="Arial"/>
          <w:sz w:val="20"/>
          <w:szCs w:val="20"/>
          <w:color w:val="auto"/>
        </w:rPr>
        <w:t xml:space="preserve">. In connection with any extension of the Maturity Date, the Borrowers, the Administrative Agent and each Extending Lender may make such amendments to this Agreement as the Administrative Agent determines to be reasonably necessary to evidence the extension. This Section shall supersede </w:t>
      </w:r>
      <w:r>
        <w:rPr>
          <w:rFonts w:ascii="Arial" w:cs="Arial" w:eastAsia="Arial" w:hAnsi="Arial"/>
          <w:sz w:val="20"/>
          <w:szCs w:val="20"/>
          <w:u w:val="single" w:color="auto"/>
          <w:color w:val="auto"/>
        </w:rPr>
        <w:t>Sections 11.01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78" w:lineRule="auto"/>
        <w:tabs>
          <w:tab w:leader="none" w:pos="1715"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64" w:lineRule="exact"/>
        <w:rPr>
          <w:rFonts w:ascii="Arial" w:cs="Arial" w:eastAsia="Arial" w:hAnsi="Arial"/>
          <w:sz w:val="18"/>
          <w:szCs w:val="18"/>
          <w:color w:val="auto"/>
        </w:rPr>
      </w:pPr>
    </w:p>
    <w:p>
      <w:pPr>
        <w:jc w:val="both"/>
        <w:ind w:left="660" w:firstLine="644"/>
        <w:spacing w:after="0" w:line="269" w:lineRule="auto"/>
        <w:tabs>
          <w:tab w:leader="none" w:pos="17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Administrative Agent shall timely pay the full amount withheld or deducted to the relevant Governmental Authority in accordance with the Internal Revenue Code, and</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 to the extent that the withholding or deduction is made on account of Indemnified Taxes,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19" w:right="339" w:bottom="1440" w:gutter="0" w:footer="0" w:header="0"/>
        </w:sectPr>
      </w:pPr>
    </w:p>
    <w:bookmarkStart w:id="91" w:name="page92"/>
    <w:bookmarkEnd w:id="91"/>
    <w:p>
      <w:pPr>
        <w:jc w:val="both"/>
        <w:ind w:left="660"/>
        <w:spacing w:after="0" w:line="269" w:lineRule="auto"/>
        <w:rPr>
          <w:sz w:val="20"/>
          <w:szCs w:val="20"/>
          <w:color w:val="auto"/>
        </w:rPr>
      </w:pPr>
      <w:r>
        <w:rPr>
          <w:rFonts w:ascii="Arial" w:cs="Arial" w:eastAsia="Arial" w:hAnsi="Arial"/>
          <w:sz w:val="19"/>
          <w:szCs w:val="19"/>
          <w:color w:val="auto"/>
        </w:rPr>
        <w:t xml:space="preserve">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70" w:lineRule="exact"/>
        <w:rPr>
          <w:sz w:val="20"/>
          <w:szCs w:val="20"/>
          <w:color w:val="auto"/>
        </w:rPr>
      </w:pPr>
    </w:p>
    <w:p>
      <w:pPr>
        <w:jc w:val="both"/>
        <w:ind w:left="660" w:firstLine="644"/>
        <w:spacing w:after="0" w:line="272" w:lineRule="auto"/>
        <w:tabs>
          <w:tab w:leader="none" w:pos="19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12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jc w:val="both"/>
        <w:ind w:left="660" w:hanging="4"/>
        <w:spacing w:after="0" w:line="270"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(i) Without duplication of amounts paid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172" w:lineRule="exact"/>
        <w:rPr>
          <w:rFonts w:ascii="Arial" w:cs="Arial" w:eastAsia="Arial" w:hAnsi="Arial"/>
          <w:sz w:val="18"/>
          <w:szCs w:val="18"/>
          <w:color w:val="auto"/>
        </w:rPr>
      </w:pPr>
    </w:p>
    <w:p>
      <w:pPr>
        <w:jc w:val="both"/>
        <w:ind w:left="660" w:firstLine="644"/>
        <w:spacing w:after="0" w:line="278" w:lineRule="auto"/>
        <w:tabs>
          <w:tab w:leader="none" w:pos="1743"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19" w:right="339" w:bottom="1440" w:gutter="0" w:footer="0" w:header="0"/>
        </w:sectPr>
      </w:pPr>
    </w:p>
    <w:bookmarkStart w:id="92" w:name="page93"/>
    <w:bookmarkEnd w:id="92"/>
    <w:p>
      <w:pPr>
        <w:jc w:val="both"/>
        <w:ind w:left="660"/>
        <w:spacing w:after="0" w:line="257" w:lineRule="auto"/>
        <w:rPr>
          <w:sz w:val="20"/>
          <w:szCs w:val="20"/>
          <w:color w:val="auto"/>
        </w:rPr>
      </w:pPr>
      <w:r>
        <w:rPr>
          <w:rFonts w:ascii="Arial" w:cs="Arial" w:eastAsia="Arial" w:hAnsi="Arial"/>
          <w:sz w:val="19"/>
          <w:szCs w:val="19"/>
          <w:color w:val="auto"/>
        </w:rPr>
        <w:t xml:space="preserve">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w:t>
      </w:r>
    </w:p>
    <w:p>
      <w:pPr>
        <w:spacing w:after="0" w:line="180" w:lineRule="exact"/>
        <w:rPr>
          <w:sz w:val="20"/>
          <w:szCs w:val="20"/>
          <w:color w:val="auto"/>
        </w:rPr>
      </w:pPr>
    </w:p>
    <w:p>
      <w:pPr>
        <w:jc w:val="both"/>
        <w:ind w:firstLine="656"/>
        <w:spacing w:after="0" w:line="278" w:lineRule="auto"/>
        <w:tabs>
          <w:tab w:leader="none" w:pos="107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any Loan Party or the Administrative Agent, as the case may be, after any payment of Taxes by such Loan Party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64" w:lineRule="exact"/>
        <w:rPr>
          <w:rFonts w:ascii="Arial" w:cs="Arial" w:eastAsia="Arial" w:hAnsi="Arial"/>
          <w:sz w:val="18"/>
          <w:szCs w:val="18"/>
          <w:color w:val="auto"/>
        </w:rPr>
      </w:pPr>
    </w:p>
    <w:p>
      <w:pPr>
        <w:ind w:left="1060" w:hanging="404"/>
        <w:spacing w:after="0"/>
        <w:tabs>
          <w:tab w:leader="none" w:pos="106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4" w:lineRule="auto"/>
        <w:tabs>
          <w:tab w:leader="none" w:pos="1675"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3.01(e)(ii)(B)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3.01(e)(ii)(D)</w:t>
      </w:r>
      <w:r>
        <w:rPr>
          <w:rFonts w:ascii="Arial" w:cs="Arial" w:eastAsia="Arial" w:hAnsi="Arial"/>
          <w:sz w:val="19"/>
          <w:szCs w:val="19"/>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191" w:lineRule="exact"/>
        <w:rPr>
          <w:rFonts w:ascii="Arial" w:cs="Arial" w:eastAsia="Arial" w:hAnsi="Arial"/>
          <w:sz w:val="19"/>
          <w:szCs w:val="19"/>
          <w:color w:val="auto"/>
        </w:rPr>
      </w:pPr>
    </w:p>
    <w:p>
      <w:pPr>
        <w:ind w:left="1720" w:hanging="416"/>
        <w:spacing w:after="0"/>
        <w:tabs>
          <w:tab w:leader="none" w:pos="172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15" w:lineRule="exact"/>
        <w:rPr>
          <w:rFonts w:ascii="Arial" w:cs="Arial" w:eastAsia="Arial" w:hAnsi="Arial"/>
          <w:sz w:val="20"/>
          <w:szCs w:val="20"/>
          <w:color w:val="auto"/>
        </w:rPr>
      </w:pPr>
    </w:p>
    <w:p>
      <w:pPr>
        <w:jc w:val="both"/>
        <w:ind w:left="1300" w:firstLine="652"/>
        <w:spacing w:after="0" w:line="269" w:lineRule="auto"/>
        <w:tabs>
          <w:tab w:leader="none" w:pos="2416" w:val="left"/>
        </w:tabs>
        <w:numPr>
          <w:ilvl w:val="2"/>
          <w:numId w:val="84"/>
        </w:numPr>
        <w:rPr>
          <w:rFonts w:ascii="Arial" w:cs="Arial" w:eastAsia="Arial" w:hAnsi="Arial"/>
          <w:sz w:val="19"/>
          <w:szCs w:val="19"/>
          <w:color w:val="auto"/>
        </w:rPr>
      </w:pPr>
      <w:r>
        <w:rPr>
          <w:rFonts w:ascii="Arial" w:cs="Arial" w:eastAsia="Arial" w:hAnsi="Arial"/>
          <w:sz w:val="19"/>
          <w:szCs w:val="19"/>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19" w:right="339" w:bottom="1440" w:gutter="0" w:footer="0" w:header="0"/>
        </w:sectPr>
      </w:pPr>
    </w:p>
    <w:bookmarkStart w:id="93" w:name="page94"/>
    <w:bookmarkEnd w:id="93"/>
    <w:p>
      <w:pPr>
        <w:ind w:left="180"/>
        <w:spacing w:after="0" w:line="260" w:lineRule="auto"/>
        <w:rPr>
          <w:sz w:val="20"/>
          <w:szCs w:val="20"/>
          <w:color w:val="auto"/>
        </w:rPr>
      </w:pPr>
      <w:r>
        <w:rPr>
          <w:rFonts w:ascii="Arial" w:cs="Arial" w:eastAsia="Arial" w:hAnsi="Arial"/>
          <w:sz w:val="20"/>
          <w:szCs w:val="20"/>
          <w:color w:val="auto"/>
        </w:rPr>
        <w:t>such Borrower or the Administrative Agent), executed copies of IRS Form W-9 certifying that such Lender is exempt from U.S. federal backup withholding tax;</w:t>
      </w:r>
    </w:p>
    <w:p>
      <w:pPr>
        <w:spacing w:after="0" w:line="177" w:lineRule="exact"/>
        <w:rPr>
          <w:sz w:val="20"/>
          <w:szCs w:val="20"/>
          <w:color w:val="auto"/>
        </w:rPr>
      </w:pPr>
    </w:p>
    <w:p>
      <w:pPr>
        <w:jc w:val="both"/>
        <w:ind w:left="180" w:firstLine="652"/>
        <w:spacing w:after="0" w:line="246" w:lineRule="auto"/>
        <w:tabs>
          <w:tab w:leader="none" w:pos="1407"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840" w:firstLine="640"/>
        <w:spacing w:after="0" w:line="243" w:lineRule="auto"/>
        <w:tabs>
          <w:tab w:leader="none" w:pos="1898" w:val="left"/>
        </w:tabs>
        <w:numPr>
          <w:ilvl w:val="1"/>
          <w:numId w:val="85"/>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executed copies of IRS Form W-8BEN or W-8BEN-E, as applicable, establishing an exemption from, or reduction of, U.S. federal withholding Tax pursuant to the “business profits” or “other income” article of such tax treaty;</w:t>
      </w:r>
    </w:p>
    <w:p>
      <w:pPr>
        <w:spacing w:after="0" w:line="192" w:lineRule="exact"/>
        <w:rPr>
          <w:rFonts w:ascii="Arial" w:cs="Arial" w:eastAsia="Arial" w:hAnsi="Arial"/>
          <w:sz w:val="20"/>
          <w:szCs w:val="20"/>
          <w:color w:val="auto"/>
        </w:rPr>
      </w:pPr>
    </w:p>
    <w:p>
      <w:pPr>
        <w:ind w:left="1900" w:hanging="420"/>
        <w:spacing w:after="0"/>
        <w:tabs>
          <w:tab w:leader="none" w:pos="19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840" w:firstLine="640"/>
        <w:spacing w:after="0" w:line="276" w:lineRule="auto"/>
        <w:tabs>
          <w:tab w:leader="none" w:pos="1993"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8"/>
          <w:szCs w:val="18"/>
          <w:u w:val="single" w:color="auto"/>
          <w:color w:val="auto"/>
        </w:rPr>
        <w:t>Exhibit 3.01-A</w:t>
      </w:r>
      <w:r>
        <w:rPr>
          <w:rFonts w:ascii="Arial" w:cs="Arial" w:eastAsia="Arial" w:hAnsi="Arial"/>
          <w:sz w:val="18"/>
          <w:szCs w:val="18"/>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and (y) executed copies of IRS Form W-8BEN or W-8BEN-E, as applicable; or</w:t>
      </w:r>
    </w:p>
    <w:p>
      <w:pPr>
        <w:spacing w:after="0" w:line="164" w:lineRule="exact"/>
        <w:rPr>
          <w:rFonts w:ascii="Arial" w:cs="Arial" w:eastAsia="Arial" w:hAnsi="Arial"/>
          <w:sz w:val="18"/>
          <w:szCs w:val="18"/>
          <w:color w:val="auto"/>
        </w:rPr>
      </w:pPr>
    </w:p>
    <w:p>
      <w:pPr>
        <w:jc w:val="both"/>
        <w:ind w:left="840" w:firstLine="640"/>
        <w:spacing w:after="0" w:line="243" w:lineRule="auto"/>
        <w:tabs>
          <w:tab w:leader="none" w:pos="1993"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20"/>
          <w:szCs w:val="20"/>
          <w:u w:val="single" w:color="auto"/>
          <w:color w:val="auto"/>
        </w:rPr>
        <w:t>Exhibit 3.01-B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3.01-C</w:t>
      </w:r>
      <w:r>
        <w:rPr>
          <w:rFonts w:ascii="Arial" w:cs="Arial" w:eastAsia="Arial" w:hAnsi="Arial"/>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3.01-D</w:t>
      </w:r>
      <w:r>
        <w:rPr>
          <w:rFonts w:ascii="Arial" w:cs="Arial" w:eastAsia="Arial" w:hAnsi="Arial"/>
          <w:sz w:val="20"/>
          <w:szCs w:val="20"/>
          <w:color w:val="auto"/>
        </w:rPr>
        <w:t xml:space="preserve"> on behalf of each such direct and indirect partner;</w:t>
      </w:r>
    </w:p>
    <w:p>
      <w:pPr>
        <w:spacing w:after="0" w:line="192" w:lineRule="exact"/>
        <w:rPr>
          <w:rFonts w:ascii="Arial" w:cs="Arial" w:eastAsia="Arial" w:hAnsi="Arial"/>
          <w:sz w:val="20"/>
          <w:szCs w:val="20"/>
          <w:color w:val="auto"/>
        </w:rPr>
      </w:pPr>
    </w:p>
    <w:p>
      <w:pPr>
        <w:jc w:val="both"/>
        <w:ind w:left="180" w:firstLine="652"/>
        <w:spacing w:after="0" w:line="246" w:lineRule="auto"/>
        <w:tabs>
          <w:tab w:leader="none" w:pos="1407"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120"/>
          </w:cols>
          <w:pgMar w:left="1440" w:top="1419" w:right="339" w:bottom="1440" w:gutter="0" w:footer="0" w:header="0"/>
        </w:sectPr>
      </w:pPr>
    </w:p>
    <w:bookmarkStart w:id="94" w:name="page95"/>
    <w:bookmarkEnd w:id="94"/>
    <w:p>
      <w:pPr>
        <w:jc w:val="both"/>
        <w:ind w:left="1300" w:right="20"/>
        <w:spacing w:after="0" w:line="246" w:lineRule="auto"/>
        <w:rPr>
          <w:sz w:val="20"/>
          <w:szCs w:val="20"/>
          <w:color w:val="auto"/>
        </w:rPr>
      </w:pPr>
      <w:r>
        <w:rPr>
          <w:rFonts w:ascii="Arial" w:cs="Arial" w:eastAsia="Arial" w:hAnsi="Arial"/>
          <w:sz w:val="20"/>
          <w:szCs w:val="20"/>
          <w:color w:val="auto"/>
        </w:rPr>
        <w:t>originals, as required)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1" w:lineRule="exact"/>
        <w:rPr>
          <w:sz w:val="20"/>
          <w:szCs w:val="20"/>
          <w:color w:val="auto"/>
        </w:rPr>
      </w:pPr>
    </w:p>
    <w:p>
      <w:pPr>
        <w:jc w:val="both"/>
        <w:ind w:left="1300" w:firstLine="652"/>
        <w:spacing w:after="0" w:line="255" w:lineRule="auto"/>
        <w:tabs>
          <w:tab w:leader="none" w:pos="2443" w:val="left"/>
        </w:tabs>
        <w:numPr>
          <w:ilvl w:val="2"/>
          <w:numId w:val="86"/>
        </w:numPr>
        <w:rPr>
          <w:rFonts w:ascii="Arial" w:cs="Arial" w:eastAsia="Arial" w:hAnsi="Arial"/>
          <w:sz w:val="19"/>
          <w:szCs w:val="19"/>
          <w:color w:val="auto"/>
        </w:rPr>
      </w:pPr>
      <w:r>
        <w:rPr>
          <w:rFonts w:ascii="Arial" w:cs="Arial" w:eastAsia="Arial" w:hAnsi="Arial"/>
          <w:sz w:val="19"/>
          <w:szCs w:val="19"/>
          <w:color w:val="auto"/>
        </w:rPr>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Closing Date.</w:t>
      </w:r>
    </w:p>
    <w:p>
      <w:pPr>
        <w:spacing w:after="0" w:line="184" w:lineRule="exact"/>
        <w:rPr>
          <w:rFonts w:ascii="Arial" w:cs="Arial" w:eastAsia="Arial" w:hAnsi="Arial"/>
          <w:sz w:val="19"/>
          <w:szCs w:val="19"/>
          <w:color w:val="auto"/>
        </w:rPr>
      </w:pPr>
    </w:p>
    <w:p>
      <w:pPr>
        <w:jc w:val="both"/>
        <w:ind w:left="660" w:firstLine="644"/>
        <w:spacing w:after="0" w:line="246" w:lineRule="auto"/>
        <w:tabs>
          <w:tab w:leader="none" w:pos="1812"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Each Lender and, to the extent the L/C Issuer is not also a Lender under this Agreement, the L/C Issuer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91" w:lineRule="exact"/>
        <w:rPr>
          <w:rFonts w:ascii="Arial" w:cs="Arial" w:eastAsia="Arial" w:hAnsi="Arial"/>
          <w:sz w:val="20"/>
          <w:szCs w:val="20"/>
          <w:color w:val="auto"/>
        </w:rPr>
      </w:pPr>
    </w:p>
    <w:p>
      <w:pPr>
        <w:jc w:val="both"/>
        <w:ind w:firstLine="656"/>
        <w:spacing w:after="0" w:line="254" w:lineRule="auto"/>
        <w:tabs>
          <w:tab w:leader="none" w:pos="116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(including any 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19" w:right="339" w:bottom="1440" w:gutter="0" w:footer="0" w:header="0"/>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86" w:lineRule="exact"/>
        <w:rPr>
          <w:sz w:val="20"/>
          <w:szCs w:val="20"/>
          <w:color w:val="auto"/>
        </w:rPr>
      </w:pPr>
    </w:p>
    <w:p>
      <w:pPr>
        <w:jc w:val="both"/>
        <w:ind w:firstLine="656"/>
        <w:spacing w:after="0" w:line="250" w:lineRule="auto"/>
        <w:tabs>
          <w:tab w:leader="none" w:pos="1126"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Eurocurrency Base Rate (whether denominated in Dollars or an Alternative Currency), or to determine or charge interest rates based upon the Eurocurrency Base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denominated in Dollars, to convert Base Rate Loans to Eurocurrency Rate Loans shall be suspended and (ii) if such notice asserts the illegality of such Lender making or maintaining Base Rate Loans the interest rate on which is determined by reference to the Eurocurrency Base Rate component of the Base Rate, the interest rate on which Base Rate Loans of such Lender, shall, if necessary to avoid such illegality, be determined by the Administrative Agent without reference to the Eurocurrency Base Rate component of the Base Rate, in each case until such Lender notifies the Administrative Agent and the Company that the circumstances giving rise to such determination no longer 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Base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Base Rate, the Administrative Agent shall during the period of such suspension compute the Base Rate applicable to such Lender without reference to the Eurocurrency Base Rate component thereof until the Administrative Agent is advised in writing by such Lender that it is no longer illegal for such Lender to determine or charge interest rates based upon the Eurocurrency Base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Each Lender at its option may make any Credit Extension to any Borrower by causing any domestic or foreign branch or Affiliate of such Lender (each a “</w:t>
      </w:r>
      <w:r>
        <w:rPr>
          <w:rFonts w:ascii="Arial" w:cs="Arial" w:eastAsia="Arial" w:hAnsi="Arial"/>
          <w:sz w:val="19"/>
          <w:szCs w:val="19"/>
          <w:u w:val="single" w:color="auto"/>
          <w:color w:val="auto"/>
        </w:rPr>
        <w:t>Designated Lender</w:t>
      </w:r>
      <w:r>
        <w:rPr>
          <w:rFonts w:ascii="Arial" w:cs="Arial" w:eastAsia="Arial" w:hAnsi="Arial"/>
          <w:sz w:val="19"/>
          <w:szCs w:val="19"/>
          <w:color w:val="auto"/>
        </w:rPr>
        <w:t xml:space="preserve">”) to make such Credit Extension (and in the case of an Affiliate, the provisions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apply to such Affiliate to the same extent as to such Lender); provided that any exercise of such option shall not affect the obligation of the relevant Borrower to repay such Credit Extension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19" w:right="3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9"/>
          <w:szCs w:val="19"/>
          <w:color w:val="auto"/>
        </w:rPr>
        <w:t xml:space="preserve">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48" w:val="left"/>
        </w:tabs>
        <w:numPr>
          <w:ilvl w:val="0"/>
          <w:numId w:val="9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in connection with any request for a Eurocurrency Rate Loan or a conversion to or continuation thereof, (i) </w:t>
      </w:r>
      <w:r>
        <w:rPr>
          <w:rFonts w:ascii="Arial" w:cs="Arial" w:eastAsia="Arial" w:hAnsi="Arial"/>
          <w:sz w:val="18"/>
          <w:szCs w:val="18"/>
          <w:color w:val="008000"/>
          <w:strike w:val="1"/>
        </w:rPr>
        <w:t>the Administrative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Agent determines </w:t>
      </w:r>
      <w:r>
        <w:rPr>
          <w:rFonts w:ascii="Arial" w:cs="Arial" w:eastAsia="Arial" w:hAnsi="Arial"/>
          <w:sz w:val="18"/>
          <w:szCs w:val="18"/>
          <w:color w:val="FF0000"/>
          <w:strike w:val="1"/>
        </w:rPr>
        <w:t>that (A) deposits (whether in Dollars or an Alternative Currency) are not being offered to banks in the applicable offshore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interbank market for such currency for the applicable amount and Interest Period of such Eurocurrency Rate Loan or (B) adequate and reasonable means do not exist for determining the Eurocurrency Base Rate for any requested Interest Period with respect to a proposed Eurocurrency Rate Loan (whether denominated in Dollars or an Alternative Currency) or in connection with an existing or proposed Base Rate Loan (in each case with respect to clause (i), “</w:t>
      </w:r>
      <w:r>
        <w:rPr>
          <w:rFonts w:ascii="Arial" w:cs="Arial" w:eastAsia="Arial" w:hAnsi="Arial"/>
          <w:sz w:val="18"/>
          <w:szCs w:val="18"/>
          <w:u w:val="single" w:color="auto"/>
          <w:color w:val="FF0000"/>
          <w:strike w:val="1"/>
        </w:rPr>
        <w:t>Impacted Loans</w:t>
      </w:r>
      <w:r>
        <w:rPr>
          <w:rFonts w:ascii="Arial" w:cs="Arial" w:eastAsia="Arial" w:hAnsi="Arial"/>
          <w:sz w:val="18"/>
          <w:szCs w:val="18"/>
          <w:color w:val="FF0000"/>
          <w:strike w:val="1"/>
        </w:rPr>
        <w:t xml:space="preserve">”), or (ii) the Administrative Agent or the Required Lenders determine that for any reason the Eurocurrency Base Rate for any requested Interest Period with respect to a proposed Eurocurrency Rate Loan does </w:t>
      </w:r>
      <w:r>
        <w:rPr>
          <w:rFonts w:ascii="Arial" w:cs="Arial" w:eastAsia="Arial" w:hAnsi="Arial"/>
          <w:sz w:val="18"/>
          <w:szCs w:val="18"/>
          <w:color w:val="008000"/>
          <w:strike w:val="1"/>
        </w:rPr>
        <w:t>not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adequately and fairly reflect the cost to such Lenders </w:t>
      </w:r>
      <w:r>
        <w:rPr>
          <w:rFonts w:ascii="Arial" w:cs="Arial" w:eastAsia="Arial" w:hAnsi="Arial"/>
          <w:sz w:val="18"/>
          <w:szCs w:val="18"/>
          <w:color w:val="FF0000"/>
          <w:strike w:val="1"/>
        </w:rPr>
        <w:t>of funding such Loan, the Administrative Agent will promptly so notify the Company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Base Rate component of the Base Rate, the utilization of the Eurocurrency Base Rate component in determining the Base Rate shall be suspended, in each case </w:t>
      </w:r>
      <w:r>
        <w:rPr>
          <w:rFonts w:ascii="Arial" w:cs="Arial" w:eastAsia="Arial" w:hAnsi="Arial"/>
          <w:sz w:val="18"/>
          <w:szCs w:val="18"/>
          <w:color w:val="008000"/>
          <w:strike w:val="1"/>
        </w:rPr>
        <w:t>until the Administrative Agent</w:t>
      </w:r>
      <w:r>
        <w:rPr>
          <w:rFonts w:ascii="Arial" w:cs="Arial" w:eastAsia="Arial" w:hAnsi="Arial"/>
          <w:sz w:val="18"/>
          <w:szCs w:val="18"/>
          <w:color w:val="FF0000"/>
          <w:strike w:val="1"/>
        </w:rPr>
        <w:t xml:space="preserve"> (upon the instruction of the Required Lenders, who hereby agree to revoke such notice when the applicable circumstances no longer exist) revokes such notice. Upon receipt of such notice, the applicable Borrower may revoke any pending request for a Borrowing </w:t>
      </w:r>
      <w:r>
        <w:rPr>
          <w:rFonts w:ascii="Arial" w:cs="Arial" w:eastAsia="Arial" w:hAnsi="Arial"/>
          <w:sz w:val="18"/>
          <w:szCs w:val="18"/>
          <w:color w:val="008000"/>
          <w:strike w:val="1"/>
        </w:rPr>
        <w:t>of, conversion to or</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continuation of Eurocurrency Rate Loans </w:t>
      </w:r>
      <w:r>
        <w:rPr>
          <w:rFonts w:ascii="Arial" w:cs="Arial" w:eastAsia="Arial" w:hAnsi="Arial"/>
          <w:sz w:val="18"/>
          <w:szCs w:val="18"/>
          <w:color w:val="FF0000"/>
          <w:strike w:val="1"/>
        </w:rPr>
        <w:t>in the affected currency or currencies or, failing that,</w:t>
      </w:r>
      <w:r>
        <w:rPr>
          <w:rFonts w:ascii="Arial" w:cs="Arial" w:eastAsia="Arial" w:hAnsi="Arial"/>
          <w:sz w:val="18"/>
          <w:szCs w:val="18"/>
          <w:color w:val="008000"/>
          <w:strike w:val="1"/>
        </w:rPr>
        <w:t xml:space="preserve"> will be deemed to have converted </w:t>
      </w:r>
      <w:r>
        <w:rPr>
          <w:rFonts w:ascii="Arial" w:cs="Arial" w:eastAsia="Arial" w:hAnsi="Arial"/>
          <w:sz w:val="18"/>
          <w:szCs w:val="18"/>
          <w:color w:val="FF0000"/>
          <w:strike w:val="1"/>
        </w:rPr>
        <w:t>such</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request into a request for a Borrowing of Base Rate Loans in the amount specified therein.</w:t>
      </w:r>
    </w:p>
    <w:p>
      <w:pPr>
        <w:spacing w:after="0" w:line="176" w:lineRule="exact"/>
        <w:rPr>
          <w:rFonts w:ascii="Arial" w:cs="Arial" w:eastAsia="Arial" w:hAnsi="Arial"/>
          <w:sz w:val="18"/>
          <w:szCs w:val="18"/>
          <w:color w:val="FF0000"/>
          <w:strike w:val="1"/>
        </w:rPr>
      </w:pPr>
    </w:p>
    <w:p>
      <w:pPr>
        <w:jc w:val="both"/>
        <w:ind w:firstLine="656"/>
        <w:spacing w:after="0" w:line="282" w:lineRule="auto"/>
        <w:tabs>
          <w:tab w:leader="none" w:pos="1180" w:val="left"/>
        </w:tabs>
        <w:numPr>
          <w:ilvl w:val="0"/>
          <w:numId w:val="90"/>
        </w:numPr>
        <w:rPr>
          <w:rFonts w:ascii="Arial" w:cs="Arial" w:eastAsia="Arial" w:hAnsi="Arial"/>
          <w:sz w:val="18"/>
          <w:szCs w:val="18"/>
          <w:color w:val="FF0000"/>
        </w:rPr>
      </w:pPr>
      <w:r>
        <w:rPr>
          <w:rFonts w:ascii="Arial" w:cs="Arial" w:eastAsia="Arial" w:hAnsi="Arial"/>
          <w:sz w:val="18"/>
          <w:szCs w:val="18"/>
          <w:color w:val="008000"/>
          <w:strike w:val="1"/>
        </w:rPr>
        <w:t>Notwithstanding the foregoing, if</w:t>
      </w:r>
      <w:r>
        <w:rPr>
          <w:rFonts w:ascii="Arial" w:cs="Arial" w:eastAsia="Arial" w:hAnsi="Arial"/>
          <w:sz w:val="18"/>
          <w:szCs w:val="18"/>
          <w:color w:val="008000"/>
        </w:rPr>
        <w:t xml:space="preserve"> </w:t>
      </w:r>
      <w:r>
        <w:rPr>
          <w:rFonts w:ascii="Arial" w:cs="Arial" w:eastAsia="Arial" w:hAnsi="Arial"/>
          <w:sz w:val="18"/>
          <w:szCs w:val="18"/>
          <w:color w:val="FF0000"/>
        </w:rPr>
        <w:t>the Administrative Agent has made the determination described in clause (a)(i) of this</w:t>
      </w:r>
      <w:r>
        <w:rPr>
          <w:rFonts w:ascii="Arial" w:cs="Arial" w:eastAsia="Arial" w:hAnsi="Arial"/>
          <w:sz w:val="18"/>
          <w:szCs w:val="18"/>
          <w:color w:val="008000"/>
        </w:rPr>
        <w:t xml:space="preserve"> </w:t>
      </w:r>
      <w:r>
        <w:rPr>
          <w:rFonts w:ascii="Arial" w:cs="Arial" w:eastAsia="Arial" w:hAnsi="Arial"/>
          <w:sz w:val="18"/>
          <w:szCs w:val="18"/>
          <w:color w:val="FF0000"/>
          <w:strike w:val="1"/>
        </w:rPr>
        <w:t xml:space="preserve">Section, and the Company shall so request, the Administrative Agent, the Lenders and the Company shall negotiate in good faith to amend the definition of “Eurocurrency Base Rate” and other applicable provisions to preserve the original intent thereof in light of such change; </w:t>
      </w: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until so amended, such Impacted Loans will be handled as otherwise provided pursuant to the terms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-957580</wp:posOffset>
            </wp:positionV>
            <wp:extent cx="2903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03855" cy="825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-957580</wp:posOffset>
            </wp:positionV>
            <wp:extent cx="278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876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-528955</wp:posOffset>
            </wp:positionV>
            <wp:extent cx="3378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7820" cy="82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-528955</wp:posOffset>
            </wp:positionV>
            <wp:extent cx="4633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3595" cy="8255"/>
                    </a:xfrm>
                    <a:prstGeom prst="rect">
                      <a:avLst/>
                    </a:prstGeom>
                    <a:noFill/>
                  </pic:spPr>
                </pic:pic>
              </a:graphicData>
            </a:graphic>
          </wp:anchor>
        </w:drawing>
      </w:r>
    </w:p>
    <w:p>
      <w:pPr>
        <w:spacing w:after="0" w:line="141" w:lineRule="exact"/>
        <w:rPr>
          <w:sz w:val="20"/>
          <w:szCs w:val="20"/>
          <w:color w:val="auto"/>
        </w:rPr>
      </w:pPr>
    </w:p>
    <w:p>
      <w:pPr>
        <w:ind w:firstLine="656"/>
        <w:spacing w:after="0" w:line="260" w:lineRule="auto"/>
        <w:tabs>
          <w:tab w:leader="none" w:pos="1286" w:val="left"/>
        </w:tabs>
        <w:numPr>
          <w:ilvl w:val="0"/>
          <w:numId w:val="91"/>
        </w:numPr>
        <w:rPr>
          <w:rFonts w:ascii="Arial" w:cs="Arial" w:eastAsia="Arial" w:hAnsi="Arial"/>
          <w:sz w:val="20"/>
          <w:szCs w:val="20"/>
          <w:color w:val="0000FF"/>
        </w:rPr>
      </w:pPr>
      <w:r>
        <w:rPr>
          <w:rFonts w:ascii="Arial" w:cs="Arial" w:eastAsia="Arial" w:hAnsi="Arial"/>
          <w:sz w:val="20"/>
          <w:szCs w:val="20"/>
          <w:u w:val="single" w:color="auto"/>
          <w:color w:val="0000FF"/>
        </w:rPr>
        <w:t>Subject to clause (b) of this Section 3.03 and to Section 3.07, if prior to the commencement of any Interest Period for a Eurocurrency Borrowing:</w:t>
      </w:r>
    </w:p>
    <w:p>
      <w:pPr>
        <w:spacing w:after="0" w:line="176" w:lineRule="exact"/>
        <w:rPr>
          <w:rFonts w:ascii="Arial" w:cs="Arial" w:eastAsia="Arial" w:hAnsi="Arial"/>
          <w:sz w:val="20"/>
          <w:szCs w:val="20"/>
          <w:color w:val="0000FF"/>
        </w:rPr>
      </w:pPr>
    </w:p>
    <w:p>
      <w:pPr>
        <w:jc w:val="both"/>
        <w:ind w:left="660" w:firstLine="644"/>
        <w:spacing w:after="0" w:line="250" w:lineRule="auto"/>
        <w:tabs>
          <w:tab w:leader="none" w:pos="1954" w:val="left"/>
        </w:tabs>
        <w:numPr>
          <w:ilvl w:val="1"/>
          <w:numId w:val="91"/>
        </w:numPr>
        <w:rPr>
          <w:rFonts w:ascii="Arial" w:cs="Arial" w:eastAsia="Arial" w:hAnsi="Arial"/>
          <w:sz w:val="20"/>
          <w:szCs w:val="20"/>
          <w:color w:val="0000FF"/>
        </w:rPr>
      </w:pPr>
      <w:r>
        <w:rPr>
          <w:rFonts w:ascii="Arial" w:cs="Arial" w:eastAsia="Arial" w:hAnsi="Arial"/>
          <w:sz w:val="20"/>
          <w:szCs w:val="20"/>
          <w:u w:val="single" w:color="auto"/>
          <w:color w:val="0000FF"/>
        </w:rPr>
        <w:t xml:space="preserve">the Administrative Agent determines (which determination shall be conclusive and binding absent demonstrable error) that </w:t>
      </w:r>
      <w:r>
        <w:rPr>
          <w:rFonts w:ascii="Arial" w:cs="Arial" w:eastAsia="Arial" w:hAnsi="Arial"/>
          <w:sz w:val="20"/>
          <w:szCs w:val="20"/>
          <w:u w:val="single" w:color="auto"/>
          <w:color w:val="008000"/>
        </w:rPr>
        <w:t>adequate and reasonable means do not exist for ascertaining</w:t>
      </w:r>
      <w:r>
        <w:rPr>
          <w:rFonts w:ascii="Arial" w:cs="Arial" w:eastAsia="Arial" w:hAnsi="Arial"/>
          <w:sz w:val="20"/>
          <w:szCs w:val="20"/>
          <w:u w:val="single" w:color="auto"/>
          <w:color w:val="0000FF"/>
        </w:rPr>
        <w:t xml:space="preserve"> the Adjusted LIBO Rate, the LIBO Rate, the Adjusted EURIBO Rate, the EURIBO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19" w:right="339" w:bottom="1440" w:gutter="0" w:footer="0" w:header="0"/>
        </w:sectPr>
      </w:pPr>
    </w:p>
    <w:bookmarkStart w:id="97" w:name="page98"/>
    <w:bookmarkEnd w:id="97"/>
    <w:p>
      <w:pPr>
        <w:jc w:val="both"/>
        <w:ind w:left="660"/>
        <w:spacing w:after="0" w:line="250" w:lineRule="auto"/>
        <w:rPr>
          <w:sz w:val="20"/>
          <w:szCs w:val="20"/>
          <w:color w:val="auto"/>
        </w:rPr>
      </w:pPr>
      <w:r>
        <w:rPr>
          <w:rFonts w:ascii="Arial" w:cs="Arial" w:eastAsia="Arial" w:hAnsi="Arial"/>
          <w:sz w:val="20"/>
          <w:szCs w:val="20"/>
          <w:u w:val="single" w:color="auto"/>
          <w:color w:val="0000FF"/>
        </w:rPr>
        <w:t xml:space="preserve">Rate, the Adjusted TIBO Rate, the TIBO Rate, Daily Simple SONIA or the RFR, as applicable (including, without limitation, because the Relevant </w:t>
      </w:r>
      <w:r>
        <w:rPr>
          <w:rFonts w:ascii="Arial" w:cs="Arial" w:eastAsia="Arial" w:hAnsi="Arial"/>
          <w:sz w:val="20"/>
          <w:szCs w:val="20"/>
          <w:u w:val="single" w:color="auto"/>
          <w:color w:val="008000"/>
        </w:rPr>
        <w:t>Screen Rate is not available or published on a current basis</w:t>
      </w:r>
      <w:r>
        <w:rPr>
          <w:rFonts w:ascii="Arial" w:cs="Arial" w:eastAsia="Arial" w:hAnsi="Arial"/>
          <w:sz w:val="20"/>
          <w:szCs w:val="20"/>
          <w:u w:val="single" w:color="auto"/>
          <w:color w:val="0000FF"/>
        </w:rPr>
        <w:t>), for a Loan in the applicable currency or for the applicable Interest Period or payment period, as applicable; or</w:t>
      </w:r>
    </w:p>
    <w:p>
      <w:pPr>
        <w:spacing w:after="0" w:line="186" w:lineRule="exact"/>
        <w:rPr>
          <w:sz w:val="20"/>
          <w:szCs w:val="20"/>
          <w:color w:val="auto"/>
        </w:rPr>
      </w:pPr>
    </w:p>
    <w:p>
      <w:pPr>
        <w:jc w:val="both"/>
        <w:ind w:left="660" w:firstLine="644"/>
        <w:spacing w:after="0" w:line="244" w:lineRule="auto"/>
        <w:tabs>
          <w:tab w:leader="none" w:pos="1955" w:val="left"/>
        </w:tabs>
        <w:numPr>
          <w:ilvl w:val="0"/>
          <w:numId w:val="92"/>
        </w:numPr>
        <w:rPr>
          <w:rFonts w:ascii="Arial" w:cs="Arial" w:eastAsia="Arial" w:hAnsi="Arial"/>
          <w:sz w:val="20"/>
          <w:szCs w:val="20"/>
          <w:color w:val="0000FF"/>
        </w:rPr>
      </w:pPr>
      <w:r>
        <w:rPr>
          <w:rFonts w:ascii="Arial" w:cs="Arial" w:eastAsia="Arial" w:hAnsi="Arial"/>
          <w:sz w:val="20"/>
          <w:szCs w:val="20"/>
          <w:u w:val="single" w:color="auto"/>
          <w:color w:val="0000FF"/>
        </w:rPr>
        <w:t xml:space="preserve">the Administrative Agent is advised by the Required Lenders that the Adjusted LIBO Rate, the LIBO Rate, the Adjusted EURIBO Rate, the EURIBO Rate, the Adjusted TIBO Rate, the TIBO Rate, Daily Simple SONIA or the RFR, as applicable, for a Loan in the applicable currency or for the applicable Interest Period will </w:t>
      </w:r>
      <w:r>
        <w:rPr>
          <w:rFonts w:ascii="Arial" w:cs="Arial" w:eastAsia="Arial" w:hAnsi="Arial"/>
          <w:sz w:val="20"/>
          <w:szCs w:val="20"/>
          <w:u w:val="single" w:color="auto"/>
          <w:color w:val="008000"/>
        </w:rPr>
        <w:t>not adequately and fairly reflect the cost to</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such Lenders </w:t>
      </w:r>
      <w:r>
        <w:rPr>
          <w:rFonts w:ascii="Arial" w:cs="Arial" w:eastAsia="Arial" w:hAnsi="Arial"/>
          <w:sz w:val="20"/>
          <w:szCs w:val="20"/>
          <w:u w:val="single" w:color="auto"/>
          <w:color w:val="0000FF"/>
        </w:rPr>
        <w:t>(or Lender) of making or maintaining their Loans (or its Loan) included in such Borrowing for the applicable currency</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and such Interest Period or payment period, as applicable;</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u w:val="single" w:color="auto"/>
          <w:color w:val="0000FF"/>
        </w:rPr>
        <w:t xml:space="preserve">then the Administrative Agent shall give notice (in reasonable detail) thereof to the Company and the Lenders prior to the commencement of such Interest Period by telephone, telecopy or email in accordance with Section 11.02 as promptly as practicable thereafter and, </w:t>
      </w:r>
      <w:r>
        <w:rPr>
          <w:rFonts w:ascii="Arial" w:cs="Arial" w:eastAsia="Arial" w:hAnsi="Arial"/>
          <w:sz w:val="18"/>
          <w:szCs w:val="18"/>
          <w:u w:val="single" w:color="auto"/>
          <w:color w:val="008000"/>
        </w:rPr>
        <w:t>until the Administrative Agent</w:t>
      </w:r>
      <w:r>
        <w:rPr>
          <w:rFonts w:ascii="Arial" w:cs="Arial" w:eastAsia="Arial" w:hAnsi="Arial"/>
          <w:sz w:val="18"/>
          <w:szCs w:val="18"/>
          <w:u w:val="single" w:color="auto"/>
          <w:color w:val="0000FF"/>
        </w:rPr>
        <w:t xml:space="preserve"> notifies the Company and the Lenders that the circumstances giving rise to such notice no longer exist (which notice the Administrative Agent hereby agrees to provide promptly after its determination of such circumstances ceasing to exist), (x) any Loan Notice that requests the conversion of any Borrowing to, or continuation of any Borrowing as, a Eurocurrency Borrowing in the applicable currency or for the applicable Interest Period, as the case may be, shall be ineffective, (y) if any Loan Notice requests a Eurocurrency Borrowing in Dollars, such Borrowing shall be made as a Base Rate Loan and (z) if any Loan Notice requests a Eurocurrency Borrowing or an RFR Borrowing for the relevant rate above in an Alternative Currency, then such request shall be ineffective; provided that if the circumstances giving rise to such notice affect only one Type of Borrowing, then the other Type of Borrowings shall be permitted. Furthermore, if any Eurocurrency Rate Loan or RFR Loan in any Agreed Currency is outstanding on the date of the Company’s receipt of the notice from the Administrative Agent referred to in this Section 3.03(a) with respect to a Relevant Rate applicable to such Eurocurrency Rate Loan or RFR Loan, then until the Administrative Agent notifies the Company and the Lenders that the circumstances giving rise to such notice no longer exist (which notice the Administrative Agent hereby agrees to give promptly after such circumstances cease to exist), (1) if such Eurocurrency Rate Loan is denominated in Dollars, then on the last day of the Interest Period applicable to such Eurocurrency Rate Loan (or the next succeeding Business Day if such day is not a Business Day), such Eurocurrency Rate Loan shall be converted by the Administrative Agent to, and shall constitute, a Base Rate Loan denominated in Dollars on such day, (2) if such Eurocurrency Rate Loan is denominated in an Alternative Currency, then such Eurocurrency Rate Loan shall, on the last day of the Interest Period applicable to such Eurocurrency Rate Loan (or the next succeeding Business Day if such day is not a Business Day) bear interest at the Central Bank Rate for the applicable Alternative Currency plus the Applicable Rate; provided that, if </w:t>
      </w:r>
      <w:r>
        <w:rPr>
          <w:rFonts w:ascii="Arial" w:cs="Arial" w:eastAsia="Arial" w:hAnsi="Arial"/>
          <w:sz w:val="18"/>
          <w:szCs w:val="18"/>
          <w:u w:val="single" w:color="auto"/>
          <w:color w:val="008000"/>
        </w:rPr>
        <w:t>the Administrative Agent determines</w:t>
      </w:r>
      <w:r>
        <w:rPr>
          <w:rFonts w:ascii="Arial" w:cs="Arial" w:eastAsia="Arial" w:hAnsi="Arial"/>
          <w:sz w:val="18"/>
          <w:szCs w:val="18"/>
          <w:u w:val="single" w:color="auto"/>
          <w:color w:val="0000FF"/>
        </w:rPr>
        <w:t xml:space="preserve"> reasonably and in good faith (which determination shall be conclusive and binding absent demonstrable error) that the Central Bank Rate for the applicable Alternative Currency cannot be determined, any outstanding affected Eurocurrency Rate Loans denominated in any Alternative Currency shall, at the Company’s election prior to such day: (A) be prepaid by the Company on such day or (B) solely for the purpose of calculating the interest rate applicable to such Eurocurrency Rate Loan, such Eurocurrency Rate Loan denominated in any Alternative Currency shall be deemed to be a Eurocurrency Rate Loan denominated in Dollars and shall accrue interest at the same interest rate applicable to Eurocurrency Rate Loans denominated in Dollars at such time, and (3) if such RFR Loan is denominated in any Alternative Currency, then such RFR Loan shall bear interest at the Central Bank Rate for the applicable Alternative Currency plus the Applicable Rate; provided that, if the Administrative Agent determines reasonably and in good faith (which determination shall be conclusive and binding absent demonstrable error) that the Central Bank Rate for the applicable Alternative Currency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19" w:right="339" w:bottom="1440" w:gutter="0" w:footer="0" w:header="0"/>
        </w:sectPr>
      </w:pPr>
    </w:p>
    <w:bookmarkStart w:id="98" w:name="page99"/>
    <w:bookmarkEnd w:id="98"/>
    <w:p>
      <w:pPr>
        <w:jc w:val="both"/>
        <w:spacing w:after="0" w:line="282" w:lineRule="auto"/>
        <w:rPr>
          <w:sz w:val="20"/>
          <w:szCs w:val="20"/>
          <w:color w:val="auto"/>
        </w:rPr>
      </w:pPr>
      <w:r>
        <w:rPr>
          <w:rFonts w:ascii="Arial" w:cs="Arial" w:eastAsia="Arial" w:hAnsi="Arial"/>
          <w:sz w:val="18"/>
          <w:szCs w:val="18"/>
          <w:u w:val="single" w:color="auto"/>
          <w:color w:val="0000FF"/>
        </w:rPr>
        <w:t>determined, any outstanding affected RFR Loans denominated in any Alternative Currency, at the Company’s election, shall either (x) be converted into Base Rate Loans denominated in Dollars (in an amount equal to the Dollar Equivalent of such Alternative Currency) on the last day of the applicable Interest Period (or the next succeeding Business Day if such day is not a Business Day) or (y) be prepaid in full on the last day of the applicable Interest Period (or the next succeeding Business Day if such day is not a Business Day).</w:t>
      </w:r>
    </w:p>
    <w:p>
      <w:pPr>
        <w:spacing w:after="0" w:line="161" w:lineRule="exact"/>
        <w:rPr>
          <w:sz w:val="20"/>
          <w:szCs w:val="20"/>
          <w:color w:val="auto"/>
        </w:rPr>
      </w:pPr>
    </w:p>
    <w:p>
      <w:pPr>
        <w:jc w:val="both"/>
        <w:ind w:firstLine="656"/>
        <w:spacing w:after="0" w:line="268" w:lineRule="auto"/>
        <w:tabs>
          <w:tab w:leader="none" w:pos="1284" w:val="left"/>
        </w:tabs>
        <w:numPr>
          <w:ilvl w:val="0"/>
          <w:numId w:val="93"/>
        </w:numPr>
        <w:rPr>
          <w:rFonts w:ascii="Arial" w:cs="Arial" w:eastAsia="Arial" w:hAnsi="Arial"/>
          <w:sz w:val="18"/>
          <w:szCs w:val="18"/>
          <w:color w:val="0000FF"/>
        </w:rPr>
      </w:pPr>
      <w:r>
        <w:rPr>
          <w:rFonts w:ascii="Arial" w:cs="Arial" w:eastAsia="Arial" w:hAnsi="Arial"/>
          <w:sz w:val="18"/>
          <w:szCs w:val="18"/>
          <w:u w:val="single" w:color="auto"/>
          <w:color w:val="008000"/>
        </w:rPr>
        <w:t xml:space="preserve">Notwithstanding the foregoing, if </w:t>
      </w:r>
      <w:r>
        <w:rPr>
          <w:rFonts w:ascii="Arial" w:cs="Arial" w:eastAsia="Arial" w:hAnsi="Arial"/>
          <w:sz w:val="18"/>
          <w:szCs w:val="18"/>
          <w:u w:val="single" w:color="auto"/>
          <w:color w:val="0000FF"/>
        </w:rPr>
        <w:t>at any time</w:t>
      </w:r>
      <w:r>
        <w:rPr>
          <w:rFonts w:ascii="Arial" w:cs="Arial" w:eastAsia="Arial" w:hAnsi="Arial"/>
          <w:sz w:val="18"/>
          <w:szCs w:val="18"/>
          <w:u w:val="single" w:color="auto"/>
          <w:color w:val="008000"/>
        </w:rPr>
        <w:t xml:space="preserve"> the Administrative Agent determines (which determination shall be conclusive absent</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demonstrable</w:t>
      </w:r>
      <w:r>
        <w:rPr>
          <w:rFonts w:ascii="Arial" w:cs="Arial" w:eastAsia="Arial" w:hAnsi="Arial"/>
          <w:sz w:val="18"/>
          <w:szCs w:val="18"/>
          <w:color w:val="008000"/>
        </w:rPr>
        <w:t xml:space="preserve"> </w:t>
      </w:r>
      <w:r>
        <w:rPr>
          <w:rFonts w:ascii="Arial" w:cs="Arial" w:eastAsia="Arial" w:hAnsi="Arial"/>
          <w:sz w:val="18"/>
          <w:szCs w:val="18"/>
          <w:u w:val="single" w:color="auto"/>
          <w:color w:val="008000"/>
        </w:rPr>
        <w:t>error), or the Company notifies the Administrative Agent that the Company has determined, that</w:t>
      </w:r>
      <w:r>
        <w:rPr>
          <w:rFonts w:ascii="Arial" w:cs="Arial" w:eastAsia="Arial" w:hAnsi="Arial"/>
          <w:sz w:val="18"/>
          <w:szCs w:val="18"/>
          <w:color w:val="008000"/>
        </w:rPr>
        <w:t xml:space="preserve"> </w:t>
      </w:r>
      <w:r>
        <w:rPr>
          <w:rFonts w:ascii="Arial" w:cs="Arial" w:eastAsia="Arial" w:hAnsi="Arial"/>
          <w:sz w:val="18"/>
          <w:szCs w:val="18"/>
          <w:color w:val="0000FF"/>
        </w:rPr>
        <w:t>(i) the circumstances</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 xml:space="preserve">set forth in Section 3.03(a)(i) have arisen </w:t>
      </w:r>
      <w:r>
        <w:rPr>
          <w:rFonts w:ascii="Arial" w:cs="Arial" w:eastAsia="Arial" w:hAnsi="Arial"/>
          <w:sz w:val="18"/>
          <w:szCs w:val="18"/>
          <w:u w:val="single" w:color="auto"/>
          <w:color w:val="008000"/>
        </w:rPr>
        <w:t>and such circumstances are unlikely to be temporary</w:t>
      </w:r>
      <w:r>
        <w:rPr>
          <w:rFonts w:ascii="Arial" w:cs="Arial" w:eastAsia="Arial" w:hAnsi="Arial"/>
          <w:sz w:val="18"/>
          <w:szCs w:val="18"/>
          <w:u w:val="single" w:color="auto"/>
          <w:color w:val="0000FF"/>
        </w:rPr>
        <w:t xml:space="preserve"> or (ii) the circumstances set forth in Section 3.03(a)(i) have not arisen but (w) the supervisor for the administrator of the Relevant Screen Rate has made a public statement that the administrator of the Relevant Screen Rate is insolvent (and there is no successor administrator that will continue publication of the Relevant Screen Rate), (x) the administrator of the Relevant Screen Rate has made a public statement identifying a specific date after which such Relevant Screen Rate will permanently or indefinitely cease to be published by it (and there is no successor administrator that will continue publication of such Relevant Screen Rate), (y) the supervisor for the administrator of the Relevant Screen Rate has made a public statement identifying a specific date after which such Relevant Screen Rate will permanently or indefinitely cease to be published or (z) the supervisor for the administrator of the Relevant </w:t>
      </w:r>
      <w:r>
        <w:rPr>
          <w:rFonts w:ascii="Arial" w:cs="Arial" w:eastAsia="Arial" w:hAnsi="Arial"/>
          <w:sz w:val="18"/>
          <w:szCs w:val="18"/>
          <w:u w:val="single" w:color="auto"/>
          <w:color w:val="008000"/>
        </w:rPr>
        <w:t>Screen Rate or a Governmental Authority having jurisdiction over the Administrative Agent has made a</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public statement identifying a specific date after which </w:t>
      </w:r>
      <w:r>
        <w:rPr>
          <w:rFonts w:ascii="Arial" w:cs="Arial" w:eastAsia="Arial" w:hAnsi="Arial"/>
          <w:sz w:val="18"/>
          <w:szCs w:val="18"/>
          <w:u w:val="single" w:color="auto"/>
          <w:color w:val="0000FF"/>
        </w:rPr>
        <w:t>such Relevant Screen Rate may no longer be used for determining interest rates for</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 xml:space="preserve">loans, then the Administrative Agent and the Company shall endeavor to establish an alternate rate of interest to the LIBO Rate (or the EURIBO Rate or TIBO Rate, as applicable)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if such alternate rate of interest as so determined would be less than zero, such rate shall be deemed to be zero for the purposes of this Agreement. </w:t>
      </w:r>
      <w:r>
        <w:rPr>
          <w:rFonts w:ascii="Arial" w:cs="Arial" w:eastAsia="Arial" w:hAnsi="Arial"/>
          <w:sz w:val="18"/>
          <w:szCs w:val="18"/>
          <w:u w:val="single" w:color="auto"/>
          <w:color w:val="008000"/>
        </w:rPr>
        <w:t>Notwithstanding anything to the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contrary in </w:t>
      </w:r>
      <w:r>
        <w:rPr>
          <w:rFonts w:ascii="Arial" w:cs="Arial" w:eastAsia="Arial" w:hAnsi="Arial"/>
          <w:sz w:val="18"/>
          <w:szCs w:val="18"/>
          <w:u w:val="single" w:color="auto"/>
          <w:color w:val="0000FF"/>
        </w:rPr>
        <w:t>Section 11.01,</w:t>
      </w:r>
      <w:r>
        <w:rPr>
          <w:rFonts w:ascii="Arial" w:cs="Arial" w:eastAsia="Arial" w:hAnsi="Arial"/>
          <w:sz w:val="18"/>
          <w:szCs w:val="18"/>
          <w:u w:val="single" w:color="auto"/>
          <w:color w:val="008000"/>
        </w:rPr>
        <w:t xml:space="preserve"> such amendment shall become effective </w:t>
      </w:r>
      <w:r>
        <w:rPr>
          <w:rFonts w:ascii="Arial" w:cs="Arial" w:eastAsia="Arial" w:hAnsi="Arial"/>
          <w:sz w:val="18"/>
          <w:szCs w:val="18"/>
          <w:u w:val="single" w:color="auto"/>
          <w:color w:val="0000FF"/>
        </w:rPr>
        <w:t>without any further action or consent of any other party to this Agreement</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 xml:space="preserve">(other than the Administrative Agent and the Company) so long as </w:t>
      </w:r>
      <w:r>
        <w:rPr>
          <w:rFonts w:ascii="Arial" w:cs="Arial" w:eastAsia="Arial" w:hAnsi="Arial"/>
          <w:sz w:val="18"/>
          <w:szCs w:val="18"/>
          <w:u w:val="single" w:color="auto"/>
          <w:color w:val="008000"/>
        </w:rPr>
        <w:t>the Administrative Agent</w:t>
      </w:r>
      <w:r>
        <w:rPr>
          <w:rFonts w:ascii="Arial" w:cs="Arial" w:eastAsia="Arial" w:hAnsi="Arial"/>
          <w:sz w:val="18"/>
          <w:szCs w:val="18"/>
          <w:u w:val="single" w:color="auto"/>
          <w:color w:val="0000FF"/>
        </w:rPr>
        <w:t xml:space="preserve"> shall not have received, within five (5) Business Days of the date notice of such alternate rate of interest is provided by the Administrative Agent to the Lenders, a written notice from the Required Lenders stating that such Required Lenders object to such amendment and the basis for such objection. Notwithstanding anything to the contrary in this Agreement, until an alternate rate of interest shall be determined in accordance with this Section 3.03(b) (but, in the case of the circumstances described in clause (ii)(w), clause (ii)(x) or clause (ii)(y) of the first sentence of this Section 3.03(b), only to the extent the Relevant Screen Rate for the applicable currency and such Interest Period is not available or published at such time on a current basis), (x) any Loan Notice that requests the conversion of any Borrowing to, or continuation of any Borrowing as, a Eurocurrency Borrowing in the applicable currency or for the applicable Interest Period, as the case may be, shall be ineffective, (y) if any Loan Notice requests a Eurocurrency Borrowing in Dollars, such Borrowing shall be made as a Base Rate Loan and (z) if any Loan Notice requests a Eurocurrency Borrowing in an Alternative Currency, then such request shall be ineffective.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-3685540</wp:posOffset>
            </wp:positionV>
            <wp:extent cx="11036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19" w:right="339" w:bottom="1440" w:gutter="0" w:footer="0" w:header="0"/>
        </w:sectPr>
      </w:pPr>
    </w:p>
    <w:bookmarkStart w:id="99" w:name="page100"/>
    <w:bookmarkEnd w:id="99"/>
    <w:p>
      <w:pPr>
        <w:jc w:val="both"/>
        <w:ind w:left="660" w:firstLine="644"/>
        <w:spacing w:after="0" w:line="250" w:lineRule="auto"/>
        <w:tabs>
          <w:tab w:leader="none" w:pos="1864" w:val="left"/>
        </w:tabs>
        <w:numPr>
          <w:ilvl w:val="0"/>
          <w:numId w:val="95"/>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Eurocurrency Rate) or the L/C Issuer;</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5" w:lineRule="exact"/>
        <w:rPr>
          <w:rFonts w:ascii="Arial" w:cs="Arial" w:eastAsia="Arial" w:hAnsi="Arial"/>
          <w:sz w:val="20"/>
          <w:szCs w:val="20"/>
          <w:color w:val="auto"/>
        </w:rPr>
      </w:pPr>
    </w:p>
    <w:p>
      <w:pPr>
        <w:ind w:left="1780" w:hanging="476"/>
        <w:spacing w:after="0"/>
        <w:tabs>
          <w:tab w:leader="none" w:pos="17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15" w:lineRule="exact"/>
        <w:rPr>
          <w:rFonts w:ascii="Arial" w:cs="Arial" w:eastAsia="Arial" w:hAnsi="Arial"/>
          <w:sz w:val="20"/>
          <w:szCs w:val="20"/>
          <w:color w:val="auto"/>
        </w:rPr>
      </w:pPr>
    </w:p>
    <w:p>
      <w:pPr>
        <w:ind w:left="660" w:firstLine="644"/>
        <w:spacing w:after="0" w:line="287" w:lineRule="auto"/>
        <w:tabs>
          <w:tab w:leader="none" w:pos="1787" w:val="left"/>
        </w:tabs>
        <w:numPr>
          <w:ilvl w:val="0"/>
          <w:numId w:val="95"/>
        </w:numPr>
        <w:rPr>
          <w:rFonts w:ascii="Arial" w:cs="Arial" w:eastAsia="Arial" w:hAnsi="Arial"/>
          <w:sz w:val="19"/>
          <w:szCs w:val="19"/>
          <w:color w:val="auto"/>
        </w:rPr>
      </w:pPr>
      <w:r>
        <w:rPr>
          <w:rFonts w:ascii="Arial" w:cs="Arial" w:eastAsia="Arial" w:hAnsi="Arial"/>
          <w:sz w:val="19"/>
          <w:szCs w:val="19"/>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converting to, continuing or maintaining any Loan the interest on which is determined by reference to the Eurocurrency Base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Arial" w:cs="Arial" w:eastAsia="Arial" w:hAnsi="Arial"/>
          <w:sz w:val="19"/>
          <w:szCs w:val="19"/>
          <w:u w:val="single" w:color="auto"/>
          <w:color w:val="auto"/>
        </w:rPr>
        <w:t>Section 3.06(a)</w:t>
      </w:r>
      <w:r>
        <w:rPr>
          <w:rFonts w:ascii="Arial" w:cs="Arial" w:eastAsia="Arial" w:hAnsi="Arial"/>
          <w:sz w:val="19"/>
          <w:szCs w:val="19"/>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180" w:lineRule="exact"/>
        <w:rPr>
          <w:sz w:val="20"/>
          <w:szCs w:val="20"/>
          <w:color w:val="auto"/>
        </w:rPr>
      </w:pPr>
    </w:p>
    <w:p>
      <w:pPr>
        <w:jc w:val="both"/>
        <w:ind w:firstLine="656"/>
        <w:spacing w:after="0" w:line="255" w:lineRule="auto"/>
        <w:tabs>
          <w:tab w:leader="none" w:pos="111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xml:space="preserve">. If any Lender or the L/C Issuer determines that any Change in Law affecting such Lender or the L/C Issuer or any Lending Office of such Lender or such Lender’s or the L/C Issuer’s holding company, if any, regarding capital or liquidity requirements has had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Arial" w:cs="Arial" w:eastAsia="Arial" w:hAnsi="Arial"/>
          <w:sz w:val="19"/>
          <w:szCs w:val="19"/>
          <w:u w:val="single" w:color="auto"/>
          <w:color w:val="auto"/>
        </w:rPr>
        <w:t>Section 3.06(a)</w:t>
      </w:r>
      <w:r>
        <w:rPr>
          <w:rFonts w:ascii="Arial" w:cs="Arial" w:eastAsia="Arial" w:hAnsi="Arial"/>
          <w:sz w:val="19"/>
          <w:szCs w:val="19"/>
          <w:color w:val="auto"/>
        </w:rPr>
        <w:t>), such additional amount or amounts as will compensate such Lender or the L/C Issuer or such Lender’s or the L/C Issuer’s holding company for any such reduction suffered.</w:t>
      </w:r>
    </w:p>
    <w:p>
      <w:pPr>
        <w:spacing w:after="0" w:line="186" w:lineRule="exact"/>
        <w:rPr>
          <w:rFonts w:ascii="Arial" w:cs="Arial" w:eastAsia="Arial" w:hAnsi="Arial"/>
          <w:sz w:val="19"/>
          <w:szCs w:val="19"/>
          <w:color w:val="auto"/>
        </w:rPr>
      </w:pPr>
    </w:p>
    <w:p>
      <w:pPr>
        <w:jc w:val="both"/>
        <w:ind w:firstLine="656"/>
        <w:spacing w:after="0" w:line="243" w:lineRule="auto"/>
        <w:tabs>
          <w:tab w:leader="none" w:pos="1156"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in respect of the Change in Law giving rise to such increased costs or reductions (except that, if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19" w:right="3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in Law giving rise to such increased costs or reductions is retroactive, then the 120 day period referred to above shall be extended to include the period of retroactive effect thereof).</w:t>
      </w:r>
    </w:p>
    <w:p>
      <w:pPr>
        <w:spacing w:after="0" w:line="177" w:lineRule="exact"/>
        <w:rPr>
          <w:sz w:val="20"/>
          <w:szCs w:val="20"/>
          <w:color w:val="auto"/>
        </w:rPr>
      </w:pPr>
    </w:p>
    <w:p>
      <w:pPr>
        <w:ind w:firstLine="656"/>
        <w:spacing w:after="0" w:line="316" w:lineRule="auto"/>
        <w:tabs>
          <w:tab w:leader="none" w:pos="105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A Lender shall not be entitled to any compensation pursuant to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to the extent such Lender is not generally imposing such charges or requesting such compensation from other similarly situated borrowers under similar circumstances.</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52" w:lineRule="exact"/>
        <w:rPr>
          <w:sz w:val="20"/>
          <w:szCs w:val="20"/>
          <w:color w:val="auto"/>
        </w:rPr>
      </w:pPr>
    </w:p>
    <w:p>
      <w:pPr>
        <w:ind w:firstLine="656"/>
        <w:spacing w:after="0" w:line="287" w:lineRule="auto"/>
        <w:tabs>
          <w:tab w:leader="none" w:pos="1061"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52" w:lineRule="exact"/>
        <w:rPr>
          <w:rFonts w:ascii="Arial" w:cs="Arial" w:eastAsia="Arial" w:hAnsi="Arial"/>
          <w:sz w:val="19"/>
          <w:szCs w:val="19"/>
          <w:color w:val="auto"/>
        </w:rPr>
      </w:pPr>
    </w:p>
    <w:p>
      <w:pPr>
        <w:ind w:firstLine="656"/>
        <w:spacing w:after="0" w:line="260" w:lineRule="auto"/>
        <w:tabs>
          <w:tab w:leader="none" w:pos="1112"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176" w:lineRule="exact"/>
        <w:rPr>
          <w:rFonts w:ascii="Arial" w:cs="Arial" w:eastAsia="Arial" w:hAnsi="Arial"/>
          <w:sz w:val="20"/>
          <w:szCs w:val="20"/>
          <w:color w:val="auto"/>
        </w:rPr>
      </w:pPr>
    </w:p>
    <w:p>
      <w:pPr>
        <w:ind w:right="20" w:firstLine="656"/>
        <w:spacing w:after="0" w:line="260" w:lineRule="auto"/>
        <w:tabs>
          <w:tab w:leader="none" w:pos="1156"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76" w:lineRule="exact"/>
        <w:rPr>
          <w:rFonts w:ascii="Arial" w:cs="Arial" w:eastAsia="Arial" w:hAnsi="Arial"/>
          <w:sz w:val="20"/>
          <w:szCs w:val="20"/>
          <w:color w:val="auto"/>
        </w:rPr>
      </w:pPr>
    </w:p>
    <w:p>
      <w:pPr>
        <w:ind w:firstLine="656"/>
        <w:spacing w:after="0" w:line="260" w:lineRule="auto"/>
        <w:tabs>
          <w:tab w:leader="none" w:pos="1126"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Company pursuant to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and excluding any loss of anticipated profits. The Borrowers shall also pay any customary administrative fees charged by such Lender in connection with the foregoing.</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For purposes of calculating amounts payable by the Borrowers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048"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A certificate of the Administrative Agent, any Lender or the L/C Issuer claiming compensation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none of the Administrative Agent, such Lender or the L/C Issuer, as applicable, shall be required to disclose any confidential or proprietary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19"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 xml:space="preserve">in connection therewith. Any claim for compensation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must be accompanied by such certificate.</w:t>
      </w:r>
    </w:p>
    <w:p>
      <w:pPr>
        <w:spacing w:after="0" w:line="216" w:lineRule="exact"/>
        <w:rPr>
          <w:sz w:val="20"/>
          <w:szCs w:val="20"/>
          <w:color w:val="auto"/>
        </w:rPr>
      </w:pPr>
    </w:p>
    <w:p>
      <w:pPr>
        <w:jc w:val="both"/>
        <w:ind w:firstLine="656"/>
        <w:spacing w:after="0" w:line="270" w:lineRule="auto"/>
        <w:tabs>
          <w:tab w:leader="none" w:pos="11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Indemnified Taxes or additional amounts to any Lender, the L/C Issuer, or any Governmental Authority for the account of any Lender or the L/C Issuer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175" w:lineRule="exact"/>
        <w:rPr>
          <w:rFonts w:ascii="Arial" w:cs="Arial" w:eastAsia="Arial" w:hAnsi="Arial"/>
          <w:sz w:val="18"/>
          <w:szCs w:val="18"/>
          <w:color w:val="auto"/>
        </w:rPr>
      </w:pPr>
    </w:p>
    <w:p>
      <w:pPr>
        <w:ind w:right="20" w:firstLine="656"/>
        <w:spacing w:after="0" w:line="260" w:lineRule="auto"/>
        <w:tabs>
          <w:tab w:leader="none" w:pos="10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Upon any Lender’s making a claim for compensation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giving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the Company may replace such Lender in accordance with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FF0000"/>
          <w:strike w:val="1"/>
        </w:rPr>
        <w:t>3.07</w:t>
      </w:r>
      <w:r>
        <w:rPr>
          <w:sz w:val="20"/>
          <w:szCs w:val="20"/>
          <w:color w:val="auto"/>
        </w:rPr>
        <w:tab/>
      </w:r>
      <w:r>
        <w:rPr>
          <w:rFonts w:ascii="Arial" w:cs="Arial" w:eastAsia="Arial" w:hAnsi="Arial"/>
          <w:sz w:val="16"/>
          <w:szCs w:val="16"/>
          <w:u w:val="single" w:color="auto"/>
          <w:color w:val="FF0000"/>
          <w:strike w:val="1"/>
        </w:rPr>
        <w:t>Successor LIBOR</w:t>
      </w:r>
      <w:r>
        <w:rPr>
          <w:rFonts w:ascii="Arial" w:cs="Arial" w:eastAsia="Arial" w:hAnsi="Arial"/>
          <w:sz w:val="16"/>
          <w:szCs w:val="16"/>
          <w:color w:val="FF0000"/>
          <w:strike w:val="1"/>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08000"/>
          <w:strike w:val="1"/>
        </w:rPr>
        <w:t>Notwithstanding anything to the contrary in</w:t>
      </w:r>
      <w:r>
        <w:rPr>
          <w:rFonts w:ascii="Arial" w:cs="Arial" w:eastAsia="Arial" w:hAnsi="Arial"/>
          <w:sz w:val="20"/>
          <w:szCs w:val="20"/>
          <w:color w:val="008000"/>
        </w:rPr>
        <w:t xml:space="preserve"> </w:t>
      </w:r>
      <w:r>
        <w:rPr>
          <w:rFonts w:ascii="Arial" w:cs="Arial" w:eastAsia="Arial" w:hAnsi="Arial"/>
          <w:sz w:val="20"/>
          <w:szCs w:val="20"/>
          <w:color w:val="FF0000"/>
          <w:strike w:val="1"/>
        </w:rPr>
        <w:t>this Agreement or any other Loan Documents (including</w:t>
      </w:r>
      <w:r>
        <w:rPr>
          <w:rFonts w:ascii="Arial" w:cs="Arial" w:eastAsia="Arial" w:hAnsi="Arial"/>
          <w:sz w:val="20"/>
          <w:szCs w:val="20"/>
          <w:color w:val="008000"/>
        </w:rPr>
        <w:t xml:space="preserve"> </w:t>
      </w:r>
      <w:r>
        <w:rPr>
          <w:rFonts w:ascii="Arial" w:cs="Arial" w:eastAsia="Arial" w:hAnsi="Arial"/>
          <w:sz w:val="20"/>
          <w:szCs w:val="20"/>
          <w:u w:val="single" w:color="auto"/>
          <w:color w:val="FF0000"/>
          <w:strike w:val="1"/>
        </w:rPr>
        <w:t>Section 11.01</w:t>
      </w:r>
      <w:r>
        <w:rPr>
          <w:rFonts w:ascii="Arial" w:cs="Arial" w:eastAsia="Arial" w:hAnsi="Arial"/>
          <w:sz w:val="20"/>
          <w:szCs w:val="20"/>
          <w:color w:val="008000"/>
        </w:rPr>
        <w:t xml:space="preserve"> </w:t>
      </w:r>
      <w:r>
        <w:rPr>
          <w:rFonts w:ascii="Arial" w:cs="Arial" w:eastAsia="Arial" w:hAnsi="Arial"/>
          <w:sz w:val="20"/>
          <w:szCs w:val="20"/>
          <w:color w:val="FF0000"/>
          <w:strike w:val="1"/>
        </w:rPr>
        <w:t>hereof), if</w:t>
      </w:r>
      <w:r>
        <w:rPr>
          <w:rFonts w:ascii="Arial" w:cs="Arial" w:eastAsia="Arial" w:hAnsi="Arial"/>
          <w:sz w:val="20"/>
          <w:szCs w:val="20"/>
          <w:color w:val="008000"/>
        </w:rPr>
        <w:t xml:space="preserve"> the </w:t>
      </w:r>
      <w:r>
        <w:rPr>
          <w:rFonts w:ascii="Arial" w:cs="Arial" w:eastAsia="Arial" w:hAnsi="Arial"/>
          <w:sz w:val="20"/>
          <w:szCs w:val="20"/>
          <w:color w:val="008000"/>
          <w:strike w:val="1"/>
        </w:rPr>
        <w:t xml:space="preserve">Administrative Agent determines (which determination shall be conclusive absent </w:t>
      </w:r>
      <w:r>
        <w:rPr>
          <w:rFonts w:ascii="Arial" w:cs="Arial" w:eastAsia="Arial" w:hAnsi="Arial"/>
          <w:sz w:val="20"/>
          <w:szCs w:val="20"/>
          <w:color w:val="FF0000"/>
          <w:strike w:val="1"/>
        </w:rPr>
        <w:t>manifest</w:t>
      </w:r>
      <w:r>
        <w:rPr>
          <w:rFonts w:ascii="Arial" w:cs="Arial" w:eastAsia="Arial" w:hAnsi="Arial"/>
          <w:sz w:val="20"/>
          <w:szCs w:val="20"/>
          <w:color w:val="008000"/>
          <w:strike w:val="1"/>
        </w:rPr>
        <w:t xml:space="preserve"> error), or the Company notifies the Administrative Agent that the Company has determined, that</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-367665</wp:posOffset>
            </wp:positionV>
            <wp:extent cx="201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66" w:lineRule="exact"/>
        <w:rPr>
          <w:sz w:val="20"/>
          <w:szCs w:val="20"/>
          <w:color w:val="auto"/>
        </w:rPr>
      </w:pPr>
    </w:p>
    <w:p>
      <w:pPr>
        <w:ind w:left="660" w:firstLine="644"/>
        <w:spacing w:after="0" w:line="316" w:lineRule="auto"/>
        <w:tabs>
          <w:tab w:leader="none" w:pos="1801" w:val="left"/>
        </w:tabs>
        <w:numPr>
          <w:ilvl w:val="0"/>
          <w:numId w:val="101"/>
        </w:numPr>
        <w:rPr>
          <w:rFonts w:ascii="Arial" w:cs="Arial" w:eastAsia="Arial" w:hAnsi="Arial"/>
          <w:sz w:val="18"/>
          <w:szCs w:val="18"/>
          <w:color w:val="FF0000"/>
        </w:rPr>
      </w:pPr>
      <w:r>
        <w:rPr>
          <w:rFonts w:ascii="Arial" w:cs="Arial" w:eastAsia="Arial" w:hAnsi="Arial"/>
          <w:sz w:val="18"/>
          <w:szCs w:val="18"/>
          <w:color w:val="008000"/>
          <w:strike w:val="1"/>
        </w:rPr>
        <w:t xml:space="preserve">adequate and reasonable means do not exist for ascertaining </w:t>
      </w:r>
      <w:r>
        <w:rPr>
          <w:rFonts w:ascii="Arial" w:cs="Arial" w:eastAsia="Arial" w:hAnsi="Arial"/>
          <w:sz w:val="18"/>
          <w:szCs w:val="18"/>
          <w:color w:val="FF0000"/>
          <w:strike w:val="1"/>
        </w:rPr>
        <w:t>LIBOR for any requested Interest Period because the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LIBOR </w:t>
      </w:r>
      <w:r>
        <w:rPr>
          <w:rFonts w:ascii="Arial" w:cs="Arial" w:eastAsia="Arial" w:hAnsi="Arial"/>
          <w:sz w:val="18"/>
          <w:szCs w:val="18"/>
          <w:color w:val="008000"/>
          <w:strike w:val="1"/>
        </w:rPr>
        <w:t>Screen Rate is not available or published on a current basis and such circumstances are unlikely to be temporary</w:t>
      </w:r>
      <w:r>
        <w:rPr>
          <w:rFonts w:ascii="Arial" w:cs="Arial" w:eastAsia="Arial" w:hAnsi="Arial"/>
          <w:sz w:val="18"/>
          <w:szCs w:val="18"/>
          <w:color w:val="FF0000"/>
          <w:strike w:val="1"/>
        </w:rPr>
        <w:t>; or</w:t>
      </w:r>
    </w:p>
    <w:p>
      <w:pPr>
        <w:spacing w:after="0" w:line="129" w:lineRule="exact"/>
        <w:rPr>
          <w:rFonts w:ascii="Arial" w:cs="Arial" w:eastAsia="Arial" w:hAnsi="Arial"/>
          <w:sz w:val="18"/>
          <w:szCs w:val="18"/>
          <w:color w:val="FF0000"/>
        </w:rPr>
      </w:pPr>
    </w:p>
    <w:p>
      <w:pPr>
        <w:jc w:val="both"/>
        <w:ind w:left="660" w:firstLine="644"/>
        <w:spacing w:after="0" w:line="291" w:lineRule="auto"/>
        <w:tabs>
          <w:tab w:leader="none" w:pos="1824"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administrator of the LIBOR </w:t>
      </w:r>
      <w:r>
        <w:rPr>
          <w:rFonts w:ascii="Arial" w:cs="Arial" w:eastAsia="Arial" w:hAnsi="Arial"/>
          <w:sz w:val="18"/>
          <w:szCs w:val="18"/>
          <w:color w:val="008000"/>
          <w:strike w:val="1"/>
        </w:rPr>
        <w:t>Screen Rate or a Governmental Authority having jurisdiction over the Administrative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Agent has made a public statement identifying a specific date after which </w:t>
      </w:r>
      <w:r>
        <w:rPr>
          <w:rFonts w:ascii="Arial" w:cs="Arial" w:eastAsia="Arial" w:hAnsi="Arial"/>
          <w:sz w:val="18"/>
          <w:szCs w:val="18"/>
          <w:color w:val="FF0000"/>
          <w:strike w:val="1"/>
        </w:rPr>
        <w:t>LIBOR or the LIBOR Screen Rate shall no longer be made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available or used for determining the interest rate of loans (such specific date, the “</w:t>
      </w:r>
      <w:r>
        <w:rPr>
          <w:rFonts w:ascii="Arial" w:cs="Arial" w:eastAsia="Arial" w:hAnsi="Arial"/>
          <w:sz w:val="18"/>
          <w:szCs w:val="18"/>
          <w:u w:val="single" w:color="auto"/>
          <w:color w:val="FF0000"/>
          <w:strike w:val="1"/>
        </w:rPr>
        <w:t>Scheduled Unavailability Date</w:t>
      </w:r>
      <w:r>
        <w:rPr>
          <w:rFonts w:ascii="Arial" w:cs="Arial" w:eastAsia="Arial" w:hAnsi="Arial"/>
          <w:sz w:val="18"/>
          <w:szCs w:val="18"/>
          <w:color w:val="FF0000"/>
          <w:strike w:val="1"/>
        </w:rPr>
        <w:t>”), or</w:t>
      </w:r>
    </w:p>
    <w:p>
      <w:pPr>
        <w:spacing w:after="0" w:line="151" w:lineRule="exact"/>
        <w:rPr>
          <w:rFonts w:ascii="Arial" w:cs="Arial" w:eastAsia="Arial" w:hAnsi="Arial"/>
          <w:sz w:val="18"/>
          <w:szCs w:val="18"/>
          <w:color w:val="FF0000"/>
          <w:strike w:val="1"/>
        </w:rPr>
      </w:pPr>
    </w:p>
    <w:p>
      <w:pPr>
        <w:ind w:left="660" w:firstLine="644"/>
        <w:spacing w:after="0" w:line="287" w:lineRule="auto"/>
        <w:tabs>
          <w:tab w:leader="none" w:pos="1823" w:val="left"/>
        </w:tabs>
        <w:numPr>
          <w:ilvl w:val="0"/>
          <w:numId w:val="101"/>
        </w:numPr>
        <w:rPr>
          <w:rFonts w:ascii="Arial" w:cs="Arial" w:eastAsia="Arial" w:hAnsi="Arial"/>
          <w:sz w:val="19"/>
          <w:szCs w:val="19"/>
          <w:color w:val="FF0000"/>
          <w:strike w:val="1"/>
        </w:rPr>
      </w:pPr>
      <w:r>
        <w:rPr>
          <w:rFonts w:ascii="Arial" w:cs="Arial" w:eastAsia="Arial" w:hAnsi="Arial"/>
          <w:sz w:val="19"/>
          <w:szCs w:val="19"/>
          <w:color w:val="FF0000"/>
          <w:strike w:val="1"/>
        </w:rPr>
        <w:t>syndicated loans currently being executed</w:t>
      </w:r>
      <w:r>
        <w:rPr>
          <w:rFonts w:ascii="Arial" w:cs="Arial" w:eastAsia="Arial" w:hAnsi="Arial"/>
          <w:sz w:val="19"/>
          <w:szCs w:val="19"/>
          <w:color w:val="008000"/>
          <w:strike w:val="1"/>
        </w:rPr>
        <w:t>, or that include language similar to that contained in</w:t>
      </w:r>
      <w:r>
        <w:rPr>
          <w:rFonts w:ascii="Arial" w:cs="Arial" w:eastAsia="Arial" w:hAnsi="Arial"/>
          <w:sz w:val="19"/>
          <w:szCs w:val="19"/>
          <w:color w:val="FF0000"/>
        </w:rPr>
        <w:t xml:space="preserve"> </w:t>
      </w:r>
      <w:r>
        <w:rPr>
          <w:rFonts w:ascii="Arial" w:cs="Arial" w:eastAsia="Arial" w:hAnsi="Arial"/>
          <w:sz w:val="19"/>
          <w:szCs w:val="19"/>
          <w:color w:val="FF0000"/>
          <w:strike w:val="1"/>
        </w:rPr>
        <w:t>this Section,</w:t>
      </w:r>
      <w:r>
        <w:rPr>
          <w:rFonts w:ascii="Arial" w:cs="Arial" w:eastAsia="Arial" w:hAnsi="Arial"/>
          <w:sz w:val="19"/>
          <w:szCs w:val="19"/>
          <w:color w:val="FF0000"/>
        </w:rPr>
        <w:t xml:space="preserve"> </w:t>
      </w:r>
      <w:r>
        <w:rPr>
          <w:rFonts w:ascii="Arial" w:cs="Arial" w:eastAsia="Arial" w:hAnsi="Arial"/>
          <w:sz w:val="19"/>
          <w:szCs w:val="19"/>
          <w:color w:val="008000"/>
        </w:rPr>
        <w:t>are being</w:t>
      </w:r>
      <w:r>
        <w:rPr>
          <w:rFonts w:ascii="Arial" w:cs="Arial" w:eastAsia="Arial" w:hAnsi="Arial"/>
          <w:sz w:val="19"/>
          <w:szCs w:val="19"/>
          <w:color w:val="FF0000"/>
        </w:rPr>
        <w:t xml:space="preserve"> </w:t>
      </w:r>
      <w:r>
        <w:rPr>
          <w:rFonts w:ascii="Arial" w:cs="Arial" w:eastAsia="Arial" w:hAnsi="Arial"/>
          <w:sz w:val="19"/>
          <w:szCs w:val="19"/>
          <w:color w:val="008000"/>
          <w:strike w:val="1"/>
        </w:rPr>
        <w:t xml:space="preserve">executed or amended </w:t>
      </w:r>
      <w:r>
        <w:rPr>
          <w:rFonts w:ascii="Arial" w:cs="Arial" w:eastAsia="Arial" w:hAnsi="Arial"/>
          <w:sz w:val="19"/>
          <w:szCs w:val="19"/>
          <w:color w:val="FF0000"/>
          <w:strike w:val="1"/>
        </w:rPr>
        <w:t>(as applicable) to</w:t>
      </w:r>
      <w:r>
        <w:rPr>
          <w:rFonts w:ascii="Arial" w:cs="Arial" w:eastAsia="Arial" w:hAnsi="Arial"/>
          <w:sz w:val="19"/>
          <w:szCs w:val="19"/>
          <w:color w:val="008000"/>
          <w:strike w:val="1"/>
        </w:rPr>
        <w:t xml:space="preserve"> incorporate or adopt a new benchmark interest rate to replace </w:t>
      </w:r>
      <w:r>
        <w:rPr>
          <w:rFonts w:ascii="Arial" w:cs="Arial" w:eastAsia="Arial" w:hAnsi="Arial"/>
          <w:sz w:val="19"/>
          <w:szCs w:val="19"/>
          <w:color w:val="FF0000"/>
          <w:strike w:val="1"/>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-1246505</wp:posOffset>
            </wp:positionV>
            <wp:extent cx="313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3055" cy="889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-243205</wp:posOffset>
            </wp:positionV>
            <wp:extent cx="512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445" cy="8255"/>
                    </a:xfrm>
                    <a:prstGeom prst="rect">
                      <a:avLst/>
                    </a:prstGeom>
                    <a:noFill/>
                  </pic:spPr>
                </pic:pic>
              </a:graphicData>
            </a:graphic>
          </wp:anchor>
        </w:drawing>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u w:val="single" w:color="auto"/>
          <w:color w:val="0000FF"/>
        </w:rPr>
        <w:t>3.07</w:t>
      </w:r>
      <w:r>
        <w:rPr>
          <w:sz w:val="20"/>
          <w:szCs w:val="20"/>
          <w:color w:val="auto"/>
        </w:rPr>
        <w:tab/>
      </w:r>
      <w:r>
        <w:rPr>
          <w:rFonts w:ascii="Arial" w:cs="Arial" w:eastAsia="Arial" w:hAnsi="Arial"/>
          <w:sz w:val="18"/>
          <w:szCs w:val="18"/>
          <w:u w:val="single" w:color="auto"/>
          <w:color w:val="0000FF"/>
        </w:rPr>
        <w:t>Effect of Benchmark Transition Event.</w:t>
      </w:r>
    </w:p>
    <w:p>
      <w:pPr>
        <w:spacing w:after="0" w:line="216" w:lineRule="exact"/>
        <w:rPr>
          <w:sz w:val="20"/>
          <w:szCs w:val="20"/>
          <w:color w:val="auto"/>
        </w:rPr>
      </w:pPr>
    </w:p>
    <w:p>
      <w:pPr>
        <w:jc w:val="both"/>
        <w:ind w:firstLine="656"/>
        <w:spacing w:after="0" w:line="236" w:lineRule="exact"/>
        <w:tabs>
          <w:tab w:leader="none" w:pos="1286" w:val="left"/>
        </w:tabs>
        <w:numPr>
          <w:ilvl w:val="0"/>
          <w:numId w:val="102"/>
        </w:numPr>
        <w:rPr>
          <w:rFonts w:ascii="Arial" w:cs="Arial" w:eastAsia="Arial" w:hAnsi="Arial"/>
          <w:sz w:val="20"/>
          <w:szCs w:val="20"/>
          <w:color w:val="0000FF"/>
        </w:rPr>
      </w:pPr>
      <w:r>
        <w:rPr>
          <w:rFonts w:ascii="Arial" w:cs="Arial" w:eastAsia="Arial" w:hAnsi="Arial"/>
          <w:sz w:val="20"/>
          <w:szCs w:val="20"/>
          <w:u w:val="single" w:color="auto"/>
          <w:color w:val="0000FF"/>
        </w:rPr>
        <w:t>Notwithstanding anything to the contrary herein or in any other Loan Document (and any Hedging Agreement shall be deemed not to be a “Loan Document” for purposes of this Section 3.07), including, without limitation, Section 3.03(b), if a Benchmark Transition Event, an Early Opt</w:t>
      </w:r>
      <w:r>
        <w:rPr>
          <w:rFonts w:ascii="MS PGothic" w:cs="MS PGothic" w:eastAsia="MS PGothic" w:hAnsi="MS PGothic"/>
          <w:sz w:val="20"/>
          <w:szCs w:val="20"/>
          <w:u w:val="single" w:color="auto"/>
          <w:color w:val="0000FF"/>
        </w:rPr>
        <w:t>‐</w:t>
      </w:r>
      <w:r>
        <w:rPr>
          <w:rFonts w:ascii="Arial" w:cs="Arial" w:eastAsia="Arial" w:hAnsi="Arial"/>
          <w:sz w:val="20"/>
          <w:szCs w:val="20"/>
          <w:u w:val="single" w:color="auto"/>
          <w:color w:val="0000FF"/>
        </w:rPr>
        <w:t>in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19" w:right="339" w:bottom="1440" w:gutter="0" w:footer="0" w:header="0"/>
        </w:sectPr>
      </w:pPr>
    </w:p>
    <w:bookmarkStart w:id="102" w:name="page103"/>
    <w:bookmarkEnd w:id="102"/>
    <w:p>
      <w:pPr>
        <w:spacing w:after="0" w:line="237" w:lineRule="exact"/>
        <w:rPr>
          <w:sz w:val="20"/>
          <w:szCs w:val="20"/>
          <w:color w:val="auto"/>
        </w:rPr>
      </w:pPr>
      <w:r>
        <w:rPr>
          <w:rFonts w:ascii="Arial" w:cs="Arial" w:eastAsia="Arial" w:hAnsi="Arial"/>
          <w:sz w:val="16"/>
          <w:szCs w:val="16"/>
          <w:u w:val="single" w:color="auto"/>
          <w:color w:val="0000FF"/>
        </w:rPr>
        <w:t>or an Other Benchmark Rate Election, as applicable, and its related Benchmark Replacement Date have occurred prior to the Reference Time in respect of any setting of the then</w:t>
      </w:r>
      <w:r>
        <w:rPr>
          <w:rFonts w:ascii="MS PGothic" w:cs="MS PGothic" w:eastAsia="MS PGothic" w:hAnsi="MS PGothic"/>
          <w:sz w:val="16"/>
          <w:szCs w:val="16"/>
          <w:u w:val="single" w:color="auto"/>
          <w:color w:val="0000FF"/>
        </w:rPr>
        <w:t>‐</w:t>
      </w:r>
      <w:r>
        <w:rPr>
          <w:rFonts w:ascii="Arial" w:cs="Arial" w:eastAsia="Arial" w:hAnsi="Arial"/>
          <w:sz w:val="16"/>
          <w:szCs w:val="16"/>
          <w:u w:val="single" w:color="auto"/>
          <w:color w:val="0000FF"/>
        </w:rPr>
        <w:t>current Benchmark, then (x) if a Benchmark Replacement is determined in accordance with clause (1) or</w:t>
      </w:r>
    </w:p>
    <w:p>
      <w:pPr>
        <w:spacing w:after="0" w:line="1" w:lineRule="exact"/>
        <w:rPr>
          <w:sz w:val="20"/>
          <w:szCs w:val="20"/>
          <w:color w:val="auto"/>
        </w:rPr>
      </w:pPr>
    </w:p>
    <w:p>
      <w:pPr>
        <w:jc w:val="both"/>
        <w:ind w:firstLine="8"/>
        <w:spacing w:after="0" w:line="270" w:lineRule="auto"/>
        <w:tabs>
          <w:tab w:leader="none" w:pos="291" w:val="left"/>
        </w:tabs>
        <w:numPr>
          <w:ilvl w:val="0"/>
          <w:numId w:val="10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(Chicago time) on the 5th Business Day after the date notice of such Benchmark Replacement is provided by the Administrative Agent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9" w:lineRule="exact"/>
        <w:rPr>
          <w:rFonts w:ascii="Arial" w:cs="Arial" w:eastAsia="Arial" w:hAnsi="Arial"/>
          <w:sz w:val="18"/>
          <w:szCs w:val="18"/>
          <w:u w:val="single" w:color="auto"/>
          <w:color w:val="0000FF"/>
        </w:rPr>
      </w:pPr>
    </w:p>
    <w:p>
      <w:pPr>
        <w:jc w:val="both"/>
        <w:ind w:firstLine="656"/>
        <w:spacing w:after="0" w:line="232" w:lineRule="exact"/>
        <w:tabs>
          <w:tab w:leader="none" w:pos="1284" w:val="left"/>
        </w:tabs>
        <w:numPr>
          <w:ilvl w:val="1"/>
          <w:numId w:val="103"/>
        </w:numPr>
        <w:rPr>
          <w:rFonts w:ascii="Arial" w:cs="Arial" w:eastAsia="Arial" w:hAnsi="Arial"/>
          <w:sz w:val="18"/>
          <w:szCs w:val="18"/>
          <w:color w:val="0000FF"/>
        </w:rPr>
      </w:pPr>
      <w:r>
        <w:rPr>
          <w:rFonts w:ascii="Arial" w:cs="Arial" w:eastAsia="Arial" w:hAnsi="Arial"/>
          <w:sz w:val="18"/>
          <w:szCs w:val="18"/>
          <w:u w:val="single" w:color="auto"/>
          <w:color w:val="0000FF"/>
        </w:rPr>
        <w:t>Notwithstanding anything to the contrary herein or in any other Loan Document and subject to the proviso below in this paragraph, (x) with respect to Loans denominated in Dollars, if a Term SOFR Transition Event and its related Benchmark Replacement Date or (y) with respect to Loans denominated in euro, if a Term ESTR Transition Event and its related Benchmark Replacement Date, as applicable, have occurred prior to the Reference Time in respect of any setting of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then the applicable Benchmark Replacement will replace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 shall not be effective unless the Administrative Agent has delivered to the Lenders and the Company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w:t>
      </w:r>
    </w:p>
    <w:p>
      <w:pPr>
        <w:spacing w:after="0" w:line="199" w:lineRule="exact"/>
        <w:rPr>
          <w:rFonts w:ascii="Arial" w:cs="Arial" w:eastAsia="Arial" w:hAnsi="Arial"/>
          <w:sz w:val="18"/>
          <w:szCs w:val="18"/>
          <w:color w:val="0000FF"/>
        </w:rPr>
      </w:pPr>
    </w:p>
    <w:p>
      <w:pPr>
        <w:jc w:val="both"/>
        <w:ind w:firstLine="656"/>
        <w:spacing w:after="0" w:line="269" w:lineRule="auto"/>
        <w:tabs>
          <w:tab w:leader="none" w:pos="1286" w:val="left"/>
        </w:tabs>
        <w:numPr>
          <w:ilvl w:val="1"/>
          <w:numId w:val="103"/>
        </w:numPr>
        <w:rPr>
          <w:rFonts w:ascii="Arial" w:cs="Arial" w:eastAsia="Arial" w:hAnsi="Arial"/>
          <w:sz w:val="18"/>
          <w:szCs w:val="18"/>
          <w:color w:val="0000FF"/>
        </w:rPr>
      </w:pPr>
      <w:r>
        <w:rPr>
          <w:rFonts w:ascii="Arial" w:cs="Arial" w:eastAsia="Arial" w:hAnsi="Arial"/>
          <w:sz w:val="18"/>
          <w:szCs w:val="18"/>
          <w:color w:val="FF0000"/>
          <w:strike w:val="1"/>
        </w:rPr>
        <w:t xml:space="preserve">then, reasonably promptly after such determination by the Administrative Agent or receipt </w:t>
      </w:r>
      <w:r>
        <w:rPr>
          <w:rFonts w:ascii="Arial" w:cs="Arial" w:eastAsia="Arial" w:hAnsi="Arial"/>
          <w:sz w:val="18"/>
          <w:szCs w:val="18"/>
          <w:color w:val="008000"/>
          <w:strike w:val="1"/>
        </w:rPr>
        <w:t>by the Administrative Agent</w:t>
      </w:r>
      <w:r>
        <w:rPr>
          <w:rFonts w:ascii="Arial" w:cs="Arial" w:eastAsia="Arial" w:hAnsi="Arial"/>
          <w:sz w:val="18"/>
          <w:szCs w:val="18"/>
          <w:color w:val="FF0000"/>
          <w:strike w:val="1"/>
        </w:rPr>
        <w:t xml:space="preserve"> of such notice, as applicable, </w:t>
      </w:r>
      <w:r>
        <w:rPr>
          <w:rFonts w:ascii="Arial" w:cs="Arial" w:eastAsia="Arial" w:hAnsi="Arial"/>
          <w:sz w:val="18"/>
          <w:szCs w:val="18"/>
          <w:color w:val="008000"/>
          <w:strike w:val="1"/>
        </w:rPr>
        <w:t>the Administrative Agent and the Company</w:t>
      </w:r>
      <w:r>
        <w:rPr>
          <w:rFonts w:ascii="Arial" w:cs="Arial" w:eastAsia="Arial" w:hAnsi="Arial"/>
          <w:sz w:val="18"/>
          <w:szCs w:val="18"/>
          <w:color w:val="FF0000"/>
          <w:strike w:val="1"/>
        </w:rPr>
        <w:t xml:space="preserve"> may amend this Agreement to replace LIBOR with an alternate benchmark rate (including any mathematical or other adjustments to the benchmark (if any) incorporated therein, such as the margin applicable thereto), giving due consideration to any evolving or then-existing convention for similar Dollar denominated </w:t>
      </w:r>
      <w:r>
        <w:rPr>
          <w:rFonts w:ascii="Arial" w:cs="Arial" w:eastAsia="Arial" w:hAnsi="Arial"/>
          <w:sz w:val="18"/>
          <w:szCs w:val="18"/>
          <w:color w:val="008000"/>
          <w:strike w:val="1"/>
        </w:rPr>
        <w:t>syndicated credit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facilities </w:t>
      </w:r>
      <w:r>
        <w:rPr>
          <w:rFonts w:ascii="Arial" w:cs="Arial" w:eastAsia="Arial" w:hAnsi="Arial"/>
          <w:sz w:val="18"/>
          <w:szCs w:val="18"/>
          <w:color w:val="FF0000"/>
          <w:strike w:val="1"/>
        </w:rPr>
        <w:t>for such alternative benchmarks (any such proposed rate, a “</w:t>
      </w:r>
      <w:r>
        <w:rPr>
          <w:rFonts w:ascii="Arial" w:cs="Arial" w:eastAsia="Arial" w:hAnsi="Arial"/>
          <w:sz w:val="18"/>
          <w:szCs w:val="18"/>
          <w:u w:val="single" w:color="auto"/>
          <w:color w:val="FF0000"/>
          <w:strike w:val="1"/>
        </w:rPr>
        <w:t>LIBOR Successor Rate</w:t>
      </w:r>
      <w:r>
        <w:rPr>
          <w:rFonts w:ascii="Arial" w:cs="Arial" w:eastAsia="Arial" w:hAnsi="Arial"/>
          <w:sz w:val="18"/>
          <w:szCs w:val="18"/>
          <w:color w:val="FF0000"/>
          <w:strike w:val="1"/>
        </w:rPr>
        <w:t>”), together with any proposed LIBOR</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Successor Rate Conforming Changes and any </w:t>
      </w:r>
      <w:r>
        <w:rPr>
          <w:rFonts w:ascii="Arial" w:cs="Arial" w:eastAsia="Arial" w:hAnsi="Arial"/>
          <w:sz w:val="18"/>
          <w:szCs w:val="18"/>
          <w:color w:val="008000"/>
          <w:strike w:val="1"/>
        </w:rPr>
        <w:t>such amendment shall become effective</w:t>
      </w:r>
      <w:r>
        <w:rPr>
          <w:rFonts w:ascii="Arial" w:cs="Arial" w:eastAsia="Arial" w:hAnsi="Arial"/>
          <w:sz w:val="18"/>
          <w:szCs w:val="18"/>
          <w:color w:val="FF0000"/>
          <w:strike w:val="1"/>
        </w:rPr>
        <w:t xml:space="preserve"> at 5:00 p.m. on the fifth Business Day after </w:t>
      </w:r>
      <w:r>
        <w:rPr>
          <w:rFonts w:ascii="Arial" w:cs="Arial" w:eastAsia="Arial" w:hAnsi="Arial"/>
          <w:sz w:val="18"/>
          <w:szCs w:val="18"/>
          <w:color w:val="008000"/>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Administrative Agent shall </w:t>
      </w:r>
      <w:r>
        <w:rPr>
          <w:rFonts w:ascii="Arial" w:cs="Arial" w:eastAsia="Arial" w:hAnsi="Arial"/>
          <w:sz w:val="18"/>
          <w:szCs w:val="18"/>
          <w:color w:val="FF0000"/>
          <w:strike w:val="1"/>
        </w:rPr>
        <w:t>have posted such proposed amendment to all Lenders and the Company unless, prior to such time,</w:t>
      </w:r>
      <w:r>
        <w:rPr>
          <w:rFonts w:ascii="Arial" w:cs="Arial" w:eastAsia="Arial" w:hAnsi="Arial"/>
          <w:sz w:val="18"/>
          <w:szCs w:val="18"/>
          <w:color w:val="008000"/>
          <w:strike w:val="1"/>
        </w:rPr>
        <w:t xml:space="preserve"> Lenders comprising the Required Lenders </w:t>
      </w:r>
      <w:r>
        <w:rPr>
          <w:rFonts w:ascii="Arial" w:cs="Arial" w:eastAsia="Arial" w:hAnsi="Arial"/>
          <w:sz w:val="18"/>
          <w:szCs w:val="18"/>
          <w:color w:val="FF0000"/>
          <w:strike w:val="1"/>
        </w:rPr>
        <w:t>have delivered to the Administrative Agent written notice that such Required Lenders do not accept such</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amendment. For the avoidance of doubt, no </w:t>
      </w:r>
      <w:r>
        <w:rPr>
          <w:rFonts w:ascii="Arial" w:cs="Arial" w:eastAsia="Arial" w:hAnsi="Arial"/>
          <w:sz w:val="18"/>
          <w:szCs w:val="18"/>
          <w:u w:val="single" w:color="auto"/>
          <w:color w:val="0000FF"/>
          <w:strike w:val="1"/>
        </w:rPr>
        <w:t>In connection with the implementation of a Benchmark Replacement, the Administrative Agent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Loan Party shall be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required to pay any “amendment fee” or other similar fee in connection with an amendment or other modification to this Agreement or any other Loan Document made solely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-1828165</wp:posOffset>
            </wp:positionV>
            <wp:extent cx="23945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94585"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-1099820</wp:posOffset>
            </wp:positionV>
            <wp:extent cx="5325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-953770</wp:posOffset>
            </wp:positionV>
            <wp:extent cx="54317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31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19" w:right="3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 xml:space="preserve">replacement of </w:t>
      </w:r>
      <w:r>
        <w:rPr>
          <w:rFonts w:ascii="Arial" w:cs="Arial" w:eastAsia="Arial" w:hAnsi="Arial"/>
          <w:sz w:val="20"/>
          <w:szCs w:val="20"/>
          <w:color w:val="FF0000"/>
          <w:strike w:val="1"/>
        </w:rPr>
        <w:t>LIBOR with the LIBOR Successor Rate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any Benchmark</w:t>
      </w:r>
      <w:r>
        <w:rPr>
          <w:rFonts w:ascii="Arial" w:cs="Arial" w:eastAsia="Arial" w:hAnsi="Arial"/>
          <w:sz w:val="20"/>
          <w:szCs w:val="20"/>
          <w:color w:val="auto"/>
        </w:rPr>
        <w:t xml:space="preserve"> or any proposed </w:t>
      </w:r>
      <w:r>
        <w:rPr>
          <w:rFonts w:ascii="Arial" w:cs="Arial" w:eastAsia="Arial" w:hAnsi="Arial"/>
          <w:sz w:val="20"/>
          <w:szCs w:val="20"/>
          <w:color w:val="FF0000"/>
          <w:strike w:val="1"/>
        </w:rPr>
        <w:t>LIBOR Successor Rate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Benchmark Replacement</w:t>
      </w:r>
      <w:r>
        <w:rPr>
          <w:rFonts w:ascii="Arial" w:cs="Arial" w:eastAsia="Arial" w:hAnsi="Arial"/>
          <w:sz w:val="20"/>
          <w:szCs w:val="20"/>
          <w:color w:val="auto"/>
        </w:rPr>
        <w:t xml:space="preserve"> Conforming Changes related thereto.</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FF0000"/>
          <w:strike w:val="1"/>
        </w:rPr>
        <w:t xml:space="preserve">If no LIBOR Successor Rate has been determined and the circumstances under clause (i) above exist or the Scheduled Unavailability Date has occurred (as applicable), the </w:t>
      </w:r>
      <w:r>
        <w:rPr>
          <w:rFonts w:ascii="Arial" w:cs="Arial" w:eastAsia="Arial" w:hAnsi="Arial"/>
          <w:sz w:val="20"/>
          <w:szCs w:val="20"/>
          <w:color w:val="008000"/>
          <w:strike w:val="1"/>
        </w:rPr>
        <w:t>Administrative Agent will promptly</w:t>
      </w:r>
      <w:r>
        <w:rPr>
          <w:rFonts w:ascii="Arial" w:cs="Arial" w:eastAsia="Arial" w:hAnsi="Arial"/>
          <w:sz w:val="20"/>
          <w:szCs w:val="20"/>
          <w:color w:val="FF0000"/>
          <w:strike w:val="1"/>
        </w:rPr>
        <w:t xml:space="preserve"> so notify the Company and each Lender. Thereafter, (x) </w:t>
      </w:r>
      <w:r>
        <w:rPr>
          <w:rFonts w:ascii="Arial" w:cs="Arial" w:eastAsia="Arial" w:hAnsi="Arial"/>
          <w:sz w:val="20"/>
          <w:szCs w:val="20"/>
          <w:color w:val="008000"/>
          <w:strike w:val="1"/>
        </w:rPr>
        <w:t>the</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obligation of the Lenders to make or maintain </w:t>
      </w:r>
      <w:r>
        <w:rPr>
          <w:rFonts w:ascii="Arial" w:cs="Arial" w:eastAsia="Arial" w:hAnsi="Arial"/>
          <w:sz w:val="20"/>
          <w:szCs w:val="20"/>
          <w:color w:val="FF0000"/>
          <w:strike w:val="1"/>
        </w:rPr>
        <w:t>Eurocurrency Rate Loans shall be suspended (to the extent of the affected Eurocurrency Rate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Loans or Interest Periods), and (y) the Eurocurrency Rate component shall no longer be utilized in determining the Base Rate (to the extent of the affected Interest Period). Upon receipt of such notice, the Borrowers may revoke any pending </w:t>
      </w:r>
      <w:r>
        <w:rPr>
          <w:rFonts w:ascii="Arial" w:cs="Arial" w:eastAsia="Arial" w:hAnsi="Arial"/>
          <w:sz w:val="20"/>
          <w:szCs w:val="20"/>
          <w:color w:val="008000"/>
          <w:strike w:val="1"/>
        </w:rPr>
        <w:t>request for a Borrowing of, conversion to</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or continuation of </w:t>
      </w:r>
      <w:r>
        <w:rPr>
          <w:rFonts w:ascii="Arial" w:cs="Arial" w:eastAsia="Arial" w:hAnsi="Arial"/>
          <w:sz w:val="20"/>
          <w:szCs w:val="20"/>
          <w:color w:val="FF0000"/>
          <w:strike w:val="1"/>
        </w:rPr>
        <w:t>Eurocurrency Rate Loans (to the extent of the affected Eurocurrency Rate Loans or Interest Periods) or, failing that, will be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deemed to have converted </w:t>
      </w:r>
      <w:r>
        <w:rPr>
          <w:rFonts w:ascii="Arial" w:cs="Arial" w:eastAsia="Arial" w:hAnsi="Arial"/>
          <w:sz w:val="20"/>
          <w:szCs w:val="20"/>
          <w:color w:val="008000"/>
          <w:strike w:val="1"/>
        </w:rPr>
        <w:t>such request into a request for a Borrowing of</w:t>
      </w:r>
      <w:r>
        <w:rPr>
          <w:rFonts w:ascii="Arial" w:cs="Arial" w:eastAsia="Arial" w:hAnsi="Arial"/>
          <w:sz w:val="20"/>
          <w:szCs w:val="20"/>
          <w:color w:val="FF0000"/>
          <w:strike w:val="1"/>
        </w:rPr>
        <w:t xml:space="preserve"> Base Rate Loans (subject to the foregoing clause (y)) in the amount specified therein.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FF0000"/>
          <w:strike w:val="1"/>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jc w:val="both"/>
        <w:ind w:firstLine="656"/>
        <w:spacing w:after="0" w:line="232" w:lineRule="exact"/>
        <w:tabs>
          <w:tab w:leader="none" w:pos="1284" w:val="left"/>
        </w:tabs>
        <w:numPr>
          <w:ilvl w:val="0"/>
          <w:numId w:val="104"/>
        </w:numPr>
        <w:rPr>
          <w:rFonts w:ascii="Arial" w:cs="Arial" w:eastAsia="Arial" w:hAnsi="Arial"/>
          <w:sz w:val="19"/>
          <w:szCs w:val="19"/>
          <w:color w:val="0000FF"/>
        </w:rPr>
      </w:pPr>
      <w:r>
        <w:rPr>
          <w:rFonts w:ascii="Arial" w:cs="Arial" w:eastAsia="Arial" w:hAnsi="Arial"/>
          <w:sz w:val="19"/>
          <w:szCs w:val="19"/>
          <w:u w:val="single" w:color="auto"/>
          <w:color w:val="0000FF"/>
        </w:rPr>
        <w:t xml:space="preserve">The </w:t>
      </w:r>
      <w:r>
        <w:rPr>
          <w:rFonts w:ascii="Arial" w:cs="Arial" w:eastAsia="Arial" w:hAnsi="Arial"/>
          <w:sz w:val="19"/>
          <w:szCs w:val="19"/>
          <w:u w:val="single" w:color="auto"/>
          <w:color w:val="008000"/>
        </w:rPr>
        <w:t>Administrative Agent will promptly</w:t>
      </w:r>
      <w:r>
        <w:rPr>
          <w:rFonts w:ascii="Arial" w:cs="Arial" w:eastAsia="Arial" w:hAnsi="Arial"/>
          <w:sz w:val="19"/>
          <w:szCs w:val="19"/>
          <w:u w:val="single" w:color="auto"/>
          <w:color w:val="0000FF"/>
        </w:rPr>
        <w:t xml:space="preserve"> notify the Company and the Lenders of (i) any occurrence of a Benchmark Transition Event, Term SOFR Transition Event, Term ESTR Transition Event, Early Opt</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in Election or Other Benchmark Rate Election, as applicable,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3.07, including any determination with respect to a tenor, rate or adjustment or of the occurrence or non</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occurrence of an event, circumstance or date and any decision to take or refrain from taking any action or any selection, will be conclusive and binding absent demonstrable error and may be made in its or their sole discretion and without consent from any other party to this Agreement or any other Loan Document, except, in each case, as expressly required pursuant to this Section 3.07.</w:t>
      </w:r>
    </w:p>
    <w:p>
      <w:pPr>
        <w:spacing w:after="0" w:line="198" w:lineRule="exact"/>
        <w:rPr>
          <w:rFonts w:ascii="Arial" w:cs="Arial" w:eastAsia="Arial" w:hAnsi="Arial"/>
          <w:sz w:val="19"/>
          <w:szCs w:val="19"/>
          <w:color w:val="0000FF"/>
        </w:rPr>
      </w:pPr>
    </w:p>
    <w:p>
      <w:pPr>
        <w:jc w:val="both"/>
        <w:ind w:firstLine="656"/>
        <w:spacing w:after="0" w:line="232" w:lineRule="exact"/>
        <w:tabs>
          <w:tab w:leader="none" w:pos="1286" w:val="left"/>
        </w:tabs>
        <w:numPr>
          <w:ilvl w:val="0"/>
          <w:numId w:val="104"/>
        </w:numPr>
        <w:rPr>
          <w:rFonts w:ascii="Arial" w:cs="Arial" w:eastAsia="Arial" w:hAnsi="Arial"/>
          <w:sz w:val="18"/>
          <w:szCs w:val="18"/>
          <w:color w:val="0000FF"/>
        </w:rPr>
      </w:pPr>
      <w:r>
        <w:rPr>
          <w:rFonts w:ascii="Arial" w:cs="Arial" w:eastAsia="Arial" w:hAnsi="Arial"/>
          <w:sz w:val="18"/>
          <w:szCs w:val="18"/>
          <w:u w:val="single" w:color="auto"/>
          <w:color w:val="0000FF"/>
        </w:rPr>
        <w:t>Notwithstanding anything to the contrary herein or in any other Loan Document, at any time (including in connection with the implementation of a Benchmark Replacement), (i) if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 xml:space="preserve"> current Benchmark is a term rate (including Term SOFR, Term ESTR, the LIBO Rate, the EURIBO Rate or the TIBO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8" w:lineRule="exact"/>
        <w:rPr>
          <w:rFonts w:ascii="Arial" w:cs="Arial" w:eastAsia="Arial" w:hAnsi="Arial"/>
          <w:sz w:val="18"/>
          <w:szCs w:val="18"/>
          <w:color w:val="0000FF"/>
        </w:rPr>
      </w:pPr>
    </w:p>
    <w:p>
      <w:pPr>
        <w:ind w:firstLine="656"/>
        <w:spacing w:after="0" w:line="260" w:lineRule="auto"/>
        <w:tabs>
          <w:tab w:leader="none" w:pos="1291" w:val="left"/>
        </w:tabs>
        <w:numPr>
          <w:ilvl w:val="0"/>
          <w:numId w:val="104"/>
        </w:numPr>
        <w:rPr>
          <w:rFonts w:ascii="Arial" w:cs="Arial" w:eastAsia="Arial" w:hAnsi="Arial"/>
          <w:sz w:val="20"/>
          <w:szCs w:val="20"/>
          <w:color w:val="0000FF"/>
        </w:rPr>
      </w:pPr>
      <w:r>
        <w:rPr>
          <w:rFonts w:ascii="Arial" w:cs="Arial" w:eastAsia="Arial" w:hAnsi="Arial"/>
          <w:sz w:val="20"/>
          <w:szCs w:val="20"/>
          <w:u w:val="single" w:color="auto"/>
          <w:color w:val="0000FF"/>
        </w:rPr>
        <w:t>Upon the Company’s receipt of notice from the Administrative Agent of the commencement of a Benchmark Unavailability Period and until a Benchmark Replacement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19" w:right="339" w:bottom="1440" w:gutter="0" w:footer="0" w:header="0"/>
        </w:sectPr>
      </w:pPr>
    </w:p>
    <w:bookmarkStart w:id="104" w:name="page105"/>
    <w:bookmarkEnd w:id="104"/>
    <w:p>
      <w:pPr>
        <w:jc w:val="both"/>
        <w:spacing w:after="0" w:line="231" w:lineRule="exact"/>
        <w:rPr>
          <w:sz w:val="20"/>
          <w:szCs w:val="20"/>
          <w:color w:val="auto"/>
        </w:rPr>
      </w:pPr>
      <w:r>
        <w:rPr>
          <w:rFonts w:ascii="Arial" w:cs="Arial" w:eastAsia="Arial" w:hAnsi="Arial"/>
          <w:sz w:val="18"/>
          <w:szCs w:val="18"/>
          <w:u w:val="single" w:color="auto"/>
          <w:color w:val="0000FF"/>
        </w:rPr>
        <w:t xml:space="preserve">in accordance with this Section 3.07 for (i) Dollars, the Company may revoke any request for a borrowing </w:t>
      </w:r>
      <w:r>
        <w:rPr>
          <w:rFonts w:ascii="Arial" w:cs="Arial" w:eastAsia="Arial" w:hAnsi="Arial"/>
          <w:sz w:val="18"/>
          <w:szCs w:val="18"/>
          <w:u w:val="single" w:color="auto"/>
          <w:color w:val="008000"/>
        </w:rPr>
        <w:t>of, conversion to or continuation</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of Eurocurrency Rate Loans </w:t>
      </w:r>
      <w:r>
        <w:rPr>
          <w:rFonts w:ascii="Arial" w:cs="Arial" w:eastAsia="Arial" w:hAnsi="Arial"/>
          <w:sz w:val="18"/>
          <w:szCs w:val="18"/>
          <w:u w:val="single" w:color="auto"/>
          <w:color w:val="0000FF"/>
        </w:rPr>
        <w:t>to be made, converted or continued during any such Benchmark Unavailability Period and, failing that,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 xml:space="preserve">Company </w:t>
      </w:r>
      <w:r>
        <w:rPr>
          <w:rFonts w:ascii="Arial" w:cs="Arial" w:eastAsia="Arial" w:hAnsi="Arial"/>
          <w:sz w:val="18"/>
          <w:szCs w:val="18"/>
          <w:u w:val="single" w:color="auto"/>
          <w:color w:val="008000"/>
        </w:rPr>
        <w:t>will be deemed to have converted</w:t>
      </w:r>
      <w:r>
        <w:rPr>
          <w:rFonts w:ascii="Arial" w:cs="Arial" w:eastAsia="Arial" w:hAnsi="Arial"/>
          <w:sz w:val="18"/>
          <w:szCs w:val="18"/>
          <w:u w:val="single" w:color="auto"/>
          <w:color w:val="0000FF"/>
        </w:rPr>
        <w:t xml:space="preserve"> any </w:t>
      </w:r>
      <w:r>
        <w:rPr>
          <w:rFonts w:ascii="Arial" w:cs="Arial" w:eastAsia="Arial" w:hAnsi="Arial"/>
          <w:sz w:val="18"/>
          <w:szCs w:val="18"/>
          <w:u w:val="single" w:color="auto"/>
          <w:color w:val="008000"/>
        </w:rPr>
        <w:t>such request into a request for a Borrowing of</w:t>
      </w:r>
      <w:r>
        <w:rPr>
          <w:rFonts w:ascii="Arial" w:cs="Arial" w:eastAsia="Arial" w:hAnsi="Arial"/>
          <w:sz w:val="18"/>
          <w:szCs w:val="18"/>
          <w:u w:val="single" w:color="auto"/>
          <w:color w:val="0000FF"/>
        </w:rPr>
        <w:t xml:space="preserve"> or conversion to Base Rate Loans and (ii) any other Agreed Currency, </w:t>
      </w:r>
      <w:r>
        <w:rPr>
          <w:rFonts w:ascii="Arial" w:cs="Arial" w:eastAsia="Arial" w:hAnsi="Arial"/>
          <w:sz w:val="18"/>
          <w:szCs w:val="18"/>
          <w:u w:val="single" w:color="auto"/>
          <w:color w:val="008000"/>
        </w:rPr>
        <w:t>the obligation of the Lenders to make or maintain</w:t>
      </w:r>
      <w:r>
        <w:rPr>
          <w:rFonts w:ascii="Arial" w:cs="Arial" w:eastAsia="Arial" w:hAnsi="Arial"/>
          <w:sz w:val="18"/>
          <w:szCs w:val="18"/>
          <w:u w:val="single" w:color="auto"/>
          <w:color w:val="0000FF"/>
        </w:rPr>
        <w:t xml:space="preserve"> Loans in such Agreed Currency shall be suspended (and the Company may revoke any </w:t>
      </w:r>
      <w:r>
        <w:rPr>
          <w:rFonts w:ascii="Arial" w:cs="Arial" w:eastAsia="Arial" w:hAnsi="Arial"/>
          <w:sz w:val="18"/>
          <w:szCs w:val="18"/>
          <w:u w:val="single" w:color="auto"/>
          <w:color w:val="008000"/>
        </w:rPr>
        <w:t>request for a Borrowing of, conversion to or continuation of</w:t>
      </w:r>
      <w:r>
        <w:rPr>
          <w:rFonts w:ascii="Arial" w:cs="Arial" w:eastAsia="Arial" w:hAnsi="Arial"/>
          <w:sz w:val="18"/>
          <w:szCs w:val="18"/>
          <w:u w:val="single" w:color="auto"/>
          <w:color w:val="0000FF"/>
        </w:rPr>
        <w:t xml:space="preserve"> Loans to be made in such Agreed Currency during the Benchmark Unavailability Period). During any Benchmark Unavailability Period for Dollars or at any time that a tenor for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for Dollars is not an Available Tenor, the component of Base Rate based upon the then</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current Benchmark or such tenor for such Benchmark, as applicable, will not be used in any determination of Base Rate. Furthermore, if any Eurocurrency Rate Loan in any Alternative Currency is outstanding on the date of the Company’s receipt of notice of the commencement of a Benchmark Unavailability Period with respect to a Relevant Rate applicable to such Eurocurrency Rate Loan, then (until such time as a benchmark replacement for such Alternative Currency is implemented pursuant to this Section 3.07) such Loan shall, on the last day of the Interest Period applicable to such Loan (or the next succeeding Business Day if such day is not a Business Day), at the Company’s election prior to such day: (A) be prepaid by the Company on such day or (B) be converted by the Administrative Agent to, and shall constitute, a Base Rate Loan denominated in Dollars (in an amount equal to the Dollar Equivalent of such Agreed Currency) on such day (it being understood and agreed that if the Company does not so prepay such Loan on such day by 2:00 p.m., local time, the Administrative Agent is authorized to effect such conversion of such Eurocurrency Rate Loan into a Base Rate Loan denominated in Dollars). If any RFR Loan is outstanding on the date of the Company’s receipt of notice of the commencement of a Benchmark Unavailability Period with respect to a Relevant Rate applicable to such RFR Loan, then such Loan shall, on the next Interest Payment Date applicable to such Loan (or the next succeeding Business Day if such day is not a Business Day), bear interest at the Central Bank Rate for Sterling plus the Applicable Rate; provided that, if the Administrative Agent determines (which determination shall be conclusive and binding absent manifest error) that the Central Bank Rate for Sterling cannot be determined, any outstanding affected RFR Loans denominated in Sterling, at the Company’s election, shall either (A) be converted into Base Rate Loans denominated in Dollars (in an amount equal to the Dollar Equivalent of Sterling) on the next applicable Interest Payment Date (or the next succeeding Business Day if such day is not a Business Day) or (B) be prepaid in full immediately on the next applicable Interest Payment Date (or the next succeeding Business Day if such day is not a Business Day).</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All of the Loan Parties’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Revolving Commitments and repayment of all other Obligations hereunder and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19"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(after giving effect to any grace or cure period) (whether at stated maturity, as a mandatory prepayment, by acceleration, as a mandatory cash collateralization or otherwise), the Guarantors will promptly, jointly and severally, promptly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The obligations of the Guarantors under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99" w:lineRule="exact"/>
        <w:rPr>
          <w:sz w:val="20"/>
          <w:szCs w:val="20"/>
          <w:color w:val="auto"/>
        </w:rPr>
      </w:pPr>
    </w:p>
    <w:p>
      <w:pPr>
        <w:ind w:firstLine="656"/>
        <w:spacing w:after="0" w:line="260" w:lineRule="auto"/>
        <w:tabs>
          <w:tab w:leader="none" w:pos="108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6" w:lineRule="exact"/>
        <w:rPr>
          <w:rFonts w:ascii="Arial" w:cs="Arial" w:eastAsia="Arial" w:hAnsi="Arial"/>
          <w:sz w:val="20"/>
          <w:szCs w:val="20"/>
          <w:color w:val="auto"/>
        </w:rPr>
      </w:pPr>
    </w:p>
    <w:p>
      <w:pPr>
        <w:ind w:firstLine="656"/>
        <w:spacing w:after="0" w:line="260" w:lineRule="auto"/>
        <w:tabs>
          <w:tab w:leader="none" w:pos="11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of the acts mentioned in any of the provisions of any of the Loan Documents, any Hedging Agreement or Treasury Management Agreement between any Loan Party and any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19" w:right="339" w:bottom="1440" w:gutter="0" w:footer="0" w:header="0"/>
        </w:sectPr>
      </w:pPr>
    </w:p>
    <w:bookmarkStart w:id="106" w:name="page107"/>
    <w:bookmarkEnd w:id="106"/>
    <w:p>
      <w:pPr>
        <w:ind w:right="20"/>
        <w:spacing w:after="0" w:line="260" w:lineRule="auto"/>
        <w:rPr>
          <w:sz w:val="20"/>
          <w:szCs w:val="20"/>
          <w:color w:val="auto"/>
        </w:rPr>
      </w:pPr>
      <w:r>
        <w:rPr>
          <w:rFonts w:ascii="Arial" w:cs="Arial" w:eastAsia="Arial" w:hAnsi="Arial"/>
          <w:sz w:val="20"/>
          <w:szCs w:val="20"/>
          <w:color w:val="auto"/>
        </w:rPr>
        <w:t>any Affiliate of a Lender, or any other agreement or instrument referred to in the Loan Documents, such Hedging Agreements or such Treasury Management Agreements shall be done or omitted;</w:t>
      </w:r>
    </w:p>
    <w:p>
      <w:pPr>
        <w:spacing w:after="0" w:line="177" w:lineRule="exact"/>
        <w:rPr>
          <w:sz w:val="20"/>
          <w:szCs w:val="20"/>
          <w:color w:val="auto"/>
        </w:rPr>
      </w:pPr>
    </w:p>
    <w:p>
      <w:pPr>
        <w:jc w:val="both"/>
        <w:ind w:firstLine="656"/>
        <w:spacing w:after="0" w:line="243" w:lineRule="auto"/>
        <w:tabs>
          <w:tab w:leader="none" w:pos="115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192" w:lineRule="exact"/>
        <w:rPr>
          <w:rFonts w:ascii="Arial" w:cs="Arial" w:eastAsia="Arial" w:hAnsi="Arial"/>
          <w:sz w:val="20"/>
          <w:szCs w:val="20"/>
          <w:color w:val="auto"/>
        </w:rPr>
      </w:pPr>
    </w:p>
    <w:p>
      <w:pPr>
        <w:ind w:firstLine="656"/>
        <w:spacing w:after="0" w:line="260" w:lineRule="auto"/>
        <w:tabs>
          <w:tab w:leader="none" w:pos="107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Lien granted to, or in favor of, the Administrative Agent or any holder of Obligations as security for any of the Obligations shall fail to attach or be perfected; or</w:t>
      </w:r>
    </w:p>
    <w:p>
      <w:pPr>
        <w:spacing w:after="0" w:line="176" w:lineRule="exact"/>
        <w:rPr>
          <w:rFonts w:ascii="Arial" w:cs="Arial" w:eastAsia="Arial" w:hAnsi="Arial"/>
          <w:sz w:val="20"/>
          <w:szCs w:val="20"/>
          <w:color w:val="auto"/>
        </w:rPr>
      </w:pPr>
    </w:p>
    <w:p>
      <w:pPr>
        <w:ind w:firstLine="656"/>
        <w:spacing w:after="0" w:line="316" w:lineRule="auto"/>
        <w:tabs>
          <w:tab w:leader="none" w:pos="104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The obligations of the Guarantors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4.04</w:t>
      </w:r>
      <w:r>
        <w:rPr>
          <w:sz w:val="20"/>
          <w:szCs w:val="20"/>
          <w:color w:val="auto"/>
        </w:rPr>
        <w:tab/>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through the exercise of rights of contribution pursuant to </w:t>
      </w:r>
      <w:r>
        <w:rPr>
          <w:rFonts w:ascii="Arial" w:cs="Arial" w:eastAsia="Arial" w:hAnsi="Arial"/>
          <w:sz w:val="19"/>
          <w:szCs w:val="19"/>
          <w:u w:val="single" w:color="auto"/>
          <w:color w:val="auto"/>
        </w:rPr>
        <w:t>Section 4.06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19" w:right="339" w:bottom="1440" w:gutter="0" w:footer="0" w:header="0"/>
        </w:sectPr>
      </w:pPr>
    </w:p>
    <w:bookmarkStart w:id="107" w:name="page108"/>
    <w:bookmarkEnd w:id="107"/>
    <w:p>
      <w:pPr>
        <w:spacing w:after="0"/>
        <w:tabs>
          <w:tab w:leader="none" w:pos="520" w:val="left"/>
        </w:tabs>
        <w:rPr>
          <w:sz w:val="20"/>
          <w:szCs w:val="20"/>
          <w:color w:val="auto"/>
        </w:rPr>
      </w:pPr>
      <w:r>
        <w:rPr>
          <w:rFonts w:ascii="Arial" w:cs="Arial" w:eastAsia="Arial" w:hAnsi="Arial"/>
          <w:sz w:val="20"/>
          <w:szCs w:val="20"/>
          <w:color w:val="auto"/>
        </w:rPr>
        <w:t>4.05</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shall be deemed to have become automatically due and payable in the circumstances provided in said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8"/>
          <w:szCs w:val="18"/>
          <w:u w:val="single" w:color="auto"/>
          <w:color w:val="auto"/>
        </w:rPr>
        <w:t>Rights of Contribution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216" w:lineRule="exact"/>
        <w:rPr>
          <w:sz w:val="20"/>
          <w:szCs w:val="20"/>
          <w:color w:val="auto"/>
        </w:rPr>
      </w:pPr>
    </w:p>
    <w:p>
      <w:pPr>
        <w:ind w:right="20" w:firstLine="656"/>
        <w:spacing w:after="0" w:line="260" w:lineRule="auto"/>
        <w:tabs>
          <w:tab w:leader="none" w:pos="106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guarantee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a guaranty of payment and not of collection, is a continuing guarantee, and shall apply to all Obligations whenever arising.</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11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4.08</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Each Loan Party that is a Qualified ECP Guarantor at the time the Guaranty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by any Loan Party that is not then an “eligible contract participant” under the Commodity Exchange Act (a “</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 and this Section shall be deemed to constitute, a “keepwell, support,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19"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agreement” for the benefit of each Specified Loan Party for all purposes of the Commodity Exchange Act.</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CONDITIONS PRECEDENT TO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obligation of each Lender to make its initial Credit Extension hereunder is subject to satisfaction of the following conditions precedent:</w:t>
      </w:r>
    </w:p>
    <w:p>
      <w:pPr>
        <w:spacing w:after="0" w:line="177" w:lineRule="exact"/>
        <w:rPr>
          <w:sz w:val="20"/>
          <w:szCs w:val="20"/>
          <w:color w:val="auto"/>
        </w:rPr>
      </w:pPr>
    </w:p>
    <w:p>
      <w:pPr>
        <w:ind w:firstLine="656"/>
        <w:spacing w:after="0" w:line="316" w:lineRule="auto"/>
        <w:tabs>
          <w:tab w:leader="none" w:pos="119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129" w:lineRule="exact"/>
        <w:rPr>
          <w:rFonts w:ascii="Arial" w:cs="Arial" w:eastAsia="Arial" w:hAnsi="Arial"/>
          <w:sz w:val="18"/>
          <w:szCs w:val="18"/>
          <w:color w:val="auto"/>
        </w:rPr>
      </w:pPr>
    </w:p>
    <w:p>
      <w:pPr>
        <w:jc w:val="both"/>
        <w:ind w:firstLine="656"/>
        <w:spacing w:after="0" w:line="250" w:lineRule="auto"/>
        <w:tabs>
          <w:tab w:leader="none" w:pos="1058"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85" w:lineRule="exact"/>
        <w:rPr>
          <w:rFonts w:ascii="Arial" w:cs="Arial" w:eastAsia="Arial" w:hAnsi="Arial"/>
          <w:sz w:val="20"/>
          <w:szCs w:val="20"/>
          <w:color w:val="auto"/>
        </w:rPr>
      </w:pPr>
    </w:p>
    <w:p>
      <w:pPr>
        <w:jc w:val="both"/>
        <w:ind w:right="20" w:firstLine="656"/>
        <w:spacing w:after="0" w:line="250" w:lineRule="auto"/>
        <w:tabs>
          <w:tab w:leader="none" w:pos="1129"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There shall not have occurred a material adverse change since July 31, 2018 in the business, assets, liabilities (actual or contingent), operations or condition (financial or otherwise) of the Company and its Subsidiaries, taken as a whole.</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18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1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Organization Documents, Resolutions, Etc</w:t>
      </w:r>
      <w:r>
        <w:rPr>
          <w:rFonts w:ascii="Arial" w:cs="Arial" w:eastAsia="Arial" w:hAnsi="Arial"/>
          <w:sz w:val="20"/>
          <w:szCs w:val="20"/>
          <w:color w:val="auto"/>
        </w:rPr>
        <w:t>. Receipt by the Administrative Agent of the following, each of which shall be originals or .pdf or facsimiles (in each case, followed promptly by originals), in form and substance satisfactory to the Administrative Agent and its legal counsel:</w:t>
      </w:r>
    </w:p>
    <w:p>
      <w:pPr>
        <w:spacing w:after="0" w:line="185" w:lineRule="exact"/>
        <w:rPr>
          <w:rFonts w:ascii="Arial" w:cs="Arial" w:eastAsia="Arial" w:hAnsi="Arial"/>
          <w:sz w:val="20"/>
          <w:szCs w:val="20"/>
          <w:color w:val="auto"/>
        </w:rPr>
      </w:pPr>
    </w:p>
    <w:p>
      <w:pPr>
        <w:jc w:val="both"/>
        <w:ind w:left="660" w:firstLine="644"/>
        <w:spacing w:after="0" w:line="269" w:lineRule="auto"/>
        <w:tabs>
          <w:tab w:leader="none" w:pos="1729"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69" w:lineRule="exact"/>
        <w:rPr>
          <w:rFonts w:ascii="Arial" w:cs="Arial" w:eastAsia="Arial" w:hAnsi="Arial"/>
          <w:sz w:val="19"/>
          <w:szCs w:val="19"/>
          <w:color w:val="auto"/>
        </w:rPr>
      </w:pPr>
    </w:p>
    <w:p>
      <w:pPr>
        <w:ind w:left="660" w:firstLine="644"/>
        <w:spacing w:after="0" w:line="260" w:lineRule="auto"/>
        <w:tabs>
          <w:tab w:leader="none" w:pos="175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76" w:lineRule="exact"/>
        <w:rPr>
          <w:rFonts w:ascii="Arial" w:cs="Arial" w:eastAsia="Arial" w:hAnsi="Arial"/>
          <w:sz w:val="20"/>
          <w:szCs w:val="20"/>
          <w:color w:val="auto"/>
        </w:rPr>
      </w:pPr>
    </w:p>
    <w:p>
      <w:pPr>
        <w:jc w:val="both"/>
        <w:ind w:left="660" w:firstLine="644"/>
        <w:spacing w:after="0" w:line="257" w:lineRule="auto"/>
        <w:tabs>
          <w:tab w:leader="none" w:pos="1947" w:val="left"/>
        </w:tabs>
        <w:numPr>
          <w:ilvl w:val="1"/>
          <w:numId w:val="108"/>
        </w:numPr>
        <w:rPr>
          <w:rFonts w:ascii="Arial" w:cs="Arial" w:eastAsia="Arial" w:hAnsi="Arial"/>
          <w:sz w:val="19"/>
          <w:szCs w:val="19"/>
          <w:color w:val="auto"/>
        </w:rPr>
      </w:pPr>
      <w:r>
        <w:rPr>
          <w:rFonts w:ascii="Arial" w:cs="Arial" w:eastAsia="Arial" w:hAnsi="Arial"/>
          <w:sz w:val="19"/>
          <w:szCs w:val="19"/>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dated no earlier than one (1) day before the Closing Date, and a true and complete copy of a certificate of non-registration of judgments (</w:t>
      </w:r>
      <w:r>
        <w:rPr>
          <w:rFonts w:ascii="Arial" w:cs="Arial" w:eastAsia="Arial" w:hAnsi="Arial"/>
          <w:sz w:val="19"/>
          <w:szCs w:val="19"/>
          <w:i w:val="1"/>
          <w:iCs w:val="1"/>
          <w:color w:val="auto"/>
        </w:rPr>
        <w:t>certificat de non-inscription d’une décision judiciaire ou</w:t>
      </w:r>
      <w:r>
        <w:rPr>
          <w:rFonts w:ascii="Arial" w:cs="Arial" w:eastAsia="Arial" w:hAnsi="Arial"/>
          <w:sz w:val="19"/>
          <w:szCs w:val="19"/>
          <w:color w:val="auto"/>
        </w:rPr>
        <w:t xml:space="preserve"> </w:t>
      </w:r>
      <w:r>
        <w:rPr>
          <w:rFonts w:ascii="Arial" w:cs="Arial" w:eastAsia="Arial" w:hAnsi="Arial"/>
          <w:sz w:val="19"/>
          <w:szCs w:val="19"/>
          <w:i w:val="1"/>
          <w:iCs w:val="1"/>
          <w:color w:val="auto"/>
        </w:rPr>
        <w:t>certificat négatif</w:t>
      </w:r>
      <w:r>
        <w:rPr>
          <w:rFonts w:ascii="Arial" w:cs="Arial" w:eastAsia="Arial" w:hAnsi="Arial"/>
          <w:sz w:val="19"/>
          <w:szCs w:val="19"/>
          <w:color w:val="auto"/>
        </w:rPr>
        <w:t>), issued by the Luxembourg Companies Register on the date of this agreement and reflecting the situation of one</w:t>
      </w:r>
      <w:r>
        <w:rPr>
          <w:rFonts w:ascii="Arial" w:cs="Arial" w:eastAsia="Arial" w:hAnsi="Arial"/>
          <w:sz w:val="19"/>
          <w:szCs w:val="19"/>
          <w:i w:val="1"/>
          <w:iCs w:val="1"/>
          <w:color w:val="auto"/>
        </w:rPr>
        <w:t xml:space="preserve"> </w:t>
      </w:r>
      <w:r>
        <w:rPr>
          <w:rFonts w:ascii="Arial" w:cs="Arial" w:eastAsia="Arial" w:hAnsi="Arial"/>
          <w:sz w:val="19"/>
          <w:szCs w:val="19"/>
          <w:color w:val="auto"/>
        </w:rPr>
        <w:t>day prior to the date of this agreement, stating that such Luxembourg Loan Party incorporated in Luxembourg has not been declared bankrupt (</w:t>
      </w:r>
      <w:r>
        <w:rPr>
          <w:rFonts w:ascii="Arial" w:cs="Arial" w:eastAsia="Arial" w:hAnsi="Arial"/>
          <w:sz w:val="19"/>
          <w:szCs w:val="19"/>
          <w:i w:val="1"/>
          <w:iCs w:val="1"/>
          <w:color w:val="auto"/>
        </w:rPr>
        <w:t>en faillite</w:t>
      </w:r>
      <w:r>
        <w:rPr>
          <w:rFonts w:ascii="Arial" w:cs="Arial" w:eastAsia="Arial" w:hAnsi="Arial"/>
          <w:sz w:val="19"/>
          <w:szCs w:val="19"/>
          <w:color w:val="auto"/>
        </w:rPr>
        <w:t>) and that it has not applied for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19" w:right="339" w:bottom="1440" w:gutter="0" w:footer="0" w:header="0"/>
        </w:sectPr>
      </w:pPr>
    </w:p>
    <w:bookmarkStart w:id="109" w:name="page110"/>
    <w:bookmarkEnd w:id="109"/>
    <w:p>
      <w:pPr>
        <w:jc w:val="both"/>
        <w:ind w:left="660"/>
        <w:spacing w:after="0" w:line="274" w:lineRule="auto"/>
        <w:rPr>
          <w:sz w:val="20"/>
          <w:szCs w:val="20"/>
          <w:color w:val="auto"/>
        </w:rPr>
      </w:pPr>
      <w:r>
        <w:rPr>
          <w:rFonts w:ascii="Arial" w:cs="Arial" w:eastAsia="Arial" w:hAnsi="Arial"/>
          <w:sz w:val="18"/>
          <w:szCs w:val="18"/>
          <w:color w:val="auto"/>
        </w:rPr>
        <w:t>settlement or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or such other proceedings listed at Article 13, items 2 to 11 and Article 14 of the Luxembourg Act dated 19 December 2002 on the 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168" w:lineRule="exact"/>
        <w:rPr>
          <w:sz w:val="20"/>
          <w:szCs w:val="20"/>
          <w:color w:val="auto"/>
        </w:rPr>
      </w:pPr>
    </w:p>
    <w:p>
      <w:pPr>
        <w:jc w:val="both"/>
        <w:ind w:left="660" w:firstLine="644"/>
        <w:spacing w:after="0" w:line="250" w:lineRule="auto"/>
        <w:tabs>
          <w:tab w:leader="none" w:pos="1855" w:val="left"/>
        </w:tabs>
        <w:numPr>
          <w:ilvl w:val="1"/>
          <w:numId w:val="109"/>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5" w:lineRule="exact"/>
        <w:rPr>
          <w:rFonts w:ascii="Arial" w:cs="Arial" w:eastAsia="Arial" w:hAnsi="Arial"/>
          <w:sz w:val="20"/>
          <w:szCs w:val="20"/>
          <w:color w:val="auto"/>
        </w:rPr>
      </w:pPr>
    </w:p>
    <w:p>
      <w:pPr>
        <w:ind w:firstLine="656"/>
        <w:spacing w:after="0" w:line="260" w:lineRule="auto"/>
        <w:tabs>
          <w:tab w:leader="none" w:pos="1134"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Closing Certificate</w:t>
      </w:r>
      <w:r>
        <w:rPr>
          <w:rFonts w:ascii="Arial" w:cs="Arial" w:eastAsia="Arial" w:hAnsi="Arial"/>
          <w:sz w:val="20"/>
          <w:szCs w:val="20"/>
          <w:color w:val="auto"/>
        </w:rPr>
        <w:t xml:space="preserve">. Receipt by the Administrative Agent of a certificate signed by a Responsible Officer of the Company certifying that the conditions specified in </w:t>
      </w:r>
      <w:r>
        <w:rPr>
          <w:rFonts w:ascii="Arial" w:cs="Arial" w:eastAsia="Arial" w:hAnsi="Arial"/>
          <w:sz w:val="20"/>
          <w:szCs w:val="20"/>
          <w:u w:val="single" w:color="auto"/>
          <w:color w:val="auto"/>
        </w:rPr>
        <w:t>Sections 5.01(c)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 5.02(a)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153"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Termination of Existing Credit Agreement</w:t>
      </w:r>
      <w:r>
        <w:rPr>
          <w:rFonts w:ascii="Arial" w:cs="Arial" w:eastAsia="Arial" w:hAnsi="Arial"/>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191" w:lineRule="exact"/>
        <w:rPr>
          <w:rFonts w:ascii="Arial" w:cs="Arial" w:eastAsia="Arial" w:hAnsi="Arial"/>
          <w:sz w:val="20"/>
          <w:szCs w:val="20"/>
          <w:color w:val="auto"/>
        </w:rPr>
      </w:pPr>
    </w:p>
    <w:p>
      <w:pPr>
        <w:ind w:left="1140" w:hanging="484"/>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Receipt by the Administrative Agent, the Arrangers and the Lenders of any fees required to be paid on or before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Closing Date.</w:t>
      </w:r>
    </w:p>
    <w:p>
      <w:pPr>
        <w:spacing w:after="0" w:line="199" w:lineRule="exact"/>
        <w:rPr>
          <w:rFonts w:ascii="Arial" w:cs="Arial" w:eastAsia="Arial" w:hAnsi="Arial"/>
          <w:sz w:val="18"/>
          <w:szCs w:val="18"/>
          <w:color w:val="auto"/>
        </w:rPr>
      </w:pPr>
    </w:p>
    <w:p>
      <w:pPr>
        <w:jc w:val="both"/>
        <w:ind w:firstLine="656"/>
        <w:spacing w:after="0" w:line="278" w:lineRule="auto"/>
        <w:tabs>
          <w:tab w:leader="none" w:pos="105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64" w:lineRule="exact"/>
        <w:rPr>
          <w:rFonts w:ascii="Arial" w:cs="Arial" w:eastAsia="Arial" w:hAnsi="Arial"/>
          <w:sz w:val="18"/>
          <w:szCs w:val="18"/>
          <w:color w:val="auto"/>
        </w:rPr>
      </w:pPr>
    </w:p>
    <w:p>
      <w:pPr>
        <w:ind w:left="1020" w:hanging="364"/>
        <w:spacing w:after="0"/>
        <w:tabs>
          <w:tab w:leader="none" w:pos="102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KYC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91" w:lineRule="auto"/>
        <w:tabs>
          <w:tab w:leader="none" w:pos="172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the reasonable request of any Lender made at least 15 days prior to the Closing Date, the Company shall have provided to such Lender the documentation and other information so requested in connection with applicable “know your customer” and anti-money-laundering rules and regulations, including the Act, in each case at least five days prior to the Closing Date.</w:t>
      </w:r>
    </w:p>
    <w:p>
      <w:pPr>
        <w:spacing w:after="0" w:line="151" w:lineRule="exact"/>
        <w:rPr>
          <w:rFonts w:ascii="Arial" w:cs="Arial" w:eastAsia="Arial" w:hAnsi="Arial"/>
          <w:sz w:val="18"/>
          <w:szCs w:val="18"/>
          <w:color w:val="auto"/>
        </w:rPr>
      </w:pPr>
    </w:p>
    <w:p>
      <w:pPr>
        <w:ind w:left="660" w:firstLine="644"/>
        <w:spacing w:after="0" w:line="260" w:lineRule="auto"/>
        <w:tabs>
          <w:tab w:leader="none" w:pos="1783"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At least five days prior to the Closing Date, if a Borrower qualifies as a “legal entity customer” under the Beneficial Ownership Regulation, it shall deliver a Beneficial Ownership Certification in relation to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19" w:right="339" w:bottom="1440" w:gutter="0" w:footer="0" w:header="0"/>
        </w:sectPr>
      </w:pPr>
    </w:p>
    <w:bookmarkStart w:id="110" w:name="page111"/>
    <w:bookmarkEnd w:id="110"/>
    <w:p>
      <w:pPr>
        <w:jc w:val="both"/>
        <w:ind w:firstLine="648"/>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5.01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Lenders that are parties to the Existing Credit Agreement (and which constitute “Required Lenders” under and as defined in the Existing Credit Agreement) hereby waive any advance notice requirement for 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obligation of each Lender and the L/C Issuer to honor any Request for Credit Extension is subject to the following conditions precedent:</w:t>
      </w:r>
    </w:p>
    <w:p>
      <w:pPr>
        <w:spacing w:after="0" w:line="177" w:lineRule="exact"/>
        <w:rPr>
          <w:sz w:val="20"/>
          <w:szCs w:val="20"/>
          <w:color w:val="auto"/>
        </w:rPr>
      </w:pPr>
    </w:p>
    <w:p>
      <w:pPr>
        <w:jc w:val="both"/>
        <w:ind w:firstLine="656"/>
        <w:spacing w:after="0" w:line="244" w:lineRule="auto"/>
        <w:tabs>
          <w:tab w:leader="none" w:pos="111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Loan Parties contained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(excluding, except in the case of the Closing Date, the representation and warranty contained in </w:t>
      </w:r>
      <w:r>
        <w:rPr>
          <w:rFonts w:ascii="Arial" w:cs="Arial" w:eastAsia="Arial" w:hAnsi="Arial"/>
          <w:sz w:val="20"/>
          <w:szCs w:val="20"/>
          <w:u w:val="single" w:color="auto"/>
          <w:color w:val="auto"/>
        </w:rPr>
        <w:t>Section 6.05</w:t>
      </w:r>
      <w:r>
        <w:rPr>
          <w:rFonts w:ascii="Arial" w:cs="Arial" w:eastAsia="Arial" w:hAnsi="Arial"/>
          <w:sz w:val="20"/>
          <w:szCs w:val="20"/>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94" w:lineRule="exact"/>
        <w:rPr>
          <w:rFonts w:ascii="Arial" w:cs="Arial" w:eastAsia="Arial" w:hAnsi="Arial"/>
          <w:sz w:val="20"/>
          <w:szCs w:val="20"/>
          <w:color w:val="auto"/>
        </w:rPr>
      </w:pPr>
    </w:p>
    <w:p>
      <w:pPr>
        <w:ind w:left="1060" w:hanging="404"/>
        <w:spacing w:after="0"/>
        <w:tabs>
          <w:tab w:leader="none" w:pos="10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No Default shall exist, or would result from such proposed Credit Extension.</w:t>
      </w:r>
    </w:p>
    <w:p>
      <w:pPr>
        <w:spacing w:after="0" w:line="215" w:lineRule="exact"/>
        <w:rPr>
          <w:rFonts w:ascii="Arial" w:cs="Arial" w:eastAsia="Arial" w:hAnsi="Arial"/>
          <w:sz w:val="20"/>
          <w:szCs w:val="20"/>
          <w:color w:val="auto"/>
        </w:rPr>
      </w:pPr>
    </w:p>
    <w:p>
      <w:pPr>
        <w:ind w:right="20" w:firstLine="656"/>
        <w:spacing w:after="0" w:line="260" w:lineRule="auto"/>
        <w:tabs>
          <w:tab w:leader="none" w:pos="107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 Line Lender shall have received a Request for Credit Extension in accordance with the requirements hereof.</w:t>
      </w:r>
    </w:p>
    <w:p>
      <w:pPr>
        <w:spacing w:after="0" w:line="176" w:lineRule="exact"/>
        <w:rPr>
          <w:rFonts w:ascii="Arial" w:cs="Arial" w:eastAsia="Arial" w:hAnsi="Arial"/>
          <w:sz w:val="20"/>
          <w:szCs w:val="20"/>
          <w:color w:val="auto"/>
        </w:rPr>
      </w:pPr>
    </w:p>
    <w:p>
      <w:pPr>
        <w:ind w:firstLine="656"/>
        <w:spacing w:after="0" w:line="260" w:lineRule="auto"/>
        <w:tabs>
          <w:tab w:leader="none" w:pos="113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If the applicable Borrower is a Designated Borrower, such Borrower shall have been designated as a Designated Borrower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10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Each Request for Credit Extension (other than a Loan Notice requesting a conversion of the Loans to another Type or a continuation of Eurocurrency Rate Loans) submitted by a Borrower shall be deemed to be a representation and warranty that the conditions specified in </w:t>
      </w:r>
      <w:r>
        <w:rPr>
          <w:rFonts w:ascii="Arial" w:cs="Arial" w:eastAsia="Arial" w:hAnsi="Arial"/>
          <w:sz w:val="19"/>
          <w:szCs w:val="19"/>
          <w:u w:val="single" w:color="auto"/>
          <w:color w:val="auto"/>
        </w:rPr>
        <w:t>Sections 5.02(a)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19" w:right="3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To induce the Administrative Agent and the Lenders to enter into this Agreement and to induce the Lenders to make Loans and issue or participate in Letters of Credit hereunder, the Loan Parties represent and warrant to the Administrative Agent and the Lenders that: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u w:val="single" w:color="auto"/>
          <w:color w:val="auto"/>
        </w:rPr>
        <w:t>Organization,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 is a corporation duly organized, validly existing and in good standing (or equivalent status) under the Laws of the State of Wisconsin; each Designated Borrower and Significant Subsidiary is 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 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or (iii) contravene or conflict with, or result in a Lien under, any material agreement, indenture, instrument or other document which is binding on the Company or any other Loan Party.</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Validity and Binding Nature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19" w:right="339" w:bottom="1440" w:gutter="0" w:footer="0" w:header="0"/>
        </w:sectPr>
      </w:pPr>
    </w:p>
    <w:bookmarkStart w:id="112" w:name="page113"/>
    <w:bookmarkEnd w:id="112"/>
    <w:p>
      <w:pPr>
        <w:jc w:val="both"/>
        <w:ind w:firstLine="648"/>
        <w:spacing w:after="0" w:line="260" w:lineRule="auto"/>
        <w:rPr>
          <w:sz w:val="20"/>
          <w:szCs w:val="20"/>
          <w:color w:val="auto"/>
        </w:rPr>
      </w:pPr>
      <w:r>
        <w:rPr>
          <w:rFonts w:ascii="Arial" w:cs="Arial" w:eastAsia="Arial" w:hAnsi="Arial"/>
          <w:sz w:val="20"/>
          <w:szCs w:val="20"/>
          <w:color w:val="auto"/>
        </w:rPr>
        <w:t>Since July 31, 2018, there has been no material adverse change in the financial condition, operations, assets, business or properties of the Company and its Subsidiaries taken as a whole.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As of the Closing Date, the Company has no Subsidiaries except those listed in </w:t>
      </w:r>
      <w:r>
        <w:rPr>
          <w:rFonts w:ascii="Arial" w:cs="Arial" w:eastAsia="Arial" w:hAnsi="Arial"/>
          <w:sz w:val="20"/>
          <w:szCs w:val="20"/>
          <w:u w:val="single" w:color="auto"/>
          <w:color w:val="auto"/>
        </w:rPr>
        <w:t>Schedule 6.08</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Pension Plans and Plan Assets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5" w:lineRule="auto"/>
        <w:tabs>
          <w:tab w:leader="none" w:pos="10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During the twelve-consecutive-month period prior to the Closing Date or the making of any Credit Extension hereunder, (i) no steps have been taken to terminate any Pension Plan other than a “standard termination” in accordance with Section 4041(b) of ERISA and</w:t>
      </w:r>
    </w:p>
    <w:p>
      <w:pPr>
        <w:jc w:val="both"/>
        <w:ind w:firstLine="8"/>
        <w:spacing w:after="0" w:line="241" w:lineRule="auto"/>
        <w:tabs>
          <w:tab w:leader="none" w:pos="29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spacing w:after="0" w:line="195" w:lineRule="exact"/>
        <w:rPr>
          <w:rFonts w:ascii="Arial" w:cs="Arial" w:eastAsia="Arial" w:hAnsi="Arial"/>
          <w:sz w:val="20"/>
          <w:szCs w:val="20"/>
          <w:color w:val="auto"/>
        </w:rPr>
      </w:pPr>
    </w:p>
    <w:p>
      <w:pPr>
        <w:jc w:val="both"/>
        <w:ind w:firstLine="656"/>
        <w:spacing w:after="0" w:line="271" w:lineRule="auto"/>
        <w:tabs>
          <w:tab w:leader="none" w:pos="108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to the extent that the facts and circumstances causing such representation and warranty to be inaccurate could not reasonably be expected to have a Material Adverse Effect.</w:t>
      </w:r>
    </w:p>
    <w:p>
      <w:pPr>
        <w:spacing w:after="0" w:line="173" w:lineRule="exact"/>
        <w:rPr>
          <w:rFonts w:ascii="Arial" w:cs="Arial" w:eastAsia="Arial" w:hAnsi="Arial"/>
          <w:sz w:val="18"/>
          <w:szCs w:val="18"/>
          <w:color w:val="auto"/>
        </w:rPr>
      </w:pPr>
    </w:p>
    <w:p>
      <w:pPr>
        <w:ind w:left="1060" w:hanging="404"/>
        <w:spacing w:after="0"/>
        <w:tabs>
          <w:tab w:leader="none" w:pos="10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Neither the Company nor any other Loan Party is an entity deemed to hold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19" w:right="339" w:bottom="1440" w:gutter="0" w:footer="0" w:header="0"/>
        </w:sectPr>
      </w:pPr>
    </w:p>
    <w:bookmarkStart w:id="113" w:name="page114"/>
    <w:bookmarkEnd w:id="113"/>
    <w:p>
      <w:pPr>
        <w:spacing w:after="0"/>
        <w:tabs>
          <w:tab w:leader="none" w:pos="52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Neither the Company nor any Subsidiary is an “investment company” or a company “controlled” by an “investment company”, within the meaning of the Investment Company Act of 1940.</w:t>
      </w:r>
    </w:p>
    <w:p>
      <w:pPr>
        <w:spacing w:after="0" w:line="17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8"/>
          <w:szCs w:val="18"/>
          <w:u w:val="single" w:color="auto"/>
          <w:color w:val="auto"/>
        </w:rPr>
        <w:t>Regulation U</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Borrower is engaged principally, or as one of its important activities, in the business of extending credit for the purpose of purchasing or carrying Margin Stock.</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of the Company and each Significant Subsidiary has filed all federal tax returns and other tax returns and tax reports required by Law to have been filed by it and has paid all taxes and governmental charges thereby shown to be owing, except for any of the following:</w:t>
      </w:r>
    </w:p>
    <w:p>
      <w:pPr>
        <w:spacing w:after="0" w:line="1" w:lineRule="exact"/>
        <w:rPr>
          <w:sz w:val="20"/>
          <w:szCs w:val="20"/>
          <w:color w:val="auto"/>
        </w:rPr>
      </w:pPr>
    </w:p>
    <w:p>
      <w:pPr>
        <w:jc w:val="both"/>
        <w:ind w:firstLine="8"/>
        <w:spacing w:after="0" w:line="241" w:lineRule="auto"/>
        <w:tabs>
          <w:tab w:leader="none" w:pos="25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Company conducts, in the ordinary course of business (in a manner sufficient to enable the Company to make the representation and warranty set forth in this </w:t>
      </w:r>
      <w:r>
        <w:rPr>
          <w:rFonts w:ascii="Arial" w:cs="Arial" w:eastAsia="Arial" w:hAnsi="Arial"/>
          <w:sz w:val="20"/>
          <w:szCs w:val="20"/>
          <w:u w:val="single" w:color="auto"/>
          <w:color w:val="auto"/>
        </w:rPr>
        <w:t>Section 6.13</w:t>
      </w:r>
      <w:r>
        <w:rPr>
          <w:rFonts w:ascii="Arial" w:cs="Arial" w:eastAsia="Arial" w:hAnsi="Arial"/>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19" w:right="339" w:bottom="1440" w:gutter="0" w:footer="0" w:header="0"/>
        </w:sectPr>
      </w:pPr>
    </w:p>
    <w:bookmarkStart w:id="114" w:name="page115"/>
    <w:bookmarkEnd w:id="114"/>
    <w:p>
      <w:pPr>
        <w:spacing w:after="0"/>
        <w:tabs>
          <w:tab w:leader="none" w:pos="52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Default has occurred and is continuing or would result from the consummation of any transaction contemplated by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6"/>
          <w:szCs w:val="16"/>
          <w:u w:val="single" w:color="auto"/>
          <w:color w:val="auto"/>
        </w:rPr>
        <w:t>Designated Borrower Joinder Agreement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None of the Loan Parties, nor any of their Subsidiaries, nor, to the knowledge of the Loan Parties and their Subsidiaries, any director, officer, employee or Affiliate thereof, nor, to the knowledge of the Loan Parties, any agent of the Borrowers or any Subsidiary that will act as agent on behalf of the Borrowers or such Subsidiary in connection with the credit facility established hereby,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16"/>
          <w:szCs w:val="16"/>
          <w:u w:val="single" w:color="auto"/>
          <w:color w:val="auto"/>
        </w:rPr>
        <w:t>Luxembourg Specific Representations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1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Luxembourg Loan Party is in compliance with the Luxembourg Law of 31 May 1999 governing the domiciliation of companies (as amended from time to time and all related regulations); (b) the head office (</w:t>
      </w:r>
      <w:r>
        <w:rPr>
          <w:rFonts w:ascii="Arial" w:cs="Arial" w:eastAsia="Arial" w:hAnsi="Arial"/>
          <w:sz w:val="18"/>
          <w:szCs w:val="18"/>
          <w:i w:val="1"/>
          <w:iCs w:val="1"/>
          <w:color w:val="auto"/>
        </w:rPr>
        <w:t>administration centrale</w:t>
      </w:r>
      <w:r>
        <w:rPr>
          <w:rFonts w:ascii="Arial" w:cs="Arial" w:eastAsia="Arial" w:hAnsi="Arial"/>
          <w:sz w:val="18"/>
          <w:szCs w:val="18"/>
          <w:color w:val="auto"/>
        </w:rPr>
        <w:t>), the place of effective management (</w:t>
      </w:r>
      <w:r>
        <w:rPr>
          <w:rFonts w:ascii="Arial" w:cs="Arial" w:eastAsia="Arial" w:hAnsi="Arial"/>
          <w:sz w:val="18"/>
          <w:szCs w:val="18"/>
          <w:i w:val="1"/>
          <w:iCs w:val="1"/>
          <w:color w:val="auto"/>
        </w:rPr>
        <w:t>siège de direction effective</w:t>
      </w:r>
      <w:r>
        <w:rPr>
          <w:rFonts w:ascii="Arial" w:cs="Arial" w:eastAsia="Arial" w:hAnsi="Arial"/>
          <w:sz w:val="18"/>
          <w:szCs w:val="18"/>
          <w:color w:val="auto"/>
        </w:rPr>
        <w:t>) and (for the purposes of the European Insolvency Regulation) the center of main interests (</w:t>
      </w:r>
      <w:r>
        <w:rPr>
          <w:rFonts w:ascii="Arial" w:cs="Arial" w:eastAsia="Arial" w:hAnsi="Arial"/>
          <w:sz w:val="18"/>
          <w:szCs w:val="18"/>
          <w:i w:val="1"/>
          <w:iCs w:val="1"/>
          <w:color w:val="auto"/>
        </w:rPr>
        <w:t>centre</w:t>
      </w:r>
      <w:r>
        <w:rPr>
          <w:rFonts w:ascii="Arial" w:cs="Arial" w:eastAsia="Arial" w:hAnsi="Arial"/>
          <w:sz w:val="18"/>
          <w:szCs w:val="18"/>
          <w:color w:val="auto"/>
        </w:rPr>
        <w:t xml:space="preserve"> </w:t>
      </w:r>
      <w:r>
        <w:rPr>
          <w:rFonts w:ascii="Arial" w:cs="Arial" w:eastAsia="Arial" w:hAnsi="Arial"/>
          <w:sz w:val="18"/>
          <w:szCs w:val="18"/>
          <w:i w:val="1"/>
          <w:iCs w:val="1"/>
          <w:color w:val="auto"/>
        </w:rPr>
        <w:t>des intérêts principaux</w:t>
      </w:r>
      <w:r>
        <w:rPr>
          <w:rFonts w:ascii="Arial" w:cs="Arial" w:eastAsia="Arial" w:hAnsi="Arial"/>
          <w:sz w:val="18"/>
          <w:szCs w:val="18"/>
          <w:color w:val="auto"/>
        </w:rPr>
        <w:t>) of each Luxembourg Loan Party in Luxembourg is located at the place of its registered office (</w:t>
      </w:r>
      <w:r>
        <w:rPr>
          <w:rFonts w:ascii="Arial" w:cs="Arial" w:eastAsia="Arial" w:hAnsi="Arial"/>
          <w:sz w:val="18"/>
          <w:szCs w:val="18"/>
          <w:i w:val="1"/>
          <w:iCs w:val="1"/>
          <w:color w:val="auto"/>
        </w:rPr>
        <w:t>siège statutaire</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(c) no Luxembourg Loan Party has filed and, to the best of its knowledge, no Person has filed a request with any competent court seeking that any Luxembourg Loan Party, be declared subject to bankruptcy (</w:t>
      </w:r>
      <w:r>
        <w:rPr>
          <w:rFonts w:ascii="Arial" w:cs="Arial" w:eastAsia="Arial" w:hAnsi="Arial"/>
          <w:sz w:val="18"/>
          <w:szCs w:val="18"/>
          <w:i w:val="1"/>
          <w:iCs w:val="1"/>
          <w:color w:val="auto"/>
        </w:rPr>
        <w:t>faillite</w:t>
      </w:r>
      <w:r>
        <w:rPr>
          <w:rFonts w:ascii="Arial" w:cs="Arial" w:eastAsia="Arial" w:hAnsi="Arial"/>
          <w:sz w:val="18"/>
          <w:szCs w:val="18"/>
          <w:color w:val="auto"/>
        </w:rPr>
        <w:t>), general settlement or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judicial or voluntary liquidation (</w:t>
      </w:r>
      <w:r>
        <w:rPr>
          <w:rFonts w:ascii="Arial" w:cs="Arial" w:eastAsia="Arial" w:hAnsi="Arial"/>
          <w:sz w:val="18"/>
          <w:szCs w:val="18"/>
          <w:i w:val="1"/>
          <w:iCs w:val="1"/>
          <w:color w:val="auto"/>
        </w:rPr>
        <w:t>liquidation judiciaire ou volontaire</w:t>
      </w:r>
      <w:r>
        <w:rPr>
          <w:rFonts w:ascii="Arial" w:cs="Arial" w:eastAsia="Arial" w:hAnsi="Arial"/>
          <w:sz w:val="18"/>
          <w:szCs w:val="18"/>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Arial" w:cs="Arial" w:eastAsia="Arial" w:hAnsi="Arial"/>
          <w:sz w:val="18"/>
          <w:szCs w:val="18"/>
          <w:i w:val="1"/>
          <w:iCs w:val="1"/>
          <w:color w:val="auto"/>
        </w:rPr>
        <w:t>faillite</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w:t>
      </w:r>
      <w:r>
        <w:rPr>
          <w:rFonts w:ascii="Arial" w:cs="Arial" w:eastAsia="Arial" w:hAnsi="Arial"/>
          <w:sz w:val="18"/>
          <w:szCs w:val="18"/>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Arial" w:cs="Arial" w:eastAsia="Arial" w:hAnsi="Arial"/>
          <w:sz w:val="18"/>
          <w:szCs w:val="18"/>
          <w:i w:val="1"/>
          <w:iCs w:val="1"/>
          <w:color w:val="auto"/>
        </w:rPr>
        <w:t>cessation des paiements</w:t>
      </w:r>
      <w:r>
        <w:rPr>
          <w:rFonts w:ascii="Arial" w:cs="Arial" w:eastAsia="Arial" w:hAnsi="Arial"/>
          <w:sz w:val="18"/>
          <w:szCs w:val="18"/>
          <w:color w:val="auto"/>
        </w:rPr>
        <w:t>), or be deemed to be in a such state, and has not, and will not, as a result of its entry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19" w:right="339" w:bottom="1440" w:gutter="0" w:footer="0" w:header="0"/>
        </w:sectPr>
      </w:pPr>
    </w:p>
    <w:bookmarkStart w:id="115" w:name="page116"/>
    <w:bookmarkEnd w:id="115"/>
    <w:p>
      <w:pPr>
        <w:jc w:val="both"/>
        <w:spacing w:after="0" w:line="260" w:lineRule="auto"/>
        <w:rPr>
          <w:sz w:val="20"/>
          <w:szCs w:val="20"/>
          <w:color w:val="auto"/>
        </w:rPr>
      </w:pPr>
      <w:r>
        <w:rPr>
          <w:rFonts w:ascii="Arial" w:cs="Arial" w:eastAsia="Arial" w:hAnsi="Arial"/>
          <w:sz w:val="20"/>
          <w:szCs w:val="20"/>
          <w:color w:val="auto"/>
        </w:rPr>
        <w:t>Loan Documents or the performance of its obligations thereunder, lose its creditworthiness (</w:t>
      </w:r>
      <w:r>
        <w:rPr>
          <w:rFonts w:ascii="Arial" w:cs="Arial" w:eastAsia="Arial" w:hAnsi="Arial"/>
          <w:sz w:val="20"/>
          <w:szCs w:val="20"/>
          <w:i w:val="1"/>
          <w:iCs w:val="1"/>
          <w:color w:val="auto"/>
        </w:rPr>
        <w:t>ébranlement de crédit</w:t>
      </w:r>
      <w:r>
        <w:rPr>
          <w:rFonts w:ascii="Arial" w:cs="Arial" w:eastAsia="Arial" w:hAnsi="Arial"/>
          <w:sz w:val="20"/>
          <w:szCs w:val="20"/>
          <w:color w:val="auto"/>
        </w:rPr>
        <w:t>), or be deemed to have lost such creditworthiness and is not aware, or may not reasonably be aware of such circumstances.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6.20 </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As of the Closing Date, the information included in the Beneficial Ownership Certification is true and correct in all respects.</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18"/>
          <w:szCs w:val="18"/>
          <w:u w:val="single" w:color="auto"/>
          <w:color w:val="FF0000"/>
          <w:strike w:val="1"/>
        </w:rPr>
        <w:t xml:space="preserve">No EEA </w:t>
      </w:r>
      <w:r>
        <w:rPr>
          <w:rFonts w:ascii="Arial" w:cs="Arial" w:eastAsia="Arial" w:hAnsi="Arial"/>
          <w:sz w:val="18"/>
          <w:szCs w:val="18"/>
          <w:u w:val="single" w:color="auto"/>
          <w:color w:val="0000FF"/>
          <w:strike w:val="1"/>
        </w:rPr>
        <w:t>Affected</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00"/>
          <w:strike w:val="1"/>
        </w:rPr>
        <w:t>Financial</w:t>
      </w:r>
      <w:r>
        <w:rPr>
          <w:rFonts w:ascii="Arial" w:cs="Arial" w:eastAsia="Arial" w:hAnsi="Arial"/>
          <w:sz w:val="18"/>
          <w:szCs w:val="18"/>
          <w:u w:val="single" w:color="auto"/>
          <w:color w:val="FF0000"/>
          <w:strike w:val="1"/>
        </w:rPr>
        <w:t xml:space="preserve"> Institution</w:t>
      </w:r>
      <w:r>
        <w:rPr>
          <w:rFonts w:ascii="Arial" w:cs="Arial" w:eastAsia="Arial" w:hAnsi="Arial"/>
          <w:sz w:val="18"/>
          <w:szCs w:val="18"/>
          <w:u w:val="single" w:color="auto"/>
          <w:color w:val="0000FF"/>
          <w:strike w:val="1"/>
        </w:rPr>
        <w:t>Institutions</w:t>
      </w:r>
      <w:r>
        <w:rPr>
          <w:rFonts w:ascii="Arial" w:cs="Arial" w:eastAsia="Arial" w:hAnsi="Arial"/>
          <w:sz w:val="18"/>
          <w:szCs w:val="18"/>
          <w:color w:val="000000"/>
          <w:strike w:val="1"/>
        </w:rPr>
        <w:t>. No Loan Party is an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FF"/>
          <w:strike w:val="1"/>
        </w:rPr>
        <w:t>Affected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0000"/>
          <w:strike w:val="1"/>
        </w:rPr>
        <w:t>Financial Institution.</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u w:val="single" w:color="auto"/>
          <w:color w:val="auto"/>
        </w:rPr>
        <w:t>Reports, Certificates and Other Information</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delivery to the Lenders):</w:t>
      </w:r>
    </w:p>
    <w:p>
      <w:pPr>
        <w:spacing w:after="0" w:line="216" w:lineRule="exact"/>
        <w:rPr>
          <w:sz w:val="20"/>
          <w:szCs w:val="20"/>
          <w:color w:val="auto"/>
        </w:rPr>
      </w:pPr>
    </w:p>
    <w:p>
      <w:pPr>
        <w:jc w:val="both"/>
        <w:ind w:firstLine="656"/>
        <w:spacing w:after="0" w:line="270" w:lineRule="auto"/>
        <w:tabs>
          <w:tab w:leader="none" w:pos="112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Audit Report</w:t>
      </w:r>
      <w:r>
        <w:rPr>
          <w:rFonts w:ascii="Arial" w:cs="Arial" w:eastAsia="Arial" w:hAnsi="Arial"/>
          <w:sz w:val="18"/>
          <w:szCs w:val="18"/>
          <w:color w:val="auto"/>
        </w:rPr>
        <w:t>. Promptly when available, and in any event not later than the earlier of (i) five Business Days after the filing thereof with the SEC and (ii) 105 days after the end of each Fiscal Year (commencing with the Fiscal Year ending on or about July 31, 2019), a copy of the audited consolidated balance sheet of the Company and its consolidated Subsidiaries for such Fiscal Year together with audited consolidated statements of earnings and cash flows for such Fiscal Year, accompanied by the report of Deloitte &amp; Touche LLP or another nationally-recognized independent registered public accounting firm (the “</w:t>
      </w:r>
      <w:r>
        <w:rPr>
          <w:rFonts w:ascii="Arial" w:cs="Arial" w:eastAsia="Arial" w:hAnsi="Arial"/>
          <w:sz w:val="18"/>
          <w:szCs w:val="18"/>
          <w:u w:val="single" w:color="auto"/>
          <w:color w:val="auto"/>
        </w:rPr>
        <w:t>Independent Auditor</w:t>
      </w:r>
      <w:r>
        <w:rPr>
          <w:rFonts w:ascii="Arial" w:cs="Arial" w:eastAsia="Arial" w:hAnsi="Arial"/>
          <w:sz w:val="18"/>
          <w:szCs w:val="18"/>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spacing w:after="0" w:line="172" w:lineRule="exact"/>
        <w:rPr>
          <w:rFonts w:ascii="Arial" w:cs="Arial" w:eastAsia="Arial" w:hAnsi="Arial"/>
          <w:sz w:val="18"/>
          <w:szCs w:val="18"/>
          <w:color w:val="auto"/>
        </w:rPr>
      </w:pPr>
    </w:p>
    <w:p>
      <w:pPr>
        <w:jc w:val="both"/>
        <w:ind w:firstLine="656"/>
        <w:spacing w:after="0" w:line="244" w:lineRule="auto"/>
        <w:tabs>
          <w:tab w:leader="none" w:pos="1085"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Quarterly Reports</w:t>
      </w:r>
      <w:r>
        <w:rPr>
          <w:rFonts w:ascii="Arial" w:cs="Arial" w:eastAsia="Arial" w:hAnsi="Arial"/>
          <w:sz w:val="20"/>
          <w:szCs w:val="20"/>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19" w:right="339" w:bottom="1440" w:gutter="0" w:footer="0" w:header="0"/>
        </w:sectPr>
      </w:pPr>
    </w:p>
    <w:bookmarkStart w:id="116" w:name="page117"/>
    <w:bookmarkEnd w:id="116"/>
    <w:p>
      <w:pPr>
        <w:jc w:val="both"/>
        <w:spacing w:after="0" w:line="250" w:lineRule="auto"/>
        <w:rPr>
          <w:sz w:val="20"/>
          <w:szCs w:val="20"/>
          <w:color w:val="auto"/>
        </w:rPr>
      </w:pPr>
      <w:r>
        <w:rPr>
          <w:rFonts w:ascii="Arial" w:cs="Arial" w:eastAsia="Arial" w:hAnsi="Arial"/>
          <w:sz w:val="20"/>
          <w:szCs w:val="20"/>
          <w:color w:val="auto"/>
        </w:rPr>
        <w:t>certified by an Executive Officer as fairly presenting in all material respects, in accordance with GAAP (subject to normal year-end audit adjustments and the absence of footnotes), the consolidated financial position and results of operations for the Company and its consolidated Subsidiaries for such periods.</w:t>
      </w:r>
    </w:p>
    <w:p>
      <w:pPr>
        <w:spacing w:after="0" w:line="186" w:lineRule="exact"/>
        <w:rPr>
          <w:sz w:val="20"/>
          <w:szCs w:val="20"/>
          <w:color w:val="auto"/>
        </w:rPr>
      </w:pPr>
    </w:p>
    <w:p>
      <w:pPr>
        <w:jc w:val="both"/>
        <w:ind w:firstLine="656"/>
        <w:spacing w:after="0" w:line="278" w:lineRule="auto"/>
        <w:tabs>
          <w:tab w:leader="none" w:pos="114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Compliance Certificates</w:t>
      </w:r>
      <w:r>
        <w:rPr>
          <w:rFonts w:ascii="Arial" w:cs="Arial" w:eastAsia="Arial" w:hAnsi="Arial"/>
          <w:sz w:val="18"/>
          <w:szCs w:val="18"/>
          <w:color w:val="auto"/>
        </w:rPr>
        <w:t xml:space="preserve">. Contemporaneously with the furnishing of a copy of each annual audit report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7.01(a)</w:t>
      </w:r>
      <w:r>
        <w:rPr>
          <w:rFonts w:ascii="Arial" w:cs="Arial" w:eastAsia="Arial" w:hAnsi="Arial"/>
          <w:sz w:val="18"/>
          <w:szCs w:val="18"/>
          <w:color w:val="auto"/>
        </w:rPr>
        <w:t xml:space="preserve"> and of each set of quarterly statements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and to the effect that such officer has not become aware of any Default that has occurred and is continuing or, if there is any such event, describing it and the steps, if any, being taken to cure it.</w:t>
      </w:r>
    </w:p>
    <w:p>
      <w:pPr>
        <w:spacing w:after="0" w:line="164" w:lineRule="exact"/>
        <w:rPr>
          <w:rFonts w:ascii="Arial" w:cs="Arial" w:eastAsia="Arial" w:hAnsi="Arial"/>
          <w:sz w:val="18"/>
          <w:szCs w:val="18"/>
          <w:color w:val="auto"/>
        </w:rPr>
      </w:pPr>
    </w:p>
    <w:p>
      <w:pPr>
        <w:jc w:val="both"/>
        <w:ind w:firstLine="656"/>
        <w:spacing w:after="0" w:line="243" w:lineRule="auto"/>
        <w:tabs>
          <w:tab w:leader="none" w:pos="112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Reports to SEC and to Shareholders</w:t>
      </w:r>
      <w:r>
        <w:rPr>
          <w:rFonts w:ascii="Arial" w:cs="Arial" w:eastAsia="Arial" w:hAnsi="Arial"/>
          <w:sz w:val="20"/>
          <w:szCs w:val="20"/>
          <w:color w:val="auto"/>
        </w:rPr>
        <w:t xml:space="preserve">. Except as otherwise provided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7.01(b)</w:t>
      </w:r>
      <w:r>
        <w:rPr>
          <w:rFonts w:ascii="Arial" w:cs="Arial" w:eastAsia="Arial" w:hAnsi="Arial"/>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19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Notice of Default, Litigation and ERISA Matters</w:t>
      </w:r>
      <w:r>
        <w:rPr>
          <w:rFonts w:ascii="Arial" w:cs="Arial" w:eastAsia="Arial" w:hAnsi="Arial"/>
          <w:sz w:val="20"/>
          <w:szCs w:val="20"/>
          <w:color w:val="auto"/>
        </w:rPr>
        <w:t>. Promptly upon any Executive Officer becoming aware of any of the following, written notice describing the same and the steps being taken by the Company or the Subsidiary affected thereby with respect thereto:</w:t>
      </w:r>
    </w:p>
    <w:p>
      <w:pPr>
        <w:spacing w:after="0" w:line="185" w:lineRule="exact"/>
        <w:rPr>
          <w:rFonts w:ascii="Arial" w:cs="Arial" w:eastAsia="Arial" w:hAnsi="Arial"/>
          <w:sz w:val="20"/>
          <w:szCs w:val="20"/>
          <w:color w:val="auto"/>
        </w:rPr>
      </w:pPr>
    </w:p>
    <w:p>
      <w:pPr>
        <w:ind w:left="1680" w:hanging="376"/>
        <w:spacing w:after="0"/>
        <w:tabs>
          <w:tab w:leader="none" w:pos="16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occurrence of a Default;</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75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litigation, arbitration or governmental investigation or proceeding not previously disclosed by the Company to the Lenders which involves an uninsured claim and has been instituted, or, to the knowledge of the Company, is threatened in writing against the Company or any Significant Subsidiary or to which any of the properties of any thereof is subject which could reasonably be expected to have a Material Adverse Effect;</w:t>
      </w:r>
    </w:p>
    <w:p>
      <w:pPr>
        <w:spacing w:after="0" w:line="191" w:lineRule="exact"/>
        <w:rPr>
          <w:rFonts w:ascii="Arial" w:cs="Arial" w:eastAsia="Arial" w:hAnsi="Arial"/>
          <w:sz w:val="20"/>
          <w:szCs w:val="20"/>
          <w:color w:val="auto"/>
        </w:rPr>
      </w:pPr>
    </w:p>
    <w:p>
      <w:pPr>
        <w:jc w:val="both"/>
        <w:ind w:left="660" w:firstLine="644"/>
        <w:spacing w:after="0" w:line="271" w:lineRule="auto"/>
        <w:tabs>
          <w:tab w:leader="none" w:pos="179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69" w:lineRule="exact"/>
        <w:rPr>
          <w:rFonts w:ascii="Arial" w:cs="Arial" w:eastAsia="Arial" w:hAnsi="Arial"/>
          <w:sz w:val="18"/>
          <w:szCs w:val="18"/>
          <w:color w:val="auto"/>
        </w:rPr>
      </w:pPr>
    </w:p>
    <w:p>
      <w:pPr>
        <w:ind w:left="1760" w:hanging="456"/>
        <w:spacing w:after="0"/>
        <w:tabs>
          <w:tab w:leader="none" w:pos="176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Loan Party becomes an entity deemed to hold Plan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19" w:right="339" w:bottom="1440" w:gutter="0" w:footer="0" w:header="0"/>
        </w:sectPr>
      </w:pPr>
    </w:p>
    <w:bookmarkStart w:id="117" w:name="page118"/>
    <w:bookmarkEnd w:id="117"/>
    <w:p>
      <w:pPr>
        <w:ind w:left="660" w:firstLine="644"/>
        <w:spacing w:after="0" w:line="260" w:lineRule="auto"/>
        <w:tabs>
          <w:tab w:leader="none" w:pos="171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other event (including any violation of any Environmental Law or the assertion of any Environmental Claim) which could reasonably be expected to have a Material Adverse Effect.</w:t>
      </w:r>
    </w:p>
    <w:p>
      <w:pPr>
        <w:spacing w:after="0" w:line="176" w:lineRule="exact"/>
        <w:rPr>
          <w:rFonts w:ascii="Arial" w:cs="Arial" w:eastAsia="Arial" w:hAnsi="Arial"/>
          <w:sz w:val="20"/>
          <w:szCs w:val="20"/>
          <w:color w:val="auto"/>
        </w:rPr>
      </w:pPr>
    </w:p>
    <w:p>
      <w:pPr>
        <w:jc w:val="both"/>
        <w:ind w:firstLine="656"/>
        <w:spacing w:after="0" w:line="259" w:lineRule="auto"/>
        <w:tabs>
          <w:tab w:leader="none" w:pos="108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From time to time (i) 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 (ii)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7.01(d)</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or publicly files such documents with the SEC; or (ii) on which such documents are (A) available on the website of the SEC at </w:t>
      </w:r>
      <w:r>
        <w:rPr>
          <w:rFonts w:ascii="Arial" w:cs="Arial" w:eastAsia="Arial" w:hAnsi="Arial"/>
          <w:sz w:val="19"/>
          <w:szCs w:val="19"/>
          <w:u w:val="single" w:color="auto"/>
          <w:color w:val="auto"/>
        </w:rPr>
        <w:t>http://www.sec.gov</w:t>
      </w:r>
      <w:r>
        <w:rPr>
          <w:rFonts w:ascii="Arial" w:cs="Arial" w:eastAsia="Arial" w:hAnsi="Arial"/>
          <w:sz w:val="19"/>
          <w:szCs w:val="19"/>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documents that are not available on </w:t>
      </w:r>
      <w:r>
        <w:rPr>
          <w:rFonts w:ascii="Arial" w:cs="Arial" w:eastAsia="Arial" w:hAnsi="Arial"/>
          <w:sz w:val="19"/>
          <w:szCs w:val="19"/>
          <w:u w:val="single" w:color="auto"/>
          <w:color w:val="auto"/>
        </w:rPr>
        <w:t>http://www.sec.gov</w:t>
      </w:r>
      <w:r>
        <w:rPr>
          <w:rFonts w:ascii="Arial" w:cs="Arial" w:eastAsia="Arial" w:hAnsi="Arial"/>
          <w:sz w:val="19"/>
          <w:szCs w:val="19"/>
          <w:color w:val="auto"/>
        </w:rPr>
        <w: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hereby acknowledges that (a) the Administrative Agent and/or the Arrangers may, but shall not be obligated to, make available to the Lenders and the L/C Issuer materials and/or information provided by or on behalf of the Company hereunder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by posting the Borrower Materials on Debt Domain,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Arrangers, the L/C Issuer and the Lenders to treat such Borrower Materials as not containing any material non-public information with respect to the Company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any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19" w:right="339" w:bottom="1440" w:gutter="0" w:footer="0" w:header="0"/>
        </w:sectPr>
      </w:pPr>
    </w:p>
    <w:bookmarkStart w:id="118" w:name="page119"/>
    <w:bookmarkEnd w:id="118"/>
    <w:p>
      <w:pPr>
        <w:spacing w:after="0" w:line="287" w:lineRule="auto"/>
        <w:rPr>
          <w:sz w:val="20"/>
          <w:szCs w:val="20"/>
          <w:color w:val="auto"/>
        </w:rPr>
      </w:pPr>
      <w:r>
        <w:rPr>
          <w:rFonts w:ascii="Arial" w:cs="Arial" w:eastAsia="Arial" w:hAnsi="Arial"/>
          <w:sz w:val="19"/>
          <w:szCs w:val="19"/>
          <w:color w:val="auto"/>
        </w:rPr>
        <w:t>posting on, and shall only post such Borrower Materials on, a portion of the Platform not designated as “Public Side Information.” Notwithstanding the foregoing, the Company shall be under no obligation to mark any Borrower Materials “PUBLIC.”</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1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Keep, and cause each Significant Subsidiary to keep, its books and records in conformity with GAAP;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 with any visit or inspection made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be for the account of the Administrative Agent (or, if acting upon the request of or accompanied by any Lender, such Lender).</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self-insurance of risks and in amounts customary in the industry of the Company and its Subsidiaries shall be permitted.</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8"/>
          <w:szCs w:val="18"/>
          <w:u w:val="single" w:color="auto"/>
          <w:color w:val="auto"/>
        </w:rPr>
        <w:t>Compliance with Laws; Payment of Taxes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18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11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Pay, and cause each Significant Subsidiary to pay all taxes and governmental charges against it or any of its property, except such taxes that are not overdue by more than 60 days and such taxes the failure of which to pay, either individually or in the aggregate with all other such failures,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19"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0"/>
          <w:szCs w:val="20"/>
          <w:color w:val="auto"/>
        </w:rPr>
        <w:t xml:space="preserve">not reasonably be expected to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6"/>
          <w:szCs w:val="16"/>
          <w:u w:val="single" w:color="auto"/>
          <w:color w:val="auto"/>
        </w:rPr>
        <w:t>Maintenance of Existence,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Maintain and preserve, and (subject to </w:t>
      </w:r>
      <w:r>
        <w:rPr>
          <w:rFonts w:ascii="Arial" w:cs="Arial" w:eastAsia="Arial" w:hAnsi="Arial"/>
          <w:sz w:val="18"/>
          <w:szCs w:val="18"/>
          <w:u w:val="single" w:color="auto"/>
          <w:color w:val="auto"/>
        </w:rPr>
        <w:t>Section 7.09</w:t>
      </w:r>
      <w:r>
        <w:rPr>
          <w:rFonts w:ascii="Arial" w:cs="Arial" w:eastAsia="Arial" w:hAnsi="Arial"/>
          <w:sz w:val="18"/>
          <w:szCs w:val="18"/>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5" w:lineRule="auto"/>
        <w:tabs>
          <w:tab w:leader="none" w:pos="1048"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Consolidated Net Leverage Ratio</w:t>
      </w:r>
      <w:r>
        <w:rPr>
          <w:rFonts w:ascii="Arial" w:cs="Arial" w:eastAsia="Arial" w:hAnsi="Arial"/>
          <w:sz w:val="19"/>
          <w:szCs w:val="19"/>
          <w:color w:val="auto"/>
        </w:rPr>
        <w:t xml:space="preserve">. Not permit the Consolidated Net Leverage Ratio as of the last day of any Computation Period to exceed 3.50 to 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individual Permitted Acquisition (or any series of Permitted Acquisitions occurring in any four Fiscal Quarter period) for which the aggregate purchase consideration equals or exceeds $100,000,000, the maximum Consolidated Net Leverage Ratio, with prior notice to the Administrative Agent, shall increase to 3.75 to 1.0 for the four consecutive Fiscal Quarter period beginning with, if an individual Permitted Acquisition, the quarter in which such Permitted Acquisition occurs, or, if a series of Permitted Acquisitions, the quarter in which the last Permitted Acquisition occurs, so long as (i) the Company is in compliance on a pro forma basis with this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at such 3.75 to 1.0 level after giving effect to such Permitted Acquisition and (ii) after any such Permitted Acquisition that results in an increase to the 3.75 to 1.0 level, the Consolidated Net Leverage Ratio permitted under this </w:t>
      </w:r>
      <w:r>
        <w:rPr>
          <w:rFonts w:ascii="Arial" w:cs="Arial" w:eastAsia="Arial" w:hAnsi="Arial"/>
          <w:sz w:val="19"/>
          <w:szCs w:val="19"/>
          <w:u w:val="single" w:color="auto"/>
          <w:color w:val="auto"/>
        </w:rPr>
        <w:t>Section 7.06(a)</w:t>
      </w:r>
      <w:r>
        <w:rPr>
          <w:rFonts w:ascii="Arial" w:cs="Arial" w:eastAsia="Arial" w:hAnsi="Arial"/>
          <w:sz w:val="19"/>
          <w:szCs w:val="19"/>
          <w:color w:val="auto"/>
        </w:rPr>
        <w:t xml:space="preserve"> shall decrease to 3.50 to 1.0 for at least one Fiscal Quarter before becoming eligible to again increase to 3.75 to 1.0 for a new period of four consecutive Fiscal Quarters (with the understanding that any Permitted Acquisition occurring during such Fiscal Quarter would be required to comply with the 3.50 to 1.0 ratio).</w:t>
      </w:r>
    </w:p>
    <w:p>
      <w:pPr>
        <w:spacing w:after="0" w:line="186" w:lineRule="exact"/>
        <w:rPr>
          <w:rFonts w:ascii="Arial" w:cs="Arial" w:eastAsia="Arial" w:hAnsi="Arial"/>
          <w:sz w:val="19"/>
          <w:szCs w:val="19"/>
          <w:color w:val="auto"/>
        </w:rPr>
      </w:pPr>
    </w:p>
    <w:p>
      <w:pPr>
        <w:ind w:right="20" w:firstLine="656"/>
        <w:spacing w:after="0" w:line="260" w:lineRule="auto"/>
        <w:tabs>
          <w:tab w:leader="none" w:pos="1247"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Not permit the Consolidated Interest Coverage Ratio as of the last day of any Computation Period to be less than 3.00 to 1.0.</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8"/>
          <w:szCs w:val="18"/>
          <w:u w:val="single" w:color="auto"/>
          <w:color w:val="auto"/>
        </w:rPr>
        <w:t>Limitations on Debt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and not permit any Significant Subsidiary or any Securitization Subsidiary to, create, incur, assume or suffer to exist any Debt,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ind w:left="1060" w:hanging="404"/>
        <w:spacing w:after="0"/>
        <w:tabs>
          <w:tab w:leader="none" w:pos="106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Debt arising under the Loan Documents;</w:t>
      </w:r>
    </w:p>
    <w:p>
      <w:pPr>
        <w:spacing w:after="0" w:line="215" w:lineRule="exact"/>
        <w:rPr>
          <w:rFonts w:ascii="Arial" w:cs="Arial" w:eastAsia="Arial" w:hAnsi="Arial"/>
          <w:sz w:val="20"/>
          <w:szCs w:val="20"/>
          <w:color w:val="auto"/>
        </w:rPr>
      </w:pPr>
    </w:p>
    <w:p>
      <w:pPr>
        <w:jc w:val="both"/>
        <w:ind w:firstLine="656"/>
        <w:spacing w:after="0" w:line="274" w:lineRule="auto"/>
        <w:tabs>
          <w:tab w:leader="none" w:pos="112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Debt is incurred prior to or substantially concurrently with such acquisition or not later than 45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 (z) the aggregate outstanding principal amount of all Debt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does not at the time of incurrence of any such Debt exceed the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19" w:right="339" w:bottom="1440" w:gutter="0" w:footer="0" w:header="0"/>
        </w:sectPr>
      </w:pPr>
    </w:p>
    <w:bookmarkStart w:id="120" w:name="page121"/>
    <w:bookmarkEnd w:id="120"/>
    <w:p>
      <w:pPr>
        <w:spacing w:after="0" w:line="260" w:lineRule="auto"/>
        <w:rPr>
          <w:sz w:val="20"/>
          <w:szCs w:val="20"/>
          <w:color w:val="auto"/>
        </w:rPr>
      </w:pPr>
      <w:r>
        <w:rPr>
          <w:rFonts w:ascii="Arial" w:cs="Arial" w:eastAsia="Arial" w:hAnsi="Arial"/>
          <w:sz w:val="20"/>
          <w:szCs w:val="20"/>
          <w:color w:val="auto"/>
        </w:rPr>
        <w:t xml:space="preserve">of (A) $50,000,000 and (B) 5% of the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77" w:lineRule="exact"/>
        <w:rPr>
          <w:sz w:val="20"/>
          <w:szCs w:val="20"/>
          <w:color w:val="auto"/>
        </w:rPr>
      </w:pPr>
    </w:p>
    <w:p>
      <w:pPr>
        <w:ind w:left="1060" w:hanging="404"/>
        <w:spacing w:after="0"/>
        <w:tabs>
          <w:tab w:leader="none" w:pos="10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Debt secured by Liens permitted by </w:t>
      </w:r>
      <w:r>
        <w:rPr>
          <w:rFonts w:ascii="Arial" w:cs="Arial" w:eastAsia="Arial" w:hAnsi="Arial"/>
          <w:sz w:val="20"/>
          <w:szCs w:val="20"/>
          <w:u w:val="single" w:color="auto"/>
          <w:color w:val="auto"/>
        </w:rPr>
        <w:t>Section 7.08(c)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7.08(t)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Debt (or any undrawn commitment therefor) existing on the Closing Date and listed in </w:t>
      </w:r>
      <w:r>
        <w:rPr>
          <w:rFonts w:ascii="Arial" w:cs="Arial" w:eastAsia="Arial" w:hAnsi="Arial"/>
          <w:sz w:val="20"/>
          <w:szCs w:val="20"/>
          <w:u w:val="single" w:color="auto"/>
          <w:color w:val="auto"/>
        </w:rPr>
        <w:t>Schedule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316" w:lineRule="auto"/>
        <w:tabs>
          <w:tab w:leader="none" w:pos="11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29" w:lineRule="exact"/>
        <w:rPr>
          <w:rFonts w:ascii="Arial" w:cs="Arial" w:eastAsia="Arial" w:hAnsi="Arial"/>
          <w:sz w:val="18"/>
          <w:szCs w:val="18"/>
          <w:color w:val="auto"/>
        </w:rPr>
      </w:pPr>
    </w:p>
    <w:p>
      <w:pPr>
        <w:ind w:left="1040" w:hanging="384"/>
        <w:spacing w:after="0"/>
        <w:tabs>
          <w:tab w:leader="none" w:pos="10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Subordinated Debt;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12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85" w:lineRule="exact"/>
        <w:rPr>
          <w:rFonts w:ascii="Arial" w:cs="Arial" w:eastAsia="Arial" w:hAnsi="Arial"/>
          <w:sz w:val="20"/>
          <w:szCs w:val="20"/>
          <w:color w:val="auto"/>
        </w:rPr>
      </w:pPr>
    </w:p>
    <w:p>
      <w:pPr>
        <w:ind w:left="1060" w:hanging="404"/>
        <w:spacing w:after="0"/>
        <w:tabs>
          <w:tab w:leader="none" w:pos="10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Debt of a Person acquired in connection with a Permitted Acquisition that was not incurred in contemplation thereof;</w:t>
      </w:r>
    </w:p>
    <w:p>
      <w:pPr>
        <w:spacing w:after="0" w:line="227" w:lineRule="exact"/>
        <w:rPr>
          <w:rFonts w:ascii="Arial" w:cs="Arial" w:eastAsia="Arial" w:hAnsi="Arial"/>
          <w:sz w:val="19"/>
          <w:szCs w:val="19"/>
          <w:color w:val="auto"/>
        </w:rPr>
      </w:pPr>
    </w:p>
    <w:p>
      <w:pPr>
        <w:ind w:left="1020" w:hanging="364"/>
        <w:spacing w:after="0"/>
        <w:tabs>
          <w:tab w:leader="none" w:pos="10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Debt of the Company or a Significant Subsidiary as an account party in respect of trade and standby letters of credit;</w:t>
      </w:r>
    </w:p>
    <w:p>
      <w:pPr>
        <w:spacing w:after="0" w:line="227" w:lineRule="exact"/>
        <w:rPr>
          <w:rFonts w:ascii="Arial" w:cs="Arial" w:eastAsia="Arial" w:hAnsi="Arial"/>
          <w:sz w:val="19"/>
          <w:szCs w:val="19"/>
          <w:color w:val="auto"/>
        </w:rPr>
      </w:pPr>
    </w:p>
    <w:p>
      <w:pPr>
        <w:ind w:left="1020" w:hanging="364"/>
        <w:spacing w:after="0"/>
        <w:tabs>
          <w:tab w:leader="none" w:pos="10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Debt arising under surety, custom and similar bonds in the ordinary course of business consistent with past practice;</w:t>
      </w:r>
    </w:p>
    <w:p>
      <w:pPr>
        <w:spacing w:after="0" w:line="227" w:lineRule="exact"/>
        <w:rPr>
          <w:rFonts w:ascii="Arial" w:cs="Arial" w:eastAsia="Arial" w:hAnsi="Arial"/>
          <w:sz w:val="19"/>
          <w:szCs w:val="19"/>
          <w:color w:val="auto"/>
        </w:rPr>
      </w:pPr>
    </w:p>
    <w:p>
      <w:pPr>
        <w:jc w:val="both"/>
        <w:ind w:firstLine="656"/>
        <w:spacing w:after="0" w:line="260" w:lineRule="auto"/>
        <w:tabs>
          <w:tab w:leader="none" w:pos="127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outstanding amount of all Securitization Obligations of the Domestic Borrowers and the Domestic Subsidiaries of the Company shall not exceed $35,000,000 at any time.</w:t>
      </w:r>
    </w:p>
    <w:p>
      <w:pPr>
        <w:spacing w:after="0" w:line="180" w:lineRule="exact"/>
        <w:rPr>
          <w:rFonts w:ascii="Arial" w:cs="Arial" w:eastAsia="Arial" w:hAnsi="Arial"/>
          <w:sz w:val="19"/>
          <w:szCs w:val="19"/>
          <w:color w:val="auto"/>
        </w:rPr>
      </w:pPr>
    </w:p>
    <w:p>
      <w:pPr>
        <w:ind w:firstLine="656"/>
        <w:spacing w:after="0" w:line="260" w:lineRule="auto"/>
        <w:tabs>
          <w:tab w:leader="none" w:pos="11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Debt under the Existing Credit Agreement, so long such Debt is repaid concurrently with the making of the initial Credit Extensions hereunder;</w:t>
      </w:r>
    </w:p>
    <w:p>
      <w:pPr>
        <w:spacing w:after="0" w:line="176" w:lineRule="exact"/>
        <w:rPr>
          <w:rFonts w:ascii="Arial" w:cs="Arial" w:eastAsia="Arial" w:hAnsi="Arial"/>
          <w:sz w:val="20"/>
          <w:szCs w:val="20"/>
          <w:color w:val="auto"/>
        </w:rPr>
      </w:pPr>
    </w:p>
    <w:p>
      <w:pPr>
        <w:ind w:firstLine="656"/>
        <w:spacing w:after="0" w:line="260" w:lineRule="auto"/>
        <w:tabs>
          <w:tab w:leader="none" w:pos="112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Debt arising under any Note Purchase Agreement or any Senior Note (and renewals, refinancings and extensions thereof) and, subject to </w:t>
      </w:r>
      <w:r>
        <w:rPr>
          <w:rFonts w:ascii="Arial" w:cs="Arial" w:eastAsia="Arial" w:hAnsi="Arial"/>
          <w:sz w:val="20"/>
          <w:szCs w:val="20"/>
          <w:u w:val="single" w:color="auto"/>
          <w:color w:val="auto"/>
        </w:rPr>
        <w:t>Section 7.16</w:t>
      </w:r>
      <w:r>
        <w:rPr>
          <w:rFonts w:ascii="Arial" w:cs="Arial" w:eastAsia="Arial" w:hAnsi="Arial"/>
          <w:sz w:val="20"/>
          <w:szCs w:val="20"/>
          <w:color w:val="auto"/>
        </w:rPr>
        <w:t>, any guarantee of the foregoing;</w:t>
      </w:r>
    </w:p>
    <w:p>
      <w:pPr>
        <w:spacing w:after="0" w:line="176" w:lineRule="exact"/>
        <w:rPr>
          <w:rFonts w:ascii="Arial" w:cs="Arial" w:eastAsia="Arial" w:hAnsi="Arial"/>
          <w:sz w:val="20"/>
          <w:szCs w:val="20"/>
          <w:color w:val="auto"/>
        </w:rPr>
      </w:pPr>
    </w:p>
    <w:p>
      <w:pPr>
        <w:ind w:firstLine="656"/>
        <w:spacing w:after="0" w:line="260" w:lineRule="auto"/>
        <w:tabs>
          <w:tab w:leader="none" w:pos="11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Suretyship Liabilities of the Company with respect to Debt permitted hereunder (but subject to any limitations otherwise applicable to the Company to incur such Debt directly);</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Debt of a Foreign Subsidiary other than a Loan Party;</w:t>
      </w:r>
    </w:p>
    <w:p>
      <w:pPr>
        <w:spacing w:after="0" w:line="215" w:lineRule="exact"/>
        <w:rPr>
          <w:rFonts w:ascii="Arial" w:cs="Arial" w:eastAsia="Arial" w:hAnsi="Arial"/>
          <w:sz w:val="20"/>
          <w:szCs w:val="20"/>
          <w:color w:val="auto"/>
        </w:rPr>
      </w:pPr>
    </w:p>
    <w:p>
      <w:pPr>
        <w:ind w:firstLine="656"/>
        <w:spacing w:after="0" w:line="260" w:lineRule="auto"/>
        <w:tabs>
          <w:tab w:leader="none" w:pos="113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19" w:right="339" w:bottom="1440" w:gutter="0" w:footer="0" w:header="0"/>
        </w:sectPr>
      </w:pPr>
    </w:p>
    <w:bookmarkStart w:id="121" w:name="page122"/>
    <w:bookmarkEnd w:id="121"/>
    <w:p>
      <w:pPr>
        <w:jc w:val="both"/>
        <w:ind w:firstLine="656"/>
        <w:spacing w:after="0" w:line="250" w:lineRule="auto"/>
        <w:tabs>
          <w:tab w:leader="none" w:pos="105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w:t>
      </w:r>
    </w:p>
    <w:p>
      <w:pPr>
        <w:spacing w:after="0" w:line="185" w:lineRule="exact"/>
        <w:rPr>
          <w:rFonts w:ascii="Arial" w:cs="Arial" w:eastAsia="Arial" w:hAnsi="Arial"/>
          <w:sz w:val="20"/>
          <w:szCs w:val="20"/>
          <w:color w:val="auto"/>
        </w:rPr>
      </w:pPr>
    </w:p>
    <w:p>
      <w:pPr>
        <w:ind w:left="1040" w:hanging="384"/>
        <w:spacing w:after="0"/>
        <w:tabs>
          <w:tab w:leader="none" w:pos="10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other unsecured Debt and, subject to </w:t>
      </w:r>
      <w:r>
        <w:rPr>
          <w:rFonts w:ascii="Arial" w:cs="Arial" w:eastAsia="Arial" w:hAnsi="Arial"/>
          <w:sz w:val="20"/>
          <w:szCs w:val="20"/>
          <w:u w:val="single" w:color="auto"/>
          <w:color w:val="auto"/>
        </w:rPr>
        <w:t>Section 7.17</w:t>
      </w:r>
      <w:r>
        <w:rPr>
          <w:rFonts w:ascii="Arial" w:cs="Arial" w:eastAsia="Arial" w:hAnsi="Arial"/>
          <w:sz w:val="20"/>
          <w:szCs w:val="20"/>
          <w:color w:val="auto"/>
        </w:rPr>
        <w:t>, any guaranty thereof; and</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to the extent constituting Debt, Investments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6" w:lineRule="exact"/>
        <w:rPr>
          <w:sz w:val="20"/>
          <w:szCs w:val="20"/>
          <w:color w:val="auto"/>
        </w:rPr>
      </w:pPr>
    </w:p>
    <w:p>
      <w:pPr>
        <w:spacing w:after="0" w:line="31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of Debt described in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after the Closing Date, (i) the Company is in pro forma compliance with the covenants set forth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and (ii) no Default shall exist or result from the incurrence of such Debt.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177" w:lineRule="exact"/>
        <w:rPr>
          <w:sz w:val="20"/>
          <w:szCs w:val="20"/>
          <w:color w:val="auto"/>
        </w:rPr>
      </w:pPr>
    </w:p>
    <w:p>
      <w:pPr>
        <w:ind w:firstLine="656"/>
        <w:spacing w:after="0" w:line="287" w:lineRule="auto"/>
        <w:tabs>
          <w:tab w:leader="none" w:pos="110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52" w:lineRule="exact"/>
        <w:rPr>
          <w:rFonts w:ascii="Arial" w:cs="Arial" w:eastAsia="Arial" w:hAnsi="Arial"/>
          <w:sz w:val="19"/>
          <w:szCs w:val="19"/>
          <w:color w:val="auto"/>
        </w:rPr>
      </w:pPr>
    </w:p>
    <w:p>
      <w:pPr>
        <w:jc w:val="both"/>
        <w:ind w:firstLine="656"/>
        <w:spacing w:after="0" w:line="276" w:lineRule="auto"/>
        <w:tabs>
          <w:tab w:leader="none" w:pos="109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10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Liens identified in </w:t>
      </w:r>
      <w:r>
        <w:rPr>
          <w:rFonts w:ascii="Arial" w:cs="Arial" w:eastAsia="Arial" w:hAnsi="Arial"/>
          <w:sz w:val="20"/>
          <w:szCs w:val="20"/>
          <w:u w:val="single" w:color="auto"/>
          <w:color w:val="auto"/>
        </w:rPr>
        <w:t>Schedule 7.08</w:t>
      </w:r>
      <w:r>
        <w:rPr>
          <w:rFonts w:ascii="Arial" w:cs="Arial" w:eastAsia="Arial" w:hAnsi="Arial"/>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5" w:lineRule="exact"/>
        <w:rPr>
          <w:rFonts w:ascii="Arial" w:cs="Arial" w:eastAsia="Arial" w:hAnsi="Arial"/>
          <w:sz w:val="20"/>
          <w:szCs w:val="20"/>
          <w:color w:val="auto"/>
        </w:rPr>
      </w:pPr>
    </w:p>
    <w:p>
      <w:pPr>
        <w:jc w:val="both"/>
        <w:ind w:firstLine="656"/>
        <w:spacing w:after="0" w:line="278" w:lineRule="auto"/>
        <w:tabs>
          <w:tab w:leader="none" w:pos="111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arising in connection with court proceedings, for an aggregate amount (with all other Liens existing pursuant to this clause (d)) at the time of incurrence not exceeding the greater of (i) $25,000,000 and (ii) 2.5% of the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execution or other enforcement of such Liens is effectively stayed and the claims secured thereby are being actively contested in good faith and by appropriate action;</w:t>
      </w:r>
    </w:p>
    <w:p>
      <w:pPr>
        <w:spacing w:after="0" w:line="164" w:lineRule="exact"/>
        <w:rPr>
          <w:rFonts w:ascii="Arial" w:cs="Arial" w:eastAsia="Arial" w:hAnsi="Arial"/>
          <w:sz w:val="18"/>
          <w:szCs w:val="18"/>
          <w:color w:val="auto"/>
        </w:rPr>
      </w:pPr>
    </w:p>
    <w:p>
      <w:pPr>
        <w:jc w:val="both"/>
        <w:ind w:firstLine="656"/>
        <w:spacing w:after="0" w:line="263" w:lineRule="auto"/>
        <w:tabs>
          <w:tab w:leader="none" w:pos="104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 zoning, building, entitlement and other land use regulations with which the normal operation of the business of the Company and its Subsidiaries complies; (ii) any zoning or 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19"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conduct of the business of the Company, any Significant Subsidiary or any Domestic Subsidiary (other than Excluded Subsidiaries);</w:t>
      </w:r>
    </w:p>
    <w:p>
      <w:pPr>
        <w:spacing w:after="0" w:line="227" w:lineRule="exact"/>
        <w:rPr>
          <w:sz w:val="20"/>
          <w:szCs w:val="20"/>
          <w:color w:val="auto"/>
        </w:rPr>
      </w:pPr>
    </w:p>
    <w:p>
      <w:pPr>
        <w:jc w:val="both"/>
        <w:ind w:firstLine="656"/>
        <w:spacing w:after="0" w:line="259" w:lineRule="auto"/>
        <w:tabs>
          <w:tab w:leader="none" w:pos="105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provided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78" w:lineRule="exact"/>
        <w:rPr>
          <w:rFonts w:ascii="Arial" w:cs="Arial" w:eastAsia="Arial" w:hAnsi="Arial"/>
          <w:sz w:val="19"/>
          <w:szCs w:val="19"/>
          <w:color w:val="auto"/>
        </w:rPr>
      </w:pPr>
    </w:p>
    <w:p>
      <w:pPr>
        <w:jc w:val="both"/>
        <w:ind w:firstLine="656"/>
        <w:spacing w:after="0" w:line="243" w:lineRule="auto"/>
        <w:tabs>
          <w:tab w:leader="none" w:pos="107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Liens securing Debt permitted by </w:t>
      </w:r>
      <w:r>
        <w:rPr>
          <w:rFonts w:ascii="Arial" w:cs="Arial" w:eastAsia="Arial" w:hAnsi="Arial"/>
          <w:sz w:val="20"/>
          <w:szCs w:val="20"/>
          <w:u w:val="single" w:color="auto"/>
          <w:color w:val="auto"/>
        </w:rPr>
        <w:t>Section 7.07(b)</w:t>
      </w:r>
      <w:r>
        <w:rPr>
          <w:rFonts w:ascii="Arial" w:cs="Arial" w:eastAsia="Arial" w:hAnsi="Arial"/>
          <w:sz w:val="20"/>
          <w:szCs w:val="20"/>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 attaches solely to the property so acquired, constructed or improved in such transaction (provided that individual financings under </w:t>
      </w:r>
      <w:r>
        <w:rPr>
          <w:rFonts w:ascii="Arial" w:cs="Arial" w:eastAsia="Arial" w:hAnsi="Arial"/>
          <w:sz w:val="20"/>
          <w:szCs w:val="20"/>
          <w:u w:val="single" w:color="auto"/>
          <w:color w:val="auto"/>
        </w:rPr>
        <w:t>Section 7.07(b)</w:t>
      </w:r>
      <w:r>
        <w:rPr>
          <w:rFonts w:ascii="Arial" w:cs="Arial" w:eastAsia="Arial" w:hAnsi="Arial"/>
          <w:sz w:val="20"/>
          <w:szCs w:val="20"/>
          <w:color w:val="auto"/>
        </w:rPr>
        <w:t xml:space="preserve"> provided by one Person (or an Affiliate thereof) may be cross-collateralized to other financings provided by such Person and its Affiliates that are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7.07(b)</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656"/>
        <w:spacing w:after="0" w:line="274" w:lineRule="auto"/>
        <w:tabs>
          <w:tab w:leader="none" w:pos="111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68" w:lineRule="exact"/>
        <w:rPr>
          <w:rFonts w:ascii="Arial" w:cs="Arial" w:eastAsia="Arial" w:hAnsi="Arial"/>
          <w:sz w:val="18"/>
          <w:szCs w:val="18"/>
          <w:color w:val="auto"/>
        </w:rPr>
      </w:pPr>
    </w:p>
    <w:p>
      <w:pPr>
        <w:ind w:left="1020" w:hanging="364"/>
        <w:spacing w:after="0"/>
        <w:tabs>
          <w:tab w:leader="none" w:pos="10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Liens securing Securitization Obligations;</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01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Arial" w:cs="Arial" w:eastAsia="Arial" w:hAnsi="Arial"/>
          <w:sz w:val="20"/>
          <w:szCs w:val="20"/>
          <w:u w:val="single" w:color="auto"/>
          <w:color w:val="auto"/>
        </w:rPr>
        <w:t>Section 7.17(d)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interest of title of a lessor under leases permitted by this Agreement;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4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185" w:lineRule="exact"/>
        <w:rPr>
          <w:rFonts w:ascii="Arial" w:cs="Arial" w:eastAsia="Arial" w:hAnsi="Arial"/>
          <w:sz w:val="20"/>
          <w:szCs w:val="20"/>
          <w:color w:val="auto"/>
        </w:rPr>
      </w:pPr>
    </w:p>
    <w:p>
      <w:pPr>
        <w:ind w:firstLine="656"/>
        <w:spacing w:after="0" w:line="260" w:lineRule="auto"/>
        <w:tabs>
          <w:tab w:leader="none" w:pos="114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Liens in favor of customs or revenue authorities arising as a matter of law to secure payment of customs duties in connection with the importation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19" w:right="339" w:bottom="1440" w:gutter="0" w:footer="0" w:header="0"/>
        </w:sectPr>
      </w:pPr>
    </w:p>
    <w:bookmarkStart w:id="123" w:name="page124"/>
    <w:bookmarkEnd w:id="123"/>
    <w:p>
      <w:pPr>
        <w:ind w:right="20" w:firstLine="656"/>
        <w:spacing w:after="0" w:line="260" w:lineRule="auto"/>
        <w:tabs>
          <w:tab w:leader="none" w:pos="120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76" w:lineRule="exact"/>
        <w:rPr>
          <w:rFonts w:ascii="Arial" w:cs="Arial" w:eastAsia="Arial" w:hAnsi="Arial"/>
          <w:sz w:val="20"/>
          <w:szCs w:val="20"/>
          <w:color w:val="auto"/>
        </w:rPr>
      </w:pPr>
    </w:p>
    <w:p>
      <w:pPr>
        <w:ind w:firstLine="656"/>
        <w:spacing w:after="0" w:line="260" w:lineRule="auto"/>
        <w:tabs>
          <w:tab w:leader="none" w:pos="113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receipt of progress payments and advances from customers in the ordinary course of business to the extent the same create Liens on the related inventory and proceeds thereof;</w:t>
      </w:r>
    </w:p>
    <w:p>
      <w:pPr>
        <w:spacing w:after="0" w:line="176" w:lineRule="exact"/>
        <w:rPr>
          <w:rFonts w:ascii="Arial" w:cs="Arial" w:eastAsia="Arial" w:hAnsi="Arial"/>
          <w:sz w:val="20"/>
          <w:szCs w:val="20"/>
          <w:color w:val="auto"/>
        </w:rPr>
      </w:pPr>
    </w:p>
    <w:p>
      <w:pPr>
        <w:ind w:firstLine="656"/>
        <w:spacing w:after="0" w:line="260" w:lineRule="auto"/>
        <w:tabs>
          <w:tab w:leader="none" w:pos="109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76" w:lineRule="exact"/>
        <w:rPr>
          <w:rFonts w:ascii="Arial" w:cs="Arial" w:eastAsia="Arial" w:hAnsi="Arial"/>
          <w:sz w:val="20"/>
          <w:szCs w:val="20"/>
          <w:color w:val="auto"/>
        </w:rPr>
      </w:pPr>
    </w:p>
    <w:p>
      <w:pPr>
        <w:jc w:val="both"/>
        <w:ind w:firstLine="656"/>
        <w:spacing w:after="0" w:line="291" w:lineRule="auto"/>
        <w:tabs>
          <w:tab w:leader="none" w:pos="109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151" w:lineRule="exact"/>
        <w:rPr>
          <w:rFonts w:ascii="Arial" w:cs="Arial" w:eastAsia="Arial" w:hAnsi="Arial"/>
          <w:sz w:val="18"/>
          <w:szCs w:val="18"/>
          <w:color w:val="auto"/>
        </w:rPr>
      </w:pPr>
    </w:p>
    <w:p>
      <w:pPr>
        <w:jc w:val="both"/>
        <w:ind w:firstLine="656"/>
        <w:spacing w:after="0" w:line="250" w:lineRule="auto"/>
        <w:tabs>
          <w:tab w:leader="none" w:pos="106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6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185" w:lineRule="exact"/>
        <w:rPr>
          <w:rFonts w:ascii="Arial" w:cs="Arial" w:eastAsia="Arial" w:hAnsi="Arial"/>
          <w:sz w:val="20"/>
          <w:szCs w:val="20"/>
          <w:color w:val="auto"/>
        </w:rPr>
      </w:pPr>
    </w:p>
    <w:p>
      <w:pPr>
        <w:jc w:val="both"/>
        <w:ind w:firstLine="656"/>
        <w:spacing w:after="0" w:line="244" w:lineRule="auto"/>
        <w:tabs>
          <w:tab w:leader="none" w:pos="102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other Liens so long as, at the time of incurrence of the obligations secured by such Lien, the aggregate amount of all obligations secured by Liens incurred pursuant to this clause (t) shall not exceed the greater of (i) $50,000,000 and (ii) 5% of the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permitted under this </w:t>
      </w:r>
      <w:r>
        <w:rPr>
          <w:rFonts w:ascii="Arial" w:cs="Arial" w:eastAsia="Arial" w:hAnsi="Arial"/>
          <w:sz w:val="20"/>
          <w:szCs w:val="20"/>
          <w:u w:val="single" w:color="auto"/>
          <w:color w:val="auto"/>
        </w:rPr>
        <w:t>clause (t)</w:t>
      </w:r>
      <w:r>
        <w:rPr>
          <w:rFonts w:ascii="Arial" w:cs="Arial" w:eastAsia="Arial" w:hAnsi="Arial"/>
          <w:sz w:val="20"/>
          <w:szCs w:val="20"/>
          <w:color w:val="auto"/>
        </w:rPr>
        <w:t xml:space="preserve"> may secure any obligations under any Note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Any Lien permitted above on any property may extend to the identifiable proceeds of such property.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Fundamental Changes, Consolidations, Sales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Not, and not permit any Significant Subsidiary to, be a party to any merger or consolidation, consummate any Delaware LLC Division, or sell, transfer, convey or lease any of its assets, or sell or assign with or without recourse any receivables, except for:</w:t>
      </w:r>
    </w:p>
    <w:p>
      <w:pPr>
        <w:spacing w:after="0" w:line="152" w:lineRule="exact"/>
        <w:rPr>
          <w:sz w:val="20"/>
          <w:szCs w:val="20"/>
          <w:color w:val="auto"/>
        </w:rPr>
      </w:pPr>
    </w:p>
    <w:p>
      <w:pPr>
        <w:jc w:val="both"/>
        <w:ind w:firstLine="656"/>
        <w:spacing w:after="0" w:line="257" w:lineRule="auto"/>
        <w:tabs>
          <w:tab w:leader="none" w:pos="110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 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 (iii) of or by any Subsidiary that is not a Loan Party into, with or to any other Subsidiary 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19" w:right="339" w:bottom="1440" w:gutter="0" w:footer="0" w:header="0"/>
        </w:sectPr>
      </w:pPr>
    </w:p>
    <w:bookmarkStart w:id="124" w:name="page125"/>
    <w:bookmarkEnd w:id="124"/>
    <w:p>
      <w:pPr>
        <w:jc w:val="both"/>
        <w:ind w:firstLine="656"/>
        <w:spacing w:after="0" w:line="276" w:lineRule="auto"/>
        <w:tabs>
          <w:tab w:leader="none" w:pos="111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 Delaware LLC Division if, immediately upon the consummation of the Delaware LLC Division, in the case of a Delaware LLC Division of (i) a Loan Party, the assets of such applicable dividing person are held by one or more Wholly Owned Subsidiaries which are (or shall simultaneously become, pursuant to </w:t>
      </w:r>
      <w:r>
        <w:rPr>
          <w:rFonts w:ascii="Arial" w:cs="Arial" w:eastAsia="Arial" w:hAnsi="Arial"/>
          <w:sz w:val="18"/>
          <w:szCs w:val="18"/>
          <w:u w:val="single" w:color="auto"/>
          <w:color w:val="auto"/>
        </w:rPr>
        <w:t>Section 7.16</w:t>
      </w:r>
      <w:r>
        <w:rPr>
          <w:rFonts w:ascii="Arial" w:cs="Arial" w:eastAsia="Arial" w:hAnsi="Arial"/>
          <w:sz w:val="18"/>
          <w:szCs w:val="18"/>
          <w:color w:val="auto"/>
        </w:rPr>
        <w:t>) Loan Parties, (ii) a Significant Subsidiary, the assets of such applicable dividing person are held by one or more Significant Subsidiaries, and (iii) a Subsidiary, the assets of such applicable dividing person are held by one or more Subsidiaries, in each case, at such time, or, with respect to assets not so held in accordance with clauses (i) – (iii) above, such Delaware LLC Division, in the aggregate, would otherwise result in a disposition expressly permitted by this Section;</w:t>
      </w:r>
    </w:p>
    <w:p>
      <w:pPr>
        <w:spacing w:after="0" w:line="164" w:lineRule="exact"/>
        <w:rPr>
          <w:rFonts w:ascii="Arial" w:cs="Arial" w:eastAsia="Arial" w:hAnsi="Arial"/>
          <w:sz w:val="18"/>
          <w:szCs w:val="18"/>
          <w:color w:val="auto"/>
        </w:rPr>
      </w:pPr>
    </w:p>
    <w:p>
      <w:pPr>
        <w:ind w:left="1060" w:hanging="404"/>
        <w:spacing w:after="0"/>
        <w:tabs>
          <w:tab w:leader="none" w:pos="10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12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dispositions of accounts receivable, lease receivables, other financial assets and other rights and related assets pursuant to a Permitted Securitization or any factoring transaction;</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4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85" w:lineRule="exact"/>
        <w:rPr>
          <w:rFonts w:ascii="Arial" w:cs="Arial" w:eastAsia="Arial" w:hAnsi="Arial"/>
          <w:sz w:val="20"/>
          <w:szCs w:val="20"/>
          <w:color w:val="auto"/>
        </w:rPr>
      </w:pPr>
    </w:p>
    <w:p>
      <w:pPr>
        <w:jc w:val="both"/>
        <w:ind w:right="20" w:firstLine="656"/>
        <w:spacing w:after="0" w:line="250" w:lineRule="auto"/>
        <w:tabs>
          <w:tab w:leader="none" w:pos="117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85" w:lineRule="exact"/>
        <w:rPr>
          <w:rFonts w:ascii="Arial" w:cs="Arial" w:eastAsia="Arial" w:hAnsi="Arial"/>
          <w:sz w:val="20"/>
          <w:szCs w:val="20"/>
          <w:color w:val="auto"/>
        </w:rPr>
      </w:pPr>
    </w:p>
    <w:p>
      <w:pPr>
        <w:ind w:firstLine="656"/>
        <w:spacing w:after="0" w:line="260" w:lineRule="auto"/>
        <w:tabs>
          <w:tab w:leader="none" w:pos="105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sales and dispositions of assets (including Capital Stock of Subsidiaries) purchased in connection with (and as a direct result of) a Permitted Acquisition;</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5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5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dispositions of property to the Company or any Subsidiary; provided, that if the transferor of such Property is a Loan Party (i) the transferee thereof must be a Loan Party (other than a Foreign Loan Party) or (ii) to the extent such transaction constitutes an Investment, such transaction is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1020" w:hanging="364"/>
        <w:spacing w:after="0"/>
        <w:tabs>
          <w:tab w:leader="none" w:pos="10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to the extent constituting a disposition, Investments permitted under </w:t>
      </w:r>
      <w:r>
        <w:rPr>
          <w:rFonts w:ascii="Arial" w:cs="Arial" w:eastAsia="Arial" w:hAnsi="Arial"/>
          <w:sz w:val="20"/>
          <w:szCs w:val="20"/>
          <w:u w:val="single" w:color="auto"/>
          <w:color w:val="auto"/>
        </w:rPr>
        <w:t>Section 7.17(n)</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1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other sales and dispositions of assets so long as no Default exists or would exist immediately after giving effect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fair market value of all tangible property (including, for the avoidance of doubt, real property) and intellectual property disposed of by the Loan Parties pursuant to this clause (k) shall not exceed 25% of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19" w:right="339" w:bottom="1440" w:gutter="0" w:footer="0" w:header="0"/>
        </w:sectPr>
      </w:pPr>
    </w:p>
    <w:bookmarkStart w:id="125" w:name="page126"/>
    <w:bookmarkEnd w:id="125"/>
    <w:p>
      <w:pPr>
        <w:jc w:val="both"/>
        <w:ind w:firstLine="648"/>
        <w:spacing w:after="0" w:line="291" w:lineRule="auto"/>
        <w:rPr>
          <w:sz w:val="20"/>
          <w:szCs w:val="20"/>
          <w:color w:val="auto"/>
        </w:rPr>
      </w:pPr>
      <w:r>
        <w:rPr>
          <w:rFonts w:ascii="Arial" w:cs="Arial" w:eastAsia="Arial" w:hAnsi="Arial"/>
          <w:sz w:val="18"/>
          <w:szCs w:val="18"/>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any Loans or other outstanding Obligations of such Subsidiary shall be assumed by the Company.</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Use the proceeds of the Credit Extensions solely (i) to refinance indebtedness, (ii) to finance 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proceeds of a Credit Extension shall not be used to finance a Permitted Acquisition (x) that is hostile or (y) in the case of the Acquisition of a Person, in which the Company or a Subsidiary does not have the approval of the board of directors (or the equivalent governing body) of the Person being acquired, in each case, without the prior written consent of all Lenders) and (iii) for capital expenditures, working capital and other general corporate purposes, and not use the proceeds of the Loans, directly or indirectly, to purchase or carry Margin Stock.</w:t>
      </w:r>
    </w:p>
    <w:p>
      <w:pPr>
        <w:spacing w:after="0" w:line="16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by the Company and, to the extent required under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the legal, valid and binding obligation of each Guarantor.</w:t>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shall not prohibit:</w:t>
      </w:r>
    </w:p>
    <w:p>
      <w:pPr>
        <w:spacing w:after="0" w:line="191" w:lineRule="exact"/>
        <w:rPr>
          <w:sz w:val="20"/>
          <w:szCs w:val="20"/>
          <w:color w:val="auto"/>
        </w:rPr>
      </w:pPr>
    </w:p>
    <w:p>
      <w:pPr>
        <w:ind w:left="1060" w:hanging="404"/>
        <w:spacing w:after="0"/>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capital contributions and dividends and other distributions with respect to the Capital Stock of the Company or such Loan Party;</w:t>
      </w:r>
    </w:p>
    <w:p>
      <w:pPr>
        <w:spacing w:after="0" w:line="238" w:lineRule="exact"/>
        <w:rPr>
          <w:rFonts w:ascii="Arial" w:cs="Arial" w:eastAsia="Arial" w:hAnsi="Arial"/>
          <w:sz w:val="18"/>
          <w:szCs w:val="18"/>
          <w:color w:val="auto"/>
        </w:rPr>
      </w:pPr>
    </w:p>
    <w:p>
      <w:pPr>
        <w:ind w:firstLine="656"/>
        <w:spacing w:after="0" w:line="260" w:lineRule="auto"/>
        <w:tabs>
          <w:tab w:leader="none" w:pos="108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employment or severance agreement and any amendment thereto entered into by the Company or any other Loan Party in the ordinary course of business;</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payment of reasonable directors’ fees and benefits;</w:t>
      </w:r>
    </w:p>
    <w:p>
      <w:pPr>
        <w:spacing w:after="0" w:line="215" w:lineRule="exact"/>
        <w:rPr>
          <w:rFonts w:ascii="Arial" w:cs="Arial" w:eastAsia="Arial" w:hAnsi="Arial"/>
          <w:sz w:val="20"/>
          <w:szCs w:val="20"/>
          <w:color w:val="auto"/>
        </w:rPr>
      </w:pPr>
    </w:p>
    <w:p>
      <w:pPr>
        <w:ind w:firstLine="656"/>
        <w:spacing w:after="0" w:line="260" w:lineRule="auto"/>
        <w:tabs>
          <w:tab w:leader="none" w:pos="105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provision of officers’ and directors’ indemnification and insurance in the ordinary course of business to the extent permitted by applicable Law;</w:t>
      </w:r>
    </w:p>
    <w:p>
      <w:pPr>
        <w:spacing w:after="0" w:line="176" w:lineRule="exact"/>
        <w:rPr>
          <w:rFonts w:ascii="Arial" w:cs="Arial" w:eastAsia="Arial" w:hAnsi="Arial"/>
          <w:sz w:val="20"/>
          <w:szCs w:val="20"/>
          <w:color w:val="auto"/>
        </w:rPr>
      </w:pPr>
    </w:p>
    <w:p>
      <w:pPr>
        <w:ind w:firstLine="656"/>
        <w:spacing w:after="0" w:line="260" w:lineRule="auto"/>
        <w:tabs>
          <w:tab w:leader="none" w:pos="104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non-interest bearing (or below-market interest-bearing) intercompany loans or other advances in the ordinary course of business and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19" w:right="339" w:bottom="1440" w:gutter="0" w:footer="0" w:header="0"/>
        </w:sectPr>
      </w:pPr>
    </w:p>
    <w:bookmarkStart w:id="126" w:name="page127"/>
    <w:bookmarkEnd w:id="126"/>
    <w:p>
      <w:pPr>
        <w:ind w:left="1040" w:hanging="384"/>
        <w:spacing w:after="0"/>
        <w:tabs>
          <w:tab w:leader="none" w:pos="10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payment of employee salaries, bonuses and employee benefits in the ordinary course of business;</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sales or leases of goods to Affiliates in the ordinary course of business for less than fair market value, but for not less than cost;</w:t>
      </w:r>
    </w:p>
    <w:p>
      <w:pPr>
        <w:spacing w:after="0" w:line="238" w:lineRule="exact"/>
        <w:rPr>
          <w:rFonts w:ascii="Arial" w:cs="Arial" w:eastAsia="Arial" w:hAnsi="Arial"/>
          <w:sz w:val="18"/>
          <w:szCs w:val="18"/>
          <w:color w:val="auto"/>
        </w:rPr>
      </w:pPr>
    </w:p>
    <w:p>
      <w:pPr>
        <w:ind w:left="1060" w:hanging="404"/>
        <w:spacing w:after="0"/>
        <w:tabs>
          <w:tab w:leader="none" w:pos="10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020" w:hanging="364"/>
        <w:spacing w:after="0"/>
        <w:tabs>
          <w:tab w:leader="none" w:pos="10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transactions effected as part of a Permitted Securitization; or</w:t>
      </w:r>
    </w:p>
    <w:p>
      <w:pPr>
        <w:spacing w:after="0" w:line="215" w:lineRule="exact"/>
        <w:rPr>
          <w:rFonts w:ascii="Arial" w:cs="Arial" w:eastAsia="Arial" w:hAnsi="Arial"/>
          <w:sz w:val="20"/>
          <w:szCs w:val="20"/>
          <w:color w:val="auto"/>
        </w:rPr>
      </w:pPr>
    </w:p>
    <w:p>
      <w:pPr>
        <w:ind w:firstLine="656"/>
        <w:spacing w:after="0" w:line="260" w:lineRule="auto"/>
        <w:tabs>
          <w:tab w:leader="none" w:pos="105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any transaction permitted under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Loan Party may forgive Debt owing to it by an Affiliate that is not a Loan Party),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7.17</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 and not permit any Significant Subsidiary to, engage in any line of business other than the same or similar lines of business engaged in by the Company and its Significant Subsidiaries as of the Closing Date and reasonable extensions thereof.</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6"/>
          <w:szCs w:val="16"/>
          <w:u w:val="single" w:color="auto"/>
          <w:color w:val="auto"/>
        </w:rPr>
        <w:t>Non-Guarantor Domestic Subsidiaries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7.17</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and not permit any Significant Subsidiary to, make any Investments, except:</w:t>
      </w:r>
    </w:p>
    <w:p>
      <w:pPr>
        <w:spacing w:after="0" w:line="216" w:lineRule="exact"/>
        <w:rPr>
          <w:sz w:val="20"/>
          <w:szCs w:val="20"/>
          <w:color w:val="auto"/>
        </w:rPr>
      </w:pPr>
    </w:p>
    <w:p>
      <w:pPr>
        <w:ind w:left="1060" w:hanging="404"/>
        <w:spacing w:after="0"/>
        <w:tabs>
          <w:tab w:leader="none" w:pos="106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Investments held in the form of cash or Cash Equivalents;</w:t>
      </w:r>
    </w:p>
    <w:p>
      <w:pPr>
        <w:spacing w:after="0" w:line="215" w:lineRule="exact"/>
        <w:rPr>
          <w:rFonts w:ascii="Arial" w:cs="Arial" w:eastAsia="Arial" w:hAnsi="Arial"/>
          <w:sz w:val="20"/>
          <w:szCs w:val="20"/>
          <w:color w:val="auto"/>
        </w:rPr>
      </w:pPr>
    </w:p>
    <w:p>
      <w:pPr>
        <w:ind w:firstLine="656"/>
        <w:spacing w:after="0" w:line="260" w:lineRule="auto"/>
        <w:tabs>
          <w:tab w:leader="none" w:pos="107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Investments existing or committed to as of the Closing Date and set forth in </w:t>
      </w:r>
      <w:r>
        <w:rPr>
          <w:rFonts w:ascii="Arial" w:cs="Arial" w:eastAsia="Arial" w:hAnsi="Arial"/>
          <w:sz w:val="20"/>
          <w:szCs w:val="20"/>
          <w:u w:val="single" w:color="auto"/>
          <w:color w:val="auto"/>
        </w:rPr>
        <w:t>Schedule 7.17</w:t>
      </w:r>
      <w:r>
        <w:rPr>
          <w:rFonts w:ascii="Arial" w:cs="Arial" w:eastAsia="Arial" w:hAnsi="Arial"/>
          <w:sz w:val="20"/>
          <w:szCs w:val="20"/>
          <w:color w:val="auto"/>
        </w:rPr>
        <w:t xml:space="preserve"> (and any modification, replacement, renewal or extension thereof, to the extent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1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amount of the original Investment is not increased except by the terms of such Investment or as otherwise permitted under this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239" w:lineRule="exact"/>
        <w:rPr>
          <w:sz w:val="20"/>
          <w:szCs w:val="20"/>
          <w:color w:val="auto"/>
        </w:rPr>
      </w:pPr>
    </w:p>
    <w:p>
      <w:pPr>
        <w:ind w:left="1060" w:hanging="404"/>
        <w:spacing w:after="0"/>
        <w:tabs>
          <w:tab w:leader="none" w:pos="10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in any Person that is a Loan Party prior to giving effect to such Investment;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by any Subsidiary that is not a Loan Party in any other Subsidiary;</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07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78" w:lineRule="exact"/>
        <w:rPr>
          <w:rFonts w:ascii="Arial" w:cs="Arial" w:eastAsia="Arial" w:hAnsi="Arial"/>
          <w:sz w:val="19"/>
          <w:szCs w:val="19"/>
          <w:color w:val="auto"/>
        </w:rPr>
      </w:pPr>
    </w:p>
    <w:p>
      <w:pPr>
        <w:jc w:val="both"/>
        <w:ind w:firstLine="656"/>
        <w:spacing w:after="0" w:line="250" w:lineRule="auto"/>
        <w:tabs>
          <w:tab w:leader="none" w:pos="120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185" w:lineRule="exact"/>
        <w:rPr>
          <w:rFonts w:ascii="Arial" w:cs="Arial" w:eastAsia="Arial" w:hAnsi="Arial"/>
          <w:sz w:val="20"/>
          <w:szCs w:val="20"/>
          <w:color w:val="auto"/>
        </w:rPr>
      </w:pPr>
    </w:p>
    <w:p>
      <w:pPr>
        <w:ind w:left="1060" w:hanging="404"/>
        <w:spacing w:after="0"/>
        <w:tabs>
          <w:tab w:leader="none" w:pos="10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Suretyship Liabilities permitted by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60" w:hanging="404"/>
        <w:spacing w:after="0"/>
        <w:tabs>
          <w:tab w:leader="none" w:pos="10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ind w:firstLine="656"/>
        <w:spacing w:after="0" w:line="260" w:lineRule="auto"/>
        <w:tabs>
          <w:tab w:leader="none" w:pos="119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from credit-worthy obligors in connection with dispositions permitted under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020" w:hanging="364"/>
        <w:spacing w:after="0"/>
        <w:tabs>
          <w:tab w:leader="none" w:pos="10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Investments in non-qualified employee benefit plans, including deferred compensation plans;</w:t>
      </w:r>
    </w:p>
    <w:p>
      <w:pPr>
        <w:spacing w:after="0" w:line="215" w:lineRule="exact"/>
        <w:rPr>
          <w:rFonts w:ascii="Arial" w:cs="Arial" w:eastAsia="Arial" w:hAnsi="Arial"/>
          <w:sz w:val="20"/>
          <w:szCs w:val="20"/>
          <w:color w:val="auto"/>
        </w:rPr>
      </w:pPr>
    </w:p>
    <w:p>
      <w:pPr>
        <w:jc w:val="both"/>
        <w:ind w:firstLine="656"/>
        <w:spacing w:after="0" w:line="260" w:lineRule="auto"/>
        <w:tabs>
          <w:tab w:leader="none" w:pos="109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Investments in partnerships, joint ventures and any other non-Wholly Owned Subsidiary where the aggregate amount of such Investments (excluding any such Investment existing or committed for on the Closing Date and listed on </w:t>
      </w:r>
      <w:r>
        <w:rPr>
          <w:rFonts w:ascii="Arial" w:cs="Arial" w:eastAsia="Arial" w:hAnsi="Arial"/>
          <w:sz w:val="19"/>
          <w:szCs w:val="19"/>
          <w:u w:val="single" w:color="auto"/>
          <w:color w:val="auto"/>
        </w:rPr>
        <w:t>Schedule 7.17</w:t>
      </w:r>
      <w:r>
        <w:rPr>
          <w:rFonts w:ascii="Arial" w:cs="Arial" w:eastAsia="Arial" w:hAnsi="Arial"/>
          <w:sz w:val="19"/>
          <w:szCs w:val="19"/>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Loan Party may become a general partner in any partnership;</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02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unutilized availability under the Aggregate Revolving Commitments is at least $50,000,000;</w:t>
      </w:r>
    </w:p>
    <w:p>
      <w:pPr>
        <w:spacing w:after="0" w:line="185" w:lineRule="exact"/>
        <w:rPr>
          <w:rFonts w:ascii="Arial" w:cs="Arial" w:eastAsia="Arial" w:hAnsi="Arial"/>
          <w:sz w:val="20"/>
          <w:szCs w:val="20"/>
          <w:color w:val="auto"/>
        </w:rPr>
      </w:pPr>
    </w:p>
    <w:p>
      <w:pPr>
        <w:ind w:firstLine="656"/>
        <w:spacing w:after="0" w:line="316" w:lineRule="auto"/>
        <w:tabs>
          <w:tab w:leader="none" w:pos="114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Investment made by a Loan Party in a Subsidiary that is not a Loan Party with cash proceeds received from distributions from Subsidiaries that are not Loan Parties to the extent such Investment is made within 30 days of the receipt of such cash proceeds;</w:t>
      </w:r>
    </w:p>
    <w:p>
      <w:pPr>
        <w:spacing w:after="0" w:line="129" w:lineRule="exact"/>
        <w:rPr>
          <w:rFonts w:ascii="Arial" w:cs="Arial" w:eastAsia="Arial" w:hAnsi="Arial"/>
          <w:sz w:val="18"/>
          <w:szCs w:val="18"/>
          <w:color w:val="auto"/>
        </w:rPr>
      </w:pPr>
    </w:p>
    <w:p>
      <w:pPr>
        <w:ind w:firstLine="656"/>
        <w:spacing w:after="0" w:line="260" w:lineRule="auto"/>
        <w:tabs>
          <w:tab w:leader="none" w:pos="105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Investments consisting of the transfer of Capital Stock or Debt (other than Obligations) of a Foreign Subsidiary to the Company or any other Subsidiary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Debt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19" w:right="339" w:bottom="1440" w:gutter="0" w:footer="0" w:header="0"/>
        </w:sectPr>
      </w:pPr>
    </w:p>
    <w:bookmarkStart w:id="128" w:name="page129"/>
    <w:bookmarkEnd w:id="128"/>
    <w:p>
      <w:pPr>
        <w:ind w:right="20"/>
        <w:spacing w:after="0" w:line="260" w:lineRule="auto"/>
        <w:rPr>
          <w:sz w:val="20"/>
          <w:szCs w:val="20"/>
          <w:color w:val="auto"/>
        </w:rPr>
      </w:pPr>
      <w:r>
        <w:rPr>
          <w:rFonts w:ascii="Arial" w:cs="Arial" w:eastAsia="Arial" w:hAnsi="Arial"/>
          <w:sz w:val="20"/>
          <w:szCs w:val="20"/>
          <w:color w:val="auto"/>
        </w:rPr>
        <w:t xml:space="preserve">Foreign Subsidiary shall not be transferred to a Loan Party unless such Loan Party would be permitted to incur such Debt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7.07</w:t>
      </w:r>
      <w:r>
        <w:rPr>
          <w:rFonts w:ascii="Arial" w:cs="Arial" w:eastAsia="Arial" w:hAnsi="Arial"/>
          <w:sz w:val="20"/>
          <w:szCs w:val="20"/>
          <w:color w:val="auto"/>
        </w:rPr>
        <w:t>;</w:t>
      </w:r>
    </w:p>
    <w:p>
      <w:pPr>
        <w:spacing w:after="0" w:line="177" w:lineRule="exact"/>
        <w:rPr>
          <w:sz w:val="20"/>
          <w:szCs w:val="20"/>
          <w:color w:val="auto"/>
        </w:rPr>
      </w:pPr>
    </w:p>
    <w:p>
      <w:pPr>
        <w:ind w:firstLine="656"/>
        <w:spacing w:after="0" w:line="260" w:lineRule="auto"/>
        <w:tabs>
          <w:tab w:leader="none" w:pos="112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endorsement of a check or other medium of payment for deposit or collection through normal banking channels or any similar transaction in the normal course of business;</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0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Investments by a Loan Party in a Subsidiary that is not a Loan Party made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Investment is made, the aggregate amount of all Investments outstanding at any one time pursuant to this clause (p) shall not exceed the greater of (x) $50,000,000 and (y) 5%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jc w:val="both"/>
        <w:ind w:firstLine="656"/>
        <w:spacing w:after="0" w:line="282" w:lineRule="auto"/>
        <w:tabs>
          <w:tab w:leader="none" w:pos="105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under this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Investments of any nature,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Investment is made, the aggregate amount of all Investments outstanding at any one time pursuant to this clause (q) shall not exceed the greater of (x) $100,000,000 and (y) 10%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7.18</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pending the consummation of such sale or other disposition, and/or (5) Contractual Obligations which (A) (i) (x) exist on the Closing Date and (to the extent not otherwise permitted by this </w:t>
      </w:r>
      <w:r>
        <w:rPr>
          <w:rFonts w:ascii="Arial" w:cs="Arial" w:eastAsia="Arial" w:hAnsi="Arial"/>
          <w:sz w:val="18"/>
          <w:szCs w:val="18"/>
          <w:u w:val="single" w:color="auto"/>
          <w:color w:val="auto"/>
        </w:rPr>
        <w:t>Section 7.18</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7.19</w:t>
      </w:r>
      <w:r>
        <w:rPr>
          <w:sz w:val="20"/>
          <w:szCs w:val="20"/>
          <w:color w:val="auto"/>
        </w:rPr>
        <w:tab/>
      </w:r>
      <w:r>
        <w:rPr>
          <w:rFonts w:ascii="Arial" w:cs="Arial" w:eastAsia="Arial" w:hAnsi="Arial"/>
          <w:sz w:val="16"/>
          <w:szCs w:val="16"/>
          <w:u w:val="single" w:color="auto"/>
          <w:color w:val="auto"/>
        </w:rPr>
        <w:t>Organization Documents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amend, modify or change its Organization Documents in a manner materially adverse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19" w:right="339" w:bottom="1440" w:gutter="0" w:footer="0" w:header="0"/>
        </w:sectPr>
      </w:pPr>
    </w:p>
    <w:bookmarkStart w:id="129" w:name="page130"/>
    <w:bookmarkEnd w:id="129"/>
    <w:p>
      <w:pPr>
        <w:spacing w:after="0"/>
        <w:tabs>
          <w:tab w:leader="none" w:pos="520" w:val="left"/>
        </w:tabs>
        <w:rPr>
          <w:sz w:val="20"/>
          <w:szCs w:val="20"/>
          <w:color w:val="auto"/>
        </w:rPr>
      </w:pPr>
      <w:r>
        <w:rPr>
          <w:rFonts w:ascii="Arial" w:cs="Arial" w:eastAsia="Arial" w:hAnsi="Arial"/>
          <w:sz w:val="20"/>
          <w:szCs w:val="20"/>
          <w:color w:val="auto"/>
        </w:rPr>
        <w:t>7.20</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7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Conduct its businesses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5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shall constitute an Event of Default under this Agreement:</w:t>
      </w:r>
    </w:p>
    <w:p>
      <w:pPr>
        <w:spacing w:after="0" w:line="216" w:lineRule="exact"/>
        <w:rPr>
          <w:sz w:val="20"/>
          <w:szCs w:val="20"/>
          <w:color w:val="auto"/>
        </w:rPr>
      </w:pPr>
    </w:p>
    <w:p>
      <w:pPr>
        <w:jc w:val="both"/>
        <w:ind w:firstLine="656"/>
        <w:spacing w:after="0" w:line="246" w:lineRule="auto"/>
        <w:tabs>
          <w:tab w:leader="none" w:pos="1061"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Non-Payment of the Loans, etc</w:t>
      </w:r>
      <w:r>
        <w:rPr>
          <w:rFonts w:ascii="Arial" w:cs="Arial" w:eastAsia="Arial" w:hAnsi="Arial"/>
          <w:sz w:val="20"/>
          <w:szCs w:val="20"/>
          <w:color w:val="auto"/>
        </w:rPr>
        <w:t>. Default in the payment when due of the principal of any Loan or any reimbursement obligation with respect to any Letter of Credit; default, and continuance thereof for five days, in the payment when due of any interest or fee; or default, and continuance thereof for ten days, in the payment when due of any other amount payable by the Loan Parties hereunder or under any other Loan Document.</w:t>
      </w:r>
    </w:p>
    <w:p>
      <w:pPr>
        <w:spacing w:after="0" w:line="191" w:lineRule="exact"/>
        <w:rPr>
          <w:rFonts w:ascii="Arial" w:cs="Arial" w:eastAsia="Arial" w:hAnsi="Arial"/>
          <w:sz w:val="20"/>
          <w:szCs w:val="20"/>
          <w:color w:val="auto"/>
        </w:rPr>
      </w:pPr>
    </w:p>
    <w:p>
      <w:pPr>
        <w:jc w:val="both"/>
        <w:ind w:firstLine="656"/>
        <w:spacing w:after="0" w:line="257" w:lineRule="auto"/>
        <w:tabs>
          <w:tab w:leader="none" w:pos="111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Non-Payment of Other Debt, etc</w:t>
      </w:r>
      <w:r>
        <w:rPr>
          <w:rFonts w:ascii="Arial" w:cs="Arial" w:eastAsia="Arial" w:hAnsi="Arial"/>
          <w:sz w:val="19"/>
          <w:szCs w:val="19"/>
          <w:color w:val="auto"/>
        </w:rPr>
        <w:t>. (i) Any default shall occur under the terms applicable to any Debt of the Company or any Significant Subsidiary (other than Debt hereunder and intercompany Debt)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19" w:right="339" w:bottom="1440" w:gutter="0" w:footer="0" w:header="0"/>
        </w:sectPr>
      </w:pPr>
    </w:p>
    <w:bookmarkStart w:id="130" w:name="page131"/>
    <w:bookmarkEnd w:id="130"/>
    <w:p>
      <w:pPr>
        <w:jc w:val="both"/>
        <w:ind w:firstLine="656"/>
        <w:spacing w:after="0" w:line="271" w:lineRule="auto"/>
        <w:tabs>
          <w:tab w:leader="none" w:pos="106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Bankruptcy, Insolvency, etc</w:t>
      </w:r>
      <w:r>
        <w:rPr>
          <w:rFonts w:ascii="Arial" w:cs="Arial" w:eastAsia="Arial" w:hAnsi="Arial"/>
          <w:sz w:val="18"/>
          <w:szCs w:val="18"/>
          <w:color w:val="auto"/>
        </w:rPr>
        <w:t>.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73" w:lineRule="exact"/>
        <w:rPr>
          <w:rFonts w:ascii="Arial" w:cs="Arial" w:eastAsia="Arial" w:hAnsi="Arial"/>
          <w:sz w:val="18"/>
          <w:szCs w:val="18"/>
          <w:color w:val="auto"/>
        </w:rPr>
      </w:pPr>
    </w:p>
    <w:p>
      <w:pPr>
        <w:jc w:val="both"/>
        <w:ind w:firstLine="656"/>
        <w:spacing w:after="0" w:line="242" w:lineRule="auto"/>
        <w:tabs>
          <w:tab w:leader="none" w:pos="1058"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Non-Compliance with Provisions of this Agreement</w:t>
      </w:r>
      <w:r>
        <w:rPr>
          <w:rFonts w:ascii="Arial" w:cs="Arial" w:eastAsia="Arial" w:hAnsi="Arial"/>
          <w:sz w:val="20"/>
          <w:szCs w:val="20"/>
          <w:color w:val="auto"/>
        </w:rPr>
        <w:t xml:space="preserve">. (i) Failure by the Company to comply with or to perform any covenant set forth in </w:t>
      </w:r>
      <w:r>
        <w:rPr>
          <w:rFonts w:ascii="Arial" w:cs="Arial" w:eastAsia="Arial" w:hAnsi="Arial"/>
          <w:sz w:val="20"/>
          <w:szCs w:val="20"/>
          <w:u w:val="single" w:color="auto"/>
          <w:color w:val="auto"/>
        </w:rPr>
        <w:t>Sections 7.01(e)(i)</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(with respect to the Borrowers),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w:t>
      </w:r>
      <w:r>
        <w:rPr>
          <w:rFonts w:ascii="Arial" w:cs="Arial" w:eastAsia="Arial" w:hAnsi="Arial"/>
          <w:sz w:val="20"/>
          <w:szCs w:val="20"/>
          <w:u w:val="single" w:color="auto"/>
          <w:color w:val="auto"/>
        </w:rPr>
        <w:t>7.12</w:t>
      </w:r>
      <w:r>
        <w:rPr>
          <w:rFonts w:ascii="Arial" w:cs="Arial" w:eastAsia="Arial" w:hAnsi="Arial"/>
          <w:sz w:val="20"/>
          <w:szCs w:val="20"/>
          <w:color w:val="auto"/>
        </w:rPr>
        <w:t xml:space="preserve">, </w:t>
      </w:r>
      <w:r>
        <w:rPr>
          <w:rFonts w:ascii="Arial" w:cs="Arial" w:eastAsia="Arial" w:hAnsi="Arial"/>
          <w:sz w:val="20"/>
          <w:szCs w:val="20"/>
          <w:u w:val="single" w:color="auto"/>
          <w:color w:val="auto"/>
        </w:rPr>
        <w:t>7.16</w:t>
      </w:r>
      <w:r>
        <w:rPr>
          <w:rFonts w:ascii="Arial" w:cs="Arial" w:eastAsia="Arial" w:hAnsi="Arial"/>
          <w:sz w:val="20"/>
          <w:szCs w:val="20"/>
          <w:color w:val="auto"/>
        </w:rPr>
        <w:t xml:space="preserve">, </w:t>
      </w:r>
      <w:r>
        <w:rPr>
          <w:rFonts w:ascii="Arial" w:cs="Arial" w:eastAsia="Arial" w:hAnsi="Arial"/>
          <w:sz w:val="20"/>
          <w:szCs w:val="20"/>
          <w:u w:val="single" w:color="auto"/>
          <w:color w:val="auto"/>
        </w:rPr>
        <w:t>7.17</w:t>
      </w:r>
      <w:r>
        <w:rPr>
          <w:rFonts w:ascii="Arial" w:cs="Arial" w:eastAsia="Arial" w:hAnsi="Arial"/>
          <w:sz w:val="20"/>
          <w:szCs w:val="20"/>
          <w:color w:val="auto"/>
        </w:rPr>
        <w:t xml:space="preserve">, </w:t>
      </w:r>
      <w:r>
        <w:rPr>
          <w:rFonts w:ascii="Arial" w:cs="Arial" w:eastAsia="Arial" w:hAnsi="Arial"/>
          <w:sz w:val="20"/>
          <w:szCs w:val="20"/>
          <w:u w:val="single" w:color="auto"/>
          <w:color w:val="auto"/>
        </w:rPr>
        <w:t>7.18</w:t>
      </w:r>
      <w:r>
        <w:rPr>
          <w:rFonts w:ascii="Arial" w:cs="Arial" w:eastAsia="Arial" w:hAnsi="Arial"/>
          <w:sz w:val="20"/>
          <w:szCs w:val="20"/>
          <w:color w:val="auto"/>
        </w:rPr>
        <w:t xml:space="preserve">, </w:t>
      </w:r>
      <w:r>
        <w:rPr>
          <w:rFonts w:ascii="Arial" w:cs="Arial" w:eastAsia="Arial" w:hAnsi="Arial"/>
          <w:sz w:val="20"/>
          <w:szCs w:val="20"/>
          <w:u w:val="single" w:color="auto"/>
          <w:color w:val="auto"/>
        </w:rPr>
        <w:t>7.20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7.21</w:t>
      </w:r>
      <w:r>
        <w:rPr>
          <w:rFonts w:ascii="Arial" w:cs="Arial" w:eastAsia="Arial" w:hAnsi="Arial"/>
          <w:sz w:val="20"/>
          <w:szCs w:val="20"/>
          <w:color w:val="auto"/>
        </w:rPr>
        <w:t xml:space="preserve">; (ii) failure by the Company to comply with or to perform any covenant set forth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7.01(e)</w:t>
      </w:r>
      <w:r>
        <w:rPr>
          <w:rFonts w:ascii="Arial" w:cs="Arial" w:eastAsia="Arial" w:hAnsi="Arial"/>
          <w:sz w:val="20"/>
          <w:szCs w:val="20"/>
          <w:color w:val="auto"/>
        </w:rPr>
        <w:t xml:space="preserve"> (to the extent not covered by clause (i) above),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(to the extent not covered by clause (i) above), </w:t>
      </w:r>
      <w:r>
        <w:rPr>
          <w:rFonts w:ascii="Arial" w:cs="Arial" w:eastAsia="Arial" w:hAnsi="Arial"/>
          <w:sz w:val="20"/>
          <w:szCs w:val="20"/>
          <w:u w:val="single" w:color="auto"/>
          <w:color w:val="auto"/>
        </w:rPr>
        <w:t>7.10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7.11</w:t>
      </w:r>
      <w:r>
        <w:rPr>
          <w:rFonts w:ascii="Arial" w:cs="Arial" w:eastAsia="Arial" w:hAnsi="Arial"/>
          <w:sz w:val="20"/>
          <w:szCs w:val="20"/>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Arial" w:cs="Arial" w:eastAsia="Arial" w:hAnsi="Arial"/>
          <w:sz w:val="20"/>
          <w:szCs w:val="20"/>
          <w:u w:val="single" w:color="auto"/>
          <w:color w:val="auto"/>
        </w:rPr>
        <w:t>Section 9.01</w:t>
      </w:r>
      <w:r>
        <w:rPr>
          <w:rFonts w:ascii="Arial" w:cs="Arial" w:eastAsia="Arial" w:hAnsi="Arial"/>
          <w:sz w:val="20"/>
          <w:szCs w:val="20"/>
          <w:color w:val="auto"/>
        </w:rPr>
        <w:t>) and continuance of such failure for 30 days after written notice thereof to the Company from the Administrative Agent or any Lender (acting through the Administrative Agent).</w:t>
      </w:r>
    </w:p>
    <w:p>
      <w:pPr>
        <w:spacing w:after="0" w:line="196" w:lineRule="exact"/>
        <w:rPr>
          <w:rFonts w:ascii="Arial" w:cs="Arial" w:eastAsia="Arial" w:hAnsi="Arial"/>
          <w:sz w:val="20"/>
          <w:szCs w:val="20"/>
          <w:color w:val="auto"/>
        </w:rPr>
      </w:pPr>
    </w:p>
    <w:p>
      <w:pPr>
        <w:jc w:val="both"/>
        <w:ind w:firstLine="656"/>
        <w:spacing w:after="0" w:line="246" w:lineRule="auto"/>
        <w:tabs>
          <w:tab w:leader="none" w:pos="1075"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91" w:lineRule="exact"/>
        <w:rPr>
          <w:rFonts w:ascii="Arial" w:cs="Arial" w:eastAsia="Arial" w:hAnsi="Arial"/>
          <w:sz w:val="20"/>
          <w:szCs w:val="20"/>
          <w:color w:val="auto"/>
        </w:rPr>
      </w:pPr>
    </w:p>
    <w:p>
      <w:pPr>
        <w:jc w:val="both"/>
        <w:ind w:firstLine="656"/>
        <w:spacing w:after="0" w:line="256" w:lineRule="auto"/>
        <w:tabs>
          <w:tab w:leader="none" w:pos="1039"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Pension Plans and Plan Assets</w:t>
      </w:r>
      <w:r>
        <w:rPr>
          <w:rFonts w:ascii="Arial" w:cs="Arial" w:eastAsia="Arial" w:hAnsi="Arial"/>
          <w:sz w:val="19"/>
          <w:szCs w:val="19"/>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 and in each case, under this clause (f), such event or circumstance results in a Material Adverse Effect.</w:t>
      </w:r>
    </w:p>
    <w:p>
      <w:pPr>
        <w:spacing w:after="0" w:line="184" w:lineRule="exact"/>
        <w:rPr>
          <w:rFonts w:ascii="Arial" w:cs="Arial" w:eastAsia="Arial" w:hAnsi="Arial"/>
          <w:sz w:val="19"/>
          <w:szCs w:val="19"/>
          <w:color w:val="auto"/>
        </w:rPr>
      </w:pPr>
    </w:p>
    <w:p>
      <w:pPr>
        <w:jc w:val="both"/>
        <w:ind w:firstLine="656"/>
        <w:spacing w:after="0" w:line="263" w:lineRule="auto"/>
        <w:tabs>
          <w:tab w:leader="none" w:pos="112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(i) Final judgments which exceed an aggregate of $25,000,000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19" w:right="339" w:bottom="1440" w:gutter="0" w:footer="0" w:header="0"/>
        </w:sectPr>
      </w:pPr>
    </w:p>
    <w:bookmarkStart w:id="131" w:name="page132"/>
    <w:bookmarkEnd w:id="131"/>
    <w:p>
      <w:pPr>
        <w:spacing w:after="0" w:line="260" w:lineRule="auto"/>
        <w:rPr>
          <w:sz w:val="20"/>
          <w:szCs w:val="20"/>
          <w:color w:val="auto"/>
        </w:rPr>
      </w:pPr>
      <w:r>
        <w:rPr>
          <w:rFonts w:ascii="Arial" w:cs="Arial" w:eastAsia="Arial" w:hAnsi="Arial"/>
          <w:sz w:val="20"/>
          <w:szCs w:val="20"/>
          <w:color w:val="auto"/>
        </w:rPr>
        <w:t>shall not have been paid, discharged or vacated or had execution thereof stayed pending appeal within 60 days after entry or filing of such judgments.</w:t>
      </w:r>
    </w:p>
    <w:p>
      <w:pPr>
        <w:spacing w:after="0" w:line="177" w:lineRule="exact"/>
        <w:rPr>
          <w:sz w:val="20"/>
          <w:szCs w:val="20"/>
          <w:color w:val="auto"/>
        </w:rPr>
      </w:pPr>
    </w:p>
    <w:p>
      <w:pPr>
        <w:jc w:val="both"/>
        <w:ind w:firstLine="656"/>
        <w:spacing w:after="0" w:line="259" w:lineRule="auto"/>
        <w:tabs>
          <w:tab w:leader="none" w:pos="108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78" w:lineRule="exact"/>
        <w:rPr>
          <w:rFonts w:ascii="Arial" w:cs="Arial" w:eastAsia="Arial" w:hAnsi="Arial"/>
          <w:sz w:val="19"/>
          <w:szCs w:val="19"/>
          <w:color w:val="auto"/>
        </w:rPr>
      </w:pPr>
    </w:p>
    <w:p>
      <w:pPr>
        <w:jc w:val="both"/>
        <w:ind w:firstLine="656"/>
        <w:spacing w:after="0" w:line="232" w:lineRule="exact"/>
        <w:tabs>
          <w:tab w:leader="none" w:pos="104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w:t>
      </w:r>
      <w:r>
        <w:rPr>
          <w:rFonts w:ascii="MS PGothic" w:cs="MS PGothic" w:eastAsia="MS PGothic" w:hAnsi="MS PGothic"/>
          <w:sz w:val="18"/>
          <w:szCs w:val="18"/>
          <w:color w:val="auto"/>
        </w:rPr>
        <w:t>‑</w:t>
      </w:r>
      <w:r>
        <w:rPr>
          <w:rFonts w:ascii="Arial" w:cs="Arial" w:eastAsia="Arial" w:hAnsi="Arial"/>
          <w:sz w:val="18"/>
          <w:szCs w:val="18"/>
          <w:color w:val="auto"/>
        </w:rPr>
        <w:t>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Required Lenders, take any or all of the following actions:</w:t>
      </w:r>
    </w:p>
    <w:p>
      <w:pPr>
        <w:spacing w:after="0" w:line="200" w:lineRule="exact"/>
        <w:rPr>
          <w:sz w:val="20"/>
          <w:szCs w:val="20"/>
          <w:color w:val="auto"/>
        </w:rPr>
      </w:pPr>
    </w:p>
    <w:p>
      <w:pPr>
        <w:ind w:firstLine="656"/>
        <w:spacing w:after="0" w:line="260" w:lineRule="auto"/>
        <w:tabs>
          <w:tab w:leader="none" w:pos="107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12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5" w:lineRule="exact"/>
        <w:rPr>
          <w:rFonts w:ascii="Arial" w:cs="Arial" w:eastAsia="Arial" w:hAnsi="Arial"/>
          <w:sz w:val="20"/>
          <w:szCs w:val="20"/>
          <w:color w:val="auto"/>
        </w:rPr>
      </w:pPr>
    </w:p>
    <w:p>
      <w:pPr>
        <w:ind w:firstLine="656"/>
        <w:spacing w:after="0" w:line="260" w:lineRule="auto"/>
        <w:tabs>
          <w:tab w:leader="none" w:pos="1061"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require that the Borrowers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firstLine="656"/>
        <w:spacing w:after="0" w:line="260" w:lineRule="auto"/>
        <w:tabs>
          <w:tab w:leader="none" w:pos="105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equity;</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any Borrower under the Bankruptcy Code of the United States, the obligation of each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19" w:right="339" w:bottom="1440" w:gutter="0" w:footer="0" w:header="0"/>
        </w:sectPr>
      </w:pPr>
    </w:p>
    <w:bookmarkStart w:id="132" w:name="page133"/>
    <w:bookmarkEnd w:id="132"/>
    <w:p>
      <w:pPr>
        <w:jc w:val="both"/>
        <w:spacing w:after="0" w:line="246" w:lineRule="auto"/>
        <w:rPr>
          <w:sz w:val="20"/>
          <w:szCs w:val="20"/>
          <w:color w:val="auto"/>
        </w:rPr>
      </w:pPr>
      <w:r>
        <w:rPr>
          <w:rFonts w:ascii="Arial" w:cs="Arial" w:eastAsia="Arial" w:hAnsi="Arial"/>
          <w:sz w:val="20"/>
          <w:szCs w:val="20"/>
          <w:color w:val="auto"/>
        </w:rPr>
        <w:t>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be applied by the Administrative Agent in the following order:</w:t>
      </w:r>
    </w:p>
    <w:p>
      <w:pPr>
        <w:spacing w:after="0" w:line="19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Third held by them;</w:t>
      </w:r>
    </w:p>
    <w:p>
      <w:pPr>
        <w:spacing w:after="0" w:line="19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93"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(other than contingent obligations not yet due and payable) have been paid in full, to the Borrowers or as otherwise required by Law.</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19" w:right="339" w:bottom="1440" w:gutter="0" w:footer="0" w:header="0"/>
        </w:sectPr>
      </w:pPr>
    </w:p>
    <w:bookmarkStart w:id="133" w:name="page134"/>
    <w:bookmarkEnd w:id="133"/>
    <w:p>
      <w:pPr>
        <w:jc w:val="both"/>
        <w:spacing w:after="0" w:line="260" w:lineRule="auto"/>
        <w:rPr>
          <w:sz w:val="20"/>
          <w:szCs w:val="20"/>
          <w:color w:val="auto"/>
        </w:rPr>
      </w:pPr>
      <w:r>
        <w:rPr>
          <w:rFonts w:ascii="Arial" w:cs="Arial" w:eastAsia="Arial" w:hAnsi="Arial"/>
          <w:sz w:val="20"/>
          <w:szCs w:val="20"/>
          <w:color w:val="auto"/>
        </w:rPr>
        <w:t>of Credit have either been fully drawn or expired, such remaining amount shall be applied to the other Obligations, if any, in the order set forth above.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 received a written notice regarding such obligations, together with such supporting documentation as the Administrative Agent may reasonably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for itself and its Affiliates as if a “Lender” party hereto.</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Each of the Lenders and the L/C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Arial" w:cs="Arial" w:eastAsia="Arial" w:hAnsi="Arial"/>
          <w:sz w:val="19"/>
          <w:szCs w:val="19"/>
          <w:u w:val="single" w:color="auto"/>
          <w:color w:val="auto"/>
        </w:rPr>
        <w:t>Sections 10.03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10.06</w:t>
      </w:r>
      <w:r>
        <w:rPr>
          <w:rFonts w:ascii="Arial" w:cs="Arial" w:eastAsia="Arial" w:hAnsi="Arial"/>
          <w:sz w:val="19"/>
          <w:szCs w:val="19"/>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19" w:right="339" w:bottom="1440" w:gutter="0" w:footer="0" w:header="0"/>
        </w:sectPr>
      </w:pPr>
    </w:p>
    <w:bookmarkStart w:id="134" w:name="page135"/>
    <w:bookmarkEnd w:id="134"/>
    <w:p>
      <w:pPr>
        <w:spacing w:after="0"/>
        <w:tabs>
          <w:tab w:leader="none" w:pos="62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86" w:lineRule="exact"/>
        <w:rPr>
          <w:sz w:val="20"/>
          <w:szCs w:val="20"/>
          <w:color w:val="auto"/>
        </w:rPr>
      </w:pPr>
    </w:p>
    <w:p>
      <w:pPr>
        <w:ind w:left="1060" w:hanging="404"/>
        <w:spacing w:after="0"/>
        <w:tabs>
          <w:tab w:leader="none" w:pos="10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38" w:lineRule="exact"/>
        <w:rPr>
          <w:rFonts w:ascii="Arial" w:cs="Arial" w:eastAsia="Arial" w:hAnsi="Arial"/>
          <w:sz w:val="18"/>
          <w:szCs w:val="18"/>
          <w:color w:val="auto"/>
        </w:rPr>
      </w:pPr>
    </w:p>
    <w:p>
      <w:pPr>
        <w:jc w:val="both"/>
        <w:ind w:firstLine="656"/>
        <w:spacing w:after="0" w:line="274" w:lineRule="auto"/>
        <w:tabs>
          <w:tab w:leader="none" w:pos="111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8" w:lineRule="exact"/>
        <w:rPr>
          <w:rFonts w:ascii="Arial" w:cs="Arial" w:eastAsia="Arial" w:hAnsi="Arial"/>
          <w:sz w:val="18"/>
          <w:szCs w:val="18"/>
          <w:color w:val="auto"/>
        </w:rPr>
      </w:pPr>
    </w:p>
    <w:p>
      <w:pPr>
        <w:jc w:val="both"/>
        <w:ind w:firstLine="656"/>
        <w:spacing w:after="0" w:line="250" w:lineRule="auto"/>
        <w:tabs>
          <w:tab w:leader="none" w:pos="104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w:t>
      </w:r>
      <w:r>
        <w:rPr>
          <w:rFonts w:ascii="Arial" w:cs="Arial" w:eastAsia="Arial" w:hAnsi="Arial"/>
          <w:sz w:val="19"/>
          <w:szCs w:val="19"/>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19" w:right="339" w:bottom="1440" w:gutter="0" w:footer="0" w:header="0"/>
        </w:sectPr>
      </w:pPr>
    </w:p>
    <w:bookmarkStart w:id="135" w:name="page136"/>
    <w:bookmarkEnd w:id="135"/>
    <w:p>
      <w:pPr>
        <w:jc w:val="both"/>
        <w:spacing w:after="0" w:line="278" w:lineRule="auto"/>
        <w:rPr>
          <w:sz w:val="20"/>
          <w:szCs w:val="20"/>
          <w:color w:val="auto"/>
        </w:rPr>
      </w:pPr>
      <w:r>
        <w:rPr>
          <w:rFonts w:ascii="Arial" w:cs="Arial" w:eastAsia="Arial" w:hAnsi="Arial"/>
          <w:sz w:val="18"/>
          <w:szCs w:val="18"/>
          <w:color w:val="auto"/>
        </w:rPr>
        <w:t>that such assignee or purchaser is not a Disqualified Institution.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w:t>
      </w:r>
      <w:r>
        <w:rPr>
          <w:rFonts w:ascii="MS PGothic" w:cs="MS PGothic" w:eastAsia="MS PGothic" w:hAnsi="MS PGothic"/>
          <w:sz w:val="18"/>
          <w:szCs w:val="18"/>
          <w:color w:val="auto"/>
        </w:rPr>
        <w:t>‑</w:t>
      </w:r>
      <w:r>
        <w:rPr>
          <w:rFonts w:ascii="Arial" w:cs="Arial" w:eastAsia="Arial" w:hAnsi="Arial"/>
          <w:sz w:val="18"/>
          <w:szCs w:val="18"/>
          <w:color w:val="auto"/>
        </w:rPr>
        <w:t>agents except to the extent that a court of competent jurisdiction determines in a final and nonappealable judgment that the Administrative Agent acted with gross negligence or willful misconduct in the selection of such sub-agents.</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4" w:lineRule="auto"/>
        <w:tabs>
          <w:tab w:leader="none" w:pos="1061"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19" w:right="339" w:bottom="1440" w:gutter="0" w:footer="0" w:header="0"/>
        </w:sectPr>
      </w:pPr>
    </w:p>
    <w:bookmarkStart w:id="136" w:name="page137"/>
    <w:bookmarkEnd w:id="136"/>
    <w:p>
      <w:pPr>
        <w:jc w:val="both"/>
        <w:spacing w:after="0" w:line="243" w:lineRule="auto"/>
        <w:rPr>
          <w:sz w:val="20"/>
          <w:szCs w:val="20"/>
          <w:color w:val="auto"/>
        </w:rPr>
      </w:pPr>
      <w:r>
        <w:rPr>
          <w:rFonts w:ascii="Arial" w:cs="Arial" w:eastAsia="Arial" w:hAnsi="Arial"/>
          <w:sz w:val="20"/>
          <w:szCs w:val="20"/>
          <w:color w:val="auto"/>
        </w:rPr>
        <w:t>accepted such appointment within 30 days after the retiring Administrative Agent gives notice of its resignation (or such earlier day as shall be agreed by the Required Lenders) (the “</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196" w:lineRule="exact"/>
        <w:rPr>
          <w:sz w:val="20"/>
          <w:szCs w:val="20"/>
          <w:color w:val="auto"/>
        </w:rPr>
      </w:pPr>
    </w:p>
    <w:p>
      <w:pPr>
        <w:jc w:val="both"/>
        <w:ind w:firstLine="656"/>
        <w:spacing w:after="0" w:line="242" w:lineRule="auto"/>
        <w:tabs>
          <w:tab w:leader="none" w:pos="116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6" w:lineRule="exact"/>
        <w:rPr>
          <w:rFonts w:ascii="Arial" w:cs="Arial" w:eastAsia="Arial" w:hAnsi="Arial"/>
          <w:sz w:val="20"/>
          <w:szCs w:val="20"/>
          <w:color w:val="auto"/>
        </w:rPr>
      </w:pPr>
    </w:p>
    <w:p>
      <w:pPr>
        <w:jc w:val="both"/>
        <w:ind w:firstLine="656"/>
        <w:spacing w:after="0" w:line="269" w:lineRule="auto"/>
        <w:tabs>
          <w:tab w:leader="none" w:pos="11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07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Any resignation by BMO as Administrative Agent pursuant to this Section shall also, on the Resignation Effective Date, effect its resignation as L/C Issuer and Swing Line Lender. If BMO so resigns as an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19" w:right="339" w:bottom="1440" w:gutter="0" w:footer="0" w:header="0"/>
        </w:sectPr>
      </w:pPr>
    </w:p>
    <w:bookmarkStart w:id="137" w:name="page138"/>
    <w:bookmarkEnd w:id="137"/>
    <w:p>
      <w:pPr>
        <w:jc w:val="both"/>
        <w:spacing w:after="0" w:line="271" w:lineRule="auto"/>
        <w:rPr>
          <w:sz w:val="20"/>
          <w:szCs w:val="20"/>
          <w:color w:val="auto"/>
        </w:rPr>
      </w:pPr>
      <w:r>
        <w:rPr>
          <w:rFonts w:ascii="Arial" w:cs="Arial" w:eastAsia="Arial" w:hAnsi="Arial"/>
          <w:sz w:val="18"/>
          <w:szCs w:val="18"/>
          <w:color w:val="auto"/>
        </w:rPr>
        <w:t xml:space="preserve">Lenders to make Base Rate Loans or fund risk participations in the related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BMO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91" w:lineRule="exact"/>
        <w:rPr>
          <w:sz w:val="20"/>
          <w:szCs w:val="20"/>
          <w:color w:val="auto"/>
        </w:rPr>
      </w:pPr>
    </w:p>
    <w:p>
      <w:pPr>
        <w:jc w:val="both"/>
        <w:ind w:firstLine="656"/>
        <w:spacing w:after="0" w:line="243" w:lineRule="auto"/>
        <w:tabs>
          <w:tab w:leader="none" w:pos="112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2.03(i)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19" w:right="339" w:bottom="1440" w:gutter="0" w:footer="0" w:header="0"/>
        </w:sectPr>
      </w:pPr>
    </w:p>
    <w:bookmarkStart w:id="138" w:name="page139"/>
    <w:bookmarkEnd w:id="138"/>
    <w:p>
      <w:pPr>
        <w:jc w:val="center"/>
        <w:ind w:right="-19"/>
        <w:spacing w:after="0"/>
        <w:tabs>
          <w:tab w:leader="none" w:pos="1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Guaranty Matters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 xml:space="preserve">Treasury Management Agreements and </w:t>
      </w:r>
      <w:r>
        <w:rPr>
          <w:rFonts w:ascii="Arial" w:cs="Arial" w:eastAsia="Arial" w:hAnsi="Arial"/>
          <w:sz w:val="16"/>
          <w:szCs w:val="16"/>
          <w:u w:val="single" w:color="auto"/>
          <w:color w:val="FF0000"/>
          <w:strike w:val="1"/>
        </w:rPr>
        <w:t>Hedge</w:t>
      </w:r>
      <w:r>
        <w:rPr>
          <w:rFonts w:ascii="Arial" w:cs="Arial" w:eastAsia="Arial" w:hAnsi="Arial"/>
          <w:sz w:val="16"/>
          <w:szCs w:val="16"/>
          <w:u w:val="single" w:color="auto"/>
          <w:color w:val="auto"/>
        </w:rPr>
        <w:t xml:space="preserve"> </w:t>
      </w:r>
      <w:r>
        <w:rPr>
          <w:rFonts w:ascii="Arial" w:cs="Arial" w:eastAsia="Arial" w:hAnsi="Arial"/>
          <w:sz w:val="16"/>
          <w:szCs w:val="16"/>
          <w:u w:val="single" w:color="auto"/>
          <w:color w:val="0000FF"/>
        </w:rPr>
        <w:t>Hedging</w:t>
      </w:r>
      <w:r>
        <w:rPr>
          <w:rFonts w:ascii="Arial" w:cs="Arial" w:eastAsia="Arial" w:hAnsi="Arial"/>
          <w:sz w:val="16"/>
          <w:szCs w:val="16"/>
          <w:u w:val="single" w:color="auto"/>
          <w:color w:val="auto"/>
        </w:rPr>
        <w:t xml:space="preserv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 Treasury Management Bank or Hedge Bank that obtains the benefit of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contrary, the Administrative Agent shall not be required to verify the payment of, or that other satisfactory arrangements have been made with respect to, Obligations arising under Treasury Management Agreements and </w:t>
      </w:r>
      <w:r>
        <w:rPr>
          <w:rFonts w:ascii="Arial" w:cs="Arial" w:eastAsia="Arial" w:hAnsi="Arial"/>
          <w:sz w:val="19"/>
          <w:szCs w:val="19"/>
          <w:u w:val="single" w:color="auto"/>
          <w:color w:val="FF0000"/>
          <w:strike w:val="1"/>
        </w:rPr>
        <w:t>Hedge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Hedging</w:t>
      </w:r>
      <w:r>
        <w:rPr>
          <w:rFonts w:ascii="Arial" w:cs="Arial" w:eastAsia="Arial" w:hAnsi="Arial"/>
          <w:sz w:val="19"/>
          <w:szCs w:val="19"/>
          <w:color w:val="auto"/>
        </w:rPr>
        <w:t xml:space="preserve">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reasonably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w:t>
      </w:r>
      <w:r>
        <w:rPr>
          <w:rFonts w:ascii="Arial" w:cs="Arial" w:eastAsia="Arial" w:hAnsi="Arial"/>
          <w:sz w:val="19"/>
          <w:szCs w:val="19"/>
          <w:u w:val="single" w:color="auto"/>
          <w:color w:val="FF0000"/>
          <w:strike w:val="1"/>
        </w:rPr>
        <w:t>Hedge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Hedging</w:t>
      </w:r>
      <w:r>
        <w:rPr>
          <w:rFonts w:ascii="Arial" w:cs="Arial" w:eastAsia="Arial" w:hAnsi="Arial"/>
          <w:sz w:val="19"/>
          <w:szCs w:val="19"/>
          <w:color w:val="0000FF"/>
        </w:rPr>
        <w:t xml:space="preserve"> </w:t>
      </w:r>
      <w:r>
        <w:rPr>
          <w:rFonts w:ascii="Arial" w:cs="Arial" w:eastAsia="Arial" w:hAnsi="Arial"/>
          <w:sz w:val="19"/>
          <w:szCs w:val="19"/>
          <w:color w:val="000000"/>
        </w:rPr>
        <w:t>Agreements in the case of the Maturity Date.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amendment or waiver of any provision of this Agreement or any other Loan Document, and no consent to any departure by the Borrowers or any other Loan Party therefrom, shall be effective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19" w:right="3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0"/>
          <w:szCs w:val="20"/>
          <w:color w:val="auto"/>
        </w:rPr>
        <w:t xml:space="preserve">in writing signed by the Required Lenders (or by the Administrative Agent at the written request or direction of the Required Lenders) and the Loan Parties party thereto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86" w:lineRule="exact"/>
        <w:rPr>
          <w:sz w:val="20"/>
          <w:szCs w:val="20"/>
          <w:color w:val="auto"/>
        </w:rPr>
      </w:pPr>
    </w:p>
    <w:p>
      <w:pPr>
        <w:ind w:left="1060" w:hanging="404"/>
        <w:spacing w:after="0"/>
        <w:tabs>
          <w:tab w:leader="none" w:pos="10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 such amendment, waiver or consent shall:</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715"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without the written consent of such Lender (it being understood and agreed that a waiver of any condition precedent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or of any Default or a mandatory reduction in Commitments is not considered an extension or increase in Commitments of any Lender);</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837" w:val="left"/>
        </w:tabs>
        <w:numPr>
          <w:ilvl w:val="1"/>
          <w:numId w:val="145"/>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91" w:lineRule="exact"/>
        <w:rPr>
          <w:rFonts w:ascii="Arial" w:cs="Arial" w:eastAsia="Arial" w:hAnsi="Arial"/>
          <w:sz w:val="20"/>
          <w:szCs w:val="20"/>
          <w:color w:val="auto"/>
        </w:rPr>
      </w:pPr>
    </w:p>
    <w:p>
      <w:pPr>
        <w:jc w:val="both"/>
        <w:ind w:left="660" w:firstLine="644"/>
        <w:spacing w:after="0" w:line="243" w:lineRule="auto"/>
        <w:tabs>
          <w:tab w:leader="none" w:pos="1798"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L/C Borrowing, or (subject to clause (i) of the final proviso to this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any fees or other amounts payable hereunder or under any other Loan Document without the written consent of each Lender entitled to receive such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92" w:lineRule="exact"/>
        <w:rPr>
          <w:rFonts w:ascii="Arial" w:cs="Arial" w:eastAsia="Arial" w:hAnsi="Arial"/>
          <w:sz w:val="20"/>
          <w:szCs w:val="20"/>
          <w:color w:val="auto"/>
        </w:rPr>
      </w:pPr>
    </w:p>
    <w:p>
      <w:pPr>
        <w:ind w:left="660" w:firstLine="644"/>
        <w:spacing w:after="0" w:line="260" w:lineRule="auto"/>
        <w:tabs>
          <w:tab w:leader="none" w:pos="1787"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in a manner that would alter the pro rata sharing of payments required thereby without the written consent of each Lender directly affected thereby;</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or the definition of “Alternative Currency” without the written consent of each Lender;</w:t>
      </w:r>
    </w:p>
    <w:p>
      <w:pPr>
        <w:spacing w:after="0" w:line="215" w:lineRule="exact"/>
        <w:rPr>
          <w:rFonts w:ascii="Arial" w:cs="Arial" w:eastAsia="Arial" w:hAnsi="Arial"/>
          <w:sz w:val="20"/>
          <w:szCs w:val="20"/>
          <w:color w:val="auto"/>
        </w:rPr>
      </w:pPr>
    </w:p>
    <w:p>
      <w:pPr>
        <w:ind w:left="660" w:firstLine="644"/>
        <w:spacing w:after="0" w:line="260" w:lineRule="auto"/>
        <w:tabs>
          <w:tab w:leader="none" w:pos="188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without the written consent of each Lender directly affected thereby; or</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5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release the Company or, except in connection with a transaction or series of transactions not prohibited by this Agreement,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260" w:lineRule="auto"/>
        <w:tabs>
          <w:tab w:leader="none" w:pos="1085"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unless also signed by a L/C Issuer, no amendment, waiver or consent shall affect the rights or duties of such L/C Issuer under this Agreement or any Issuer Document relating to any Letter of Credit issued or to be issued by it;</w:t>
      </w:r>
    </w:p>
    <w:p>
      <w:pPr>
        <w:spacing w:after="0" w:line="176" w:lineRule="exact"/>
        <w:rPr>
          <w:rFonts w:ascii="Arial" w:cs="Arial" w:eastAsia="Arial" w:hAnsi="Arial"/>
          <w:sz w:val="20"/>
          <w:szCs w:val="20"/>
          <w:color w:val="auto"/>
        </w:rPr>
      </w:pPr>
    </w:p>
    <w:p>
      <w:pPr>
        <w:ind w:firstLine="656"/>
        <w:spacing w:after="0" w:line="260" w:lineRule="auto"/>
        <w:tabs>
          <w:tab w:leader="none" w:pos="110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unless also signed by the Swing Line Lender, no amendment, waiver or consent shall affect the rights or duties of the Swing Line Lender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19" w:right="339" w:bottom="1440" w:gutter="0" w:footer="0" w:header="0"/>
        </w:sectPr>
      </w:pPr>
    </w:p>
    <w:bookmarkStart w:id="140" w:name="page141"/>
    <w:bookmarkEnd w:id="140"/>
    <w:p>
      <w:pPr>
        <w:ind w:firstLine="656"/>
        <w:spacing w:after="0" w:line="260" w:lineRule="auto"/>
        <w:tabs>
          <w:tab w:leader="none" w:pos="11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unless also signed by the Administrative Agent, no amendment, waiver or consent shall affect the rights or duties of the Administrative Agent under this Agreement or any other Loan Document;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and (iv) the Administrative Agent and the Company may make amendments contemplated by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 because of the relative size of such Lender’s Commitments) shall require the consent of such Defaulting Lender.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to the contrary contained herein, in order to implement any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this Agreement may be amended for such purpose (but solely to the extent necessary to implement such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by the Company, the other Loan Parties, the Administrative Agent and the relevant Lenders providing such additional Commitments.</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88"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19" w:right="339" w:bottom="1440" w:gutter="0" w:footer="0" w:header="0"/>
        </w:sectPr>
      </w:pPr>
    </w:p>
    <w:bookmarkStart w:id="141" w:name="page142"/>
    <w:bookmarkEnd w:id="141"/>
    <w:p>
      <w:pPr>
        <w:ind w:right="20"/>
        <w:spacing w:after="0" w:line="260" w:lineRule="auto"/>
        <w:rPr>
          <w:sz w:val="20"/>
          <w:szCs w:val="20"/>
          <w:color w:val="auto"/>
        </w:rPr>
      </w:pPr>
      <w:r>
        <w:rPr>
          <w:rFonts w:ascii="Arial" w:cs="Arial" w:eastAsia="Arial" w:hAnsi="Arial"/>
          <w:sz w:val="20"/>
          <w:szCs w:val="20"/>
          <w:color w:val="auto"/>
        </w:rPr>
        <w:t>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77" w:lineRule="exact"/>
        <w:rPr>
          <w:sz w:val="20"/>
          <w:szCs w:val="20"/>
          <w:color w:val="auto"/>
        </w:rPr>
      </w:pPr>
    </w:p>
    <w:p>
      <w:pPr>
        <w:ind w:left="660" w:firstLine="644"/>
        <w:spacing w:after="0" w:line="260" w:lineRule="auto"/>
        <w:tabs>
          <w:tab w:leader="none" w:pos="168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 11.02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78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0" w:lineRule="exact"/>
        <w:rPr>
          <w:sz w:val="20"/>
          <w:szCs w:val="20"/>
          <w:color w:val="auto"/>
        </w:rPr>
      </w:pPr>
    </w:p>
    <w:p>
      <w:pPr>
        <w:jc w:val="both"/>
        <w:ind w:firstLine="656"/>
        <w:spacing w:after="0" w:line="242" w:lineRule="auto"/>
        <w:tabs>
          <w:tab w:leader="none" w:pos="1085"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the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2" w:lineRule="exact"/>
        <w:rPr>
          <w:sz w:val="20"/>
          <w:szCs w:val="20"/>
          <w:color w:val="auto"/>
        </w:rPr>
      </w:pPr>
    </w:p>
    <w:p>
      <w:pPr>
        <w:jc w:val="both"/>
        <w:ind w:firstLine="8"/>
        <w:spacing w:after="0" w:line="241" w:lineRule="auto"/>
        <w:tabs>
          <w:tab w:leader="none" w:pos="23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of notification that such notice or communication is available and identifying the website address therefor (except as otherwise provided in the penultimate paragraph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088"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19" w:right="339" w:bottom="1440" w:gutter="0" w:footer="0" w:header="0"/>
        </w:sectPr>
      </w:pPr>
    </w:p>
    <w:bookmarkStart w:id="142" w:name="page143"/>
    <w:bookmarkEnd w:id="142"/>
    <w:p>
      <w:pPr>
        <w:jc w:val="both"/>
        <w:spacing w:after="0" w:line="241" w:lineRule="auto"/>
        <w:rPr>
          <w:sz w:val="20"/>
          <w:szCs w:val="20"/>
          <w:color w:val="auto"/>
        </w:rPr>
      </w:pPr>
      <w:r>
        <w:rPr>
          <w:rFonts w:ascii="Arial" w:cs="Arial" w:eastAsia="Arial" w:hAnsi="Arial"/>
          <w:sz w:val="20"/>
          <w:szCs w:val="20"/>
          <w:color w:val="auto"/>
        </w:rPr>
        <w:t>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(each such Person an “</w:t>
      </w:r>
      <w:r>
        <w:rPr>
          <w:rFonts w:ascii="Arial" w:cs="Arial" w:eastAsia="Arial" w:hAnsi="Arial"/>
          <w:sz w:val="20"/>
          <w:szCs w:val="20"/>
          <w:u w:val="single" w:color="auto"/>
          <w:color w:val="auto"/>
        </w:rPr>
        <w:t>Agent Party</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200" w:lineRule="exact"/>
        <w:rPr>
          <w:sz w:val="20"/>
          <w:szCs w:val="20"/>
          <w:color w:val="auto"/>
        </w:rPr>
      </w:pPr>
    </w:p>
    <w:p>
      <w:pPr>
        <w:jc w:val="both"/>
        <w:ind w:firstLine="656"/>
        <w:spacing w:after="0" w:line="270" w:lineRule="auto"/>
        <w:tabs>
          <w:tab w:leader="none" w:pos="111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w:t>
      </w:r>
      <w:r>
        <w:rPr>
          <w:rFonts w:ascii="Arial" w:cs="Arial" w:eastAsia="Arial" w:hAnsi="Arial"/>
          <w:sz w:val="18"/>
          <w:szCs w:val="18"/>
          <w:color w:val="FF0000"/>
          <w:strike w:val="1"/>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Company</w:t>
      </w:r>
      <w:r>
        <w:rPr>
          <w:rFonts w:ascii="Arial" w:cs="Arial" w:eastAsia="Arial" w:hAnsi="Arial"/>
          <w:sz w:val="18"/>
          <w:szCs w:val="18"/>
          <w:color w:val="auto"/>
        </w:rPr>
        <w:t xml:space="preserve"> or its securities for purposes of United States federal or state securities laws.</w:t>
      </w:r>
    </w:p>
    <w:p>
      <w:pPr>
        <w:spacing w:after="0" w:line="175" w:lineRule="exact"/>
        <w:rPr>
          <w:rFonts w:ascii="Arial" w:cs="Arial" w:eastAsia="Arial" w:hAnsi="Arial"/>
          <w:sz w:val="18"/>
          <w:szCs w:val="18"/>
          <w:color w:val="auto"/>
        </w:rPr>
      </w:pPr>
    </w:p>
    <w:p>
      <w:pPr>
        <w:jc w:val="both"/>
        <w:ind w:firstLine="656"/>
        <w:spacing w:after="0" w:line="272" w:lineRule="auto"/>
        <w:tabs>
          <w:tab w:leader="none" w:pos="107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 failure by any Lender, the L/C Issuer or the Administrative Agent to exercise, and no delay by any such Person in exercising, any right, remedy, power or privilege hereunder or under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19" w:right="339" w:bottom="1440" w:gutter="0" w:footer="0" w:header="0"/>
        </w:sectPr>
      </w:pPr>
    </w:p>
    <w:bookmarkStart w:id="143" w:name="page144"/>
    <w:bookmarkEnd w:id="143"/>
    <w:p>
      <w:pPr>
        <w:jc w:val="both"/>
        <w:spacing w:after="0" w:line="263" w:lineRule="auto"/>
        <w:rPr>
          <w:sz w:val="20"/>
          <w:szCs w:val="20"/>
          <w:color w:val="auto"/>
        </w:rPr>
      </w:pPr>
      <w:r>
        <w:rPr>
          <w:rFonts w:ascii="Arial" w:cs="Arial" w:eastAsia="Arial" w:hAnsi="Arial"/>
          <w:sz w:val="19"/>
          <w:szCs w:val="19"/>
          <w:color w:val="auto"/>
        </w:rPr>
        <w:t>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14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Loan Parties shall pay (i) all reasonable and documented out-of-pocket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out-of-pocket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19" w:right="339" w:bottom="1440" w:gutter="0" w:footer="0" w:header="0"/>
        </w:sectPr>
      </w:pPr>
    </w:p>
    <w:bookmarkStart w:id="144" w:name="page145"/>
    <w:bookmarkEnd w:id="144"/>
    <w:p>
      <w:pPr>
        <w:ind w:right="20"/>
        <w:spacing w:after="0" w:line="260" w:lineRule="auto"/>
        <w:rPr>
          <w:sz w:val="20"/>
          <w:szCs w:val="20"/>
          <w:color w:val="auto"/>
        </w:rPr>
      </w:pPr>
      <w:r>
        <w:rPr>
          <w:rFonts w:ascii="Arial" w:cs="Arial" w:eastAsia="Arial" w:hAnsi="Arial"/>
          <w:sz w:val="20"/>
          <w:szCs w:val="20"/>
          <w:color w:val="auto"/>
        </w:rPr>
        <w:t xml:space="preserve">during any workout, restructuring or negotiations in respect of such Loans or Letters of Credit. Without limiting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3.01(c)</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11.04(a)</w:t>
      </w:r>
      <w:r>
        <w:rPr>
          <w:rFonts w:ascii="Arial" w:cs="Arial" w:eastAsia="Arial" w:hAnsi="Arial"/>
          <w:sz w:val="20"/>
          <w:szCs w:val="20"/>
          <w:color w:val="auto"/>
        </w:rPr>
        <w:t xml:space="preserve"> shall not apply with respect to Taxes.</w:t>
      </w:r>
    </w:p>
    <w:p>
      <w:pPr>
        <w:spacing w:after="0" w:line="177" w:lineRule="exact"/>
        <w:rPr>
          <w:sz w:val="20"/>
          <w:szCs w:val="20"/>
          <w:color w:val="auto"/>
        </w:rPr>
      </w:pPr>
    </w:p>
    <w:p>
      <w:pPr>
        <w:jc w:val="both"/>
        <w:ind w:firstLine="656"/>
        <w:spacing w:after="0" w:line="267" w:lineRule="auto"/>
        <w:tabs>
          <w:tab w:leader="none" w:pos="1099"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(but limited, in the case of legal fees and expenses, to the reasonable and documented out-of-pocket fees, disbursements and other charges of one counsel to the Indemnitees taken as a whole and, if reasonably necessary, a single local counsel for the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94" w:lineRule="exact"/>
        <w:rPr>
          <w:rFonts w:ascii="Arial" w:cs="Arial" w:eastAsia="Arial" w:hAnsi="Arial"/>
          <w:sz w:val="18"/>
          <w:szCs w:val="18"/>
          <w:color w:val="auto"/>
        </w:rPr>
      </w:pPr>
    </w:p>
    <w:p>
      <w:pPr>
        <w:ind w:left="1060" w:hanging="404"/>
        <w:spacing w:after="0"/>
        <w:tabs>
          <w:tab w:leader="none" w:pos="1060"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Loan Parties for any reason fail to pay any amount required under subsection</w:t>
      </w:r>
    </w:p>
    <w:p>
      <w:pPr>
        <w:spacing w:after="0" w:line="61" w:lineRule="exact"/>
        <w:rPr>
          <w:rFonts w:ascii="Arial" w:cs="Arial" w:eastAsia="Arial" w:hAnsi="Arial"/>
          <w:sz w:val="16"/>
          <w:szCs w:val="16"/>
          <w:color w:val="auto"/>
        </w:rPr>
      </w:pPr>
    </w:p>
    <w:p>
      <w:pPr>
        <w:jc w:val="both"/>
        <w:ind w:firstLine="8"/>
        <w:spacing w:after="0"/>
        <w:tabs>
          <w:tab w:leader="none" w:pos="27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19"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19"/>
          <w:szCs w:val="19"/>
          <w:color w:val="auto"/>
        </w:rPr>
        <w:t xml:space="preserve">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85" w:lineRule="exact"/>
        <w:rPr>
          <w:sz w:val="20"/>
          <w:szCs w:val="20"/>
          <w:color w:val="auto"/>
        </w:rPr>
      </w:pPr>
    </w:p>
    <w:p>
      <w:pPr>
        <w:jc w:val="both"/>
        <w:ind w:firstLine="656"/>
        <w:spacing w:after="0" w:line="271" w:lineRule="auto"/>
        <w:tabs>
          <w:tab w:leader="none" w:pos="107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from any such Person’s material breach in bad faith of any such Person’s obligations under any Loan Documents) as determined by a final and nonappealable judgment of a court of competent jurisdiction (or a settlement that expressly addresses indemnification).</w:t>
      </w:r>
    </w:p>
    <w:p>
      <w:pPr>
        <w:spacing w:after="0" w:line="169" w:lineRule="exact"/>
        <w:rPr>
          <w:rFonts w:ascii="Arial" w:cs="Arial" w:eastAsia="Arial" w:hAnsi="Arial"/>
          <w:sz w:val="18"/>
          <w:szCs w:val="18"/>
          <w:color w:val="auto"/>
        </w:rPr>
      </w:pPr>
    </w:p>
    <w:p>
      <w:pPr>
        <w:ind w:firstLine="656"/>
        <w:spacing w:after="0" w:line="260" w:lineRule="auto"/>
        <w:tabs>
          <w:tab w:leader="none" w:pos="1088"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not later than ten Business Days after written demand therefor setting forth in reasonable detail the basis therefor.</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8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19" w:right="339" w:bottom="1440" w:gutter="0" w:footer="0" w:header="0"/>
        </w:sectPr>
      </w:pPr>
    </w:p>
    <w:bookmarkStart w:id="146" w:name="page147"/>
    <w:bookmarkEnd w:id="146"/>
    <w:p>
      <w:pPr>
        <w:spacing w:after="0" w:line="260" w:lineRule="auto"/>
        <w:rPr>
          <w:sz w:val="20"/>
          <w:szCs w:val="20"/>
          <w:color w:val="auto"/>
        </w:rPr>
      </w:pPr>
      <w:r>
        <w:rPr>
          <w:rFonts w:ascii="Arial" w:cs="Arial" w:eastAsia="Arial" w:hAnsi="Arial"/>
          <w:sz w:val="20"/>
          <w:szCs w:val="20"/>
          <w:color w:val="auto"/>
        </w:rPr>
        <w:t>and the L/C Issuer under clause (b) of the preceding sentence shall survive the payment in full of the Obligations and the termination of this Agreement.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5" w:lineRule="auto"/>
        <w:tabs>
          <w:tab w:leader="none" w:pos="108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86" w:lineRule="exact"/>
        <w:rPr>
          <w:rFonts w:ascii="Arial" w:cs="Arial" w:eastAsia="Arial" w:hAnsi="Arial"/>
          <w:sz w:val="19"/>
          <w:szCs w:val="19"/>
          <w:color w:val="auto"/>
        </w:rPr>
      </w:pPr>
    </w:p>
    <w:p>
      <w:pPr>
        <w:jc w:val="both"/>
        <w:ind w:firstLine="656"/>
        <w:spacing w:after="0" w:line="246" w:lineRule="auto"/>
        <w:tabs>
          <w:tab w:leader="none" w:pos="118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1680" w:hanging="376"/>
        <w:spacing w:after="0"/>
        <w:tabs>
          <w:tab w:leader="none" w:pos="1680" w:val="left"/>
        </w:tabs>
        <w:numPr>
          <w:ilvl w:val="1"/>
          <w:numId w:val="156"/>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right="20" w:firstLine="652"/>
        <w:spacing w:after="0" w:line="263" w:lineRule="auto"/>
        <w:tabs>
          <w:tab w:leader="none" w:pos="2457" w:val="left"/>
        </w:tabs>
        <w:numPr>
          <w:ilvl w:val="2"/>
          <w:numId w:val="156"/>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76" w:lineRule="exact"/>
        <w:rPr>
          <w:rFonts w:ascii="Arial" w:cs="Arial" w:eastAsia="Arial" w:hAnsi="Arial"/>
          <w:sz w:val="19"/>
          <w:szCs w:val="19"/>
          <w:color w:val="auto"/>
        </w:rPr>
      </w:pPr>
    </w:p>
    <w:p>
      <w:pPr>
        <w:jc w:val="both"/>
        <w:ind w:left="1300" w:firstLine="652"/>
        <w:spacing w:after="0" w:line="257" w:lineRule="auto"/>
        <w:tabs>
          <w:tab w:leader="none" w:pos="2473" w:val="left"/>
        </w:tabs>
        <w:numPr>
          <w:ilvl w:val="2"/>
          <w:numId w:val="156"/>
        </w:numPr>
        <w:rPr>
          <w:rFonts w:ascii="Arial" w:cs="Arial" w:eastAsia="Arial" w:hAnsi="Arial"/>
          <w:sz w:val="19"/>
          <w:szCs w:val="19"/>
          <w:color w:val="auto"/>
        </w:rPr>
      </w:pPr>
      <w:r>
        <w:rPr>
          <w:rFonts w:ascii="Arial" w:cs="Arial" w:eastAsia="Arial" w:hAnsi="Arial"/>
          <w:sz w:val="19"/>
          <w:szCs w:val="19"/>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84" w:lineRule="exact"/>
        <w:rPr>
          <w:rFonts w:ascii="Arial" w:cs="Arial" w:eastAsia="Arial" w:hAnsi="Arial"/>
          <w:sz w:val="19"/>
          <w:szCs w:val="19"/>
          <w:color w:val="auto"/>
        </w:rPr>
      </w:pPr>
    </w:p>
    <w:p>
      <w:pPr>
        <w:ind w:left="660" w:firstLine="644"/>
        <w:spacing w:after="0" w:line="260" w:lineRule="auto"/>
        <w:tabs>
          <w:tab w:leader="none" w:pos="1837" w:val="left"/>
        </w:tabs>
        <w:numPr>
          <w:ilvl w:val="1"/>
          <w:numId w:val="156"/>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Loans and Commitments, and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19" w:right="339" w:bottom="1440" w:gutter="0" w:footer="0" w:header="0"/>
        </w:sectPr>
      </w:pPr>
    </w:p>
    <w:bookmarkStart w:id="147" w:name="page148"/>
    <w:bookmarkEnd w:id="147"/>
    <w:p>
      <w:pPr>
        <w:ind w:left="4"/>
        <w:spacing w:after="0" w:line="260" w:lineRule="auto"/>
        <w:rPr>
          <w:sz w:val="20"/>
          <w:szCs w:val="20"/>
          <w:color w:val="auto"/>
        </w:rPr>
      </w:pPr>
      <w:r>
        <w:rPr>
          <w:rFonts w:ascii="Arial" w:cs="Arial" w:eastAsia="Arial" w:hAnsi="Arial"/>
          <w:sz w:val="20"/>
          <w:szCs w:val="20"/>
          <w:color w:val="auto"/>
        </w:rPr>
        <w:t>obligations with respect thereto, assigned, except that this clause (ii) shall not apply to the Swing Line Lender’s rights and obligations in respect of Swing Line Loans;</w:t>
      </w:r>
    </w:p>
    <w:p>
      <w:pPr>
        <w:spacing w:after="0" w:line="177" w:lineRule="exact"/>
        <w:rPr>
          <w:sz w:val="20"/>
          <w:szCs w:val="20"/>
          <w:color w:val="auto"/>
        </w:rPr>
      </w:pPr>
    </w:p>
    <w:p>
      <w:pPr>
        <w:ind w:left="1144" w:hanging="496"/>
        <w:spacing w:after="0"/>
        <w:tabs>
          <w:tab w:leader="none" w:pos="1144"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w:t>
      </w:r>
    </w:p>
    <w:p>
      <w:pPr>
        <w:spacing w:after="0" w:line="38" w:lineRule="exact"/>
        <w:rPr>
          <w:rFonts w:ascii="Arial" w:cs="Arial" w:eastAsia="Arial" w:hAnsi="Arial"/>
          <w:sz w:val="18"/>
          <w:szCs w:val="18"/>
          <w:color w:val="auto"/>
        </w:rPr>
      </w:pPr>
    </w:p>
    <w:p>
      <w:pPr>
        <w:ind w:left="304" w:hanging="304"/>
        <w:spacing w:after="0"/>
        <w:tabs>
          <w:tab w:leader="none" w:pos="304" w:val="left"/>
        </w:tabs>
        <w:numPr>
          <w:ilvl w:val="0"/>
          <w:numId w:val="158"/>
        </w:numPr>
        <w:rPr>
          <w:rFonts w:ascii="Arial" w:cs="Arial" w:eastAsia="Arial" w:hAnsi="Arial"/>
          <w:sz w:val="20"/>
          <w:szCs w:val="20"/>
          <w:color w:val="auto"/>
        </w:rPr>
      </w:pPr>
      <w:r>
        <w:rPr>
          <w:rFonts w:ascii="Arial" w:cs="Arial" w:eastAsia="Arial" w:hAnsi="Arial"/>
          <w:sz w:val="20"/>
          <w:szCs w:val="20"/>
          <w:color w:val="auto"/>
        </w:rPr>
        <w:t>of this Section and, in addition:</w:t>
      </w:r>
    </w:p>
    <w:p>
      <w:pPr>
        <w:spacing w:after="0" w:line="199" w:lineRule="exact"/>
        <w:rPr>
          <w:rFonts w:ascii="Arial" w:cs="Arial" w:eastAsia="Arial" w:hAnsi="Arial"/>
          <w:sz w:val="20"/>
          <w:szCs w:val="20"/>
          <w:color w:val="auto"/>
        </w:rPr>
      </w:pPr>
    </w:p>
    <w:p>
      <w:pPr>
        <w:jc w:val="both"/>
        <w:ind w:left="644" w:firstLine="652"/>
        <w:spacing w:after="0" w:line="255" w:lineRule="auto"/>
        <w:tabs>
          <w:tab w:leader="none" w:pos="1801" w:val="left"/>
        </w:tabs>
        <w:numPr>
          <w:ilvl w:val="2"/>
          <w:numId w:val="158"/>
        </w:numPr>
        <w:rPr>
          <w:rFonts w:ascii="Arial" w:cs="Arial" w:eastAsia="Arial" w:hAnsi="Arial"/>
          <w:sz w:val="19"/>
          <w:szCs w:val="19"/>
          <w:color w:val="auto"/>
        </w:rPr>
      </w:pPr>
      <w:r>
        <w:rPr>
          <w:rFonts w:ascii="Arial" w:cs="Arial" w:eastAsia="Arial" w:hAnsi="Arial"/>
          <w:sz w:val="19"/>
          <w:szCs w:val="19"/>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be required unless (1) in the case of an assignment to a Person that is (x) not a Disqualified Institution, an Event of Default has occurred and is continuing at the time of such assignment or (y) a Disqualified Institution, an Event of Default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9.01(c)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9.01(d)</w:t>
      </w:r>
      <w:r>
        <w:rPr>
          <w:rFonts w:ascii="Arial" w:cs="Arial" w:eastAsia="Arial" w:hAnsi="Arial"/>
          <w:sz w:val="19"/>
          <w:szCs w:val="19"/>
          <w:color w:val="auto"/>
        </w:rPr>
        <w:t xml:space="preserve"> (solely as a result of the failure to comply with </w:t>
      </w:r>
      <w:r>
        <w:rPr>
          <w:rFonts w:ascii="Arial" w:cs="Arial" w:eastAsia="Arial" w:hAnsi="Arial"/>
          <w:sz w:val="19"/>
          <w:szCs w:val="19"/>
          <w:u w:val="single" w:color="auto"/>
          <w:color w:val="auto"/>
        </w:rPr>
        <w:t>Section 7.06</w:t>
      </w:r>
      <w:r>
        <w:rPr>
          <w:rFonts w:ascii="Arial" w:cs="Arial" w:eastAsia="Arial" w:hAnsi="Arial"/>
          <w:sz w:val="19"/>
          <w:szCs w:val="19"/>
          <w:color w:val="auto"/>
        </w:rPr>
        <w:t>) has occurred and is continuing at the time of such assignment, or (2) such assignment is to a Lender, an Affiliate of a Lender or an Approved Fund; provided, however, that with respect to any assignment that does not require the Company’s consent hereunder, the assignor shall nevertheless provide written notice to the Company thereof prior to, or promptly after, such assignment (it being understood that failure by such assignor to provide such notice shall not limit the effectiveness of such assignment);</w:t>
      </w:r>
    </w:p>
    <w:p>
      <w:pPr>
        <w:spacing w:after="0" w:line="189" w:lineRule="exact"/>
        <w:rPr>
          <w:rFonts w:ascii="Arial" w:cs="Arial" w:eastAsia="Arial" w:hAnsi="Arial"/>
          <w:sz w:val="19"/>
          <w:szCs w:val="19"/>
          <w:color w:val="auto"/>
        </w:rPr>
      </w:pPr>
    </w:p>
    <w:p>
      <w:pPr>
        <w:jc w:val="both"/>
        <w:ind w:left="644" w:firstLine="652"/>
        <w:spacing w:after="0" w:line="246" w:lineRule="auto"/>
        <w:tabs>
          <w:tab w:leader="none" w:pos="1803" w:val="left"/>
        </w:tabs>
        <w:numPr>
          <w:ilvl w:val="2"/>
          <w:numId w:val="158"/>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91" w:lineRule="exact"/>
        <w:rPr>
          <w:rFonts w:ascii="Arial" w:cs="Arial" w:eastAsia="Arial" w:hAnsi="Arial"/>
          <w:sz w:val="20"/>
          <w:szCs w:val="20"/>
          <w:color w:val="auto"/>
        </w:rPr>
      </w:pPr>
    </w:p>
    <w:p>
      <w:pPr>
        <w:jc w:val="both"/>
        <w:ind w:left="644" w:firstLine="652"/>
        <w:spacing w:after="0" w:line="250" w:lineRule="auto"/>
        <w:tabs>
          <w:tab w:leader="none" w:pos="1776" w:val="left"/>
        </w:tabs>
        <w:numPr>
          <w:ilvl w:val="2"/>
          <w:numId w:val="158"/>
        </w:numPr>
        <w:rPr>
          <w:rFonts w:ascii="Arial" w:cs="Arial" w:eastAsia="Arial" w:hAnsi="Arial"/>
          <w:sz w:val="20"/>
          <w:szCs w:val="20"/>
          <w:color w:val="auto"/>
        </w:rPr>
      </w:pPr>
      <w:r>
        <w:rPr>
          <w:rFonts w:ascii="Arial" w:cs="Arial" w:eastAsia="Arial" w:hAnsi="Arial"/>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5" w:lineRule="exact"/>
        <w:rPr>
          <w:rFonts w:ascii="Arial" w:cs="Arial" w:eastAsia="Arial" w:hAnsi="Arial"/>
          <w:sz w:val="20"/>
          <w:szCs w:val="20"/>
          <w:color w:val="auto"/>
        </w:rPr>
      </w:pPr>
    </w:p>
    <w:p>
      <w:pPr>
        <w:ind w:left="644" w:firstLine="652"/>
        <w:spacing w:after="0" w:line="260" w:lineRule="auto"/>
        <w:tabs>
          <w:tab w:leader="none" w:pos="1841" w:val="left"/>
        </w:tabs>
        <w:numPr>
          <w:ilvl w:val="2"/>
          <w:numId w:val="158"/>
        </w:numPr>
        <w:rPr>
          <w:rFonts w:ascii="Arial" w:cs="Arial" w:eastAsia="Arial" w:hAnsi="Arial"/>
          <w:sz w:val="20"/>
          <w:szCs w:val="20"/>
          <w:color w:val="auto"/>
        </w:rPr>
      </w:pPr>
      <w:r>
        <w:rPr>
          <w:rFonts w:ascii="Arial" w:cs="Arial" w:eastAsia="Arial" w:hAnsi="Arial"/>
          <w:sz w:val="20"/>
          <w:szCs w:val="20"/>
          <w:color w:val="auto"/>
        </w:rPr>
        <w:t>the consent of the Swing Line Lender (such consent not to be unreasonably withheld or delayed) shall be required for any assignment in respect of Revolving Loans and Revolving Commitments.</w:t>
      </w:r>
    </w:p>
    <w:p>
      <w:pPr>
        <w:spacing w:after="0" w:line="176" w:lineRule="exact"/>
        <w:rPr>
          <w:rFonts w:ascii="Arial" w:cs="Arial" w:eastAsia="Arial" w:hAnsi="Arial"/>
          <w:sz w:val="20"/>
          <w:szCs w:val="20"/>
          <w:color w:val="auto"/>
        </w:rPr>
      </w:pPr>
    </w:p>
    <w:p>
      <w:pPr>
        <w:jc w:val="both"/>
        <w:ind w:left="4" w:firstLine="644"/>
        <w:spacing w:after="0" w:line="282" w:lineRule="auto"/>
        <w:tabs>
          <w:tab w:leader="none" w:pos="1145"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4" w:firstLine="644"/>
        <w:spacing w:after="0" w:line="269" w:lineRule="auto"/>
        <w:tabs>
          <w:tab w:leader="none" w:pos="1076"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to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69" w:lineRule="exact"/>
        <w:rPr>
          <w:rFonts w:ascii="Arial" w:cs="Arial" w:eastAsia="Arial" w:hAnsi="Arial"/>
          <w:sz w:val="19"/>
          <w:szCs w:val="19"/>
          <w:color w:val="auto"/>
        </w:rPr>
      </w:pPr>
    </w:p>
    <w:p>
      <w:pPr>
        <w:ind w:left="4" w:right="20" w:firstLine="644"/>
        <w:spacing w:after="0" w:line="260" w:lineRule="auto"/>
        <w:tabs>
          <w:tab w:leader="none" w:pos="1172"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584"/>
          </w:cols>
          <w:pgMar w:left="976" w:top="1419" w:right="339" w:bottom="1440" w:gutter="0" w:footer="0" w:header="0"/>
        </w:sectPr>
      </w:pPr>
    </w:p>
    <w:bookmarkStart w:id="148" w:name="page149"/>
    <w:bookmarkEnd w:id="148"/>
    <w:p>
      <w:pPr>
        <w:jc w:val="both"/>
        <w:ind w:left="660"/>
        <w:spacing w:after="0" w:line="271" w:lineRule="auto"/>
        <w:rPr>
          <w:sz w:val="20"/>
          <w:szCs w:val="20"/>
          <w:color w:val="auto"/>
        </w:rPr>
      </w:pPr>
      <w:r>
        <w:rPr>
          <w:rFonts w:ascii="Arial" w:cs="Arial" w:eastAsia="Arial" w:hAnsi="Arial"/>
          <w:sz w:val="18"/>
          <w:szCs w:val="18"/>
          <w:color w:val="auto"/>
        </w:rPr>
        <w:t>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0" w:lineRule="exact"/>
        <w:rPr>
          <w:sz w:val="20"/>
          <w:szCs w:val="20"/>
          <w:color w:val="auto"/>
        </w:rPr>
      </w:pPr>
    </w:p>
    <w:p>
      <w:pPr>
        <w:jc w:val="both"/>
        <w:ind w:left="660" w:firstLine="644"/>
        <w:spacing w:after="0" w:line="246" w:lineRule="auto"/>
        <w:tabs>
          <w:tab w:leader="none" w:pos="1896"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No Assignment Resulting in Additional Indemnified Taxes</w:t>
      </w:r>
      <w:r>
        <w:rPr>
          <w:rFonts w:ascii="Arial" w:cs="Arial" w:eastAsia="Arial" w:hAnsi="Arial"/>
          <w:sz w:val="20"/>
          <w:szCs w:val="20"/>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w:t>
      </w:r>
      <w:r>
        <w:rPr>
          <w:rFonts w:ascii="Arial" w:cs="Arial" w:eastAsia="Arial" w:hAnsi="Arial"/>
          <w:sz w:val="18"/>
          <w:szCs w:val="18"/>
          <w:color w:val="FF0000"/>
          <w:strike w:val="1"/>
        </w:rPr>
        <w:t>Borrower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Company</w:t>
      </w:r>
      <w:r>
        <w:rPr>
          <w:rFonts w:ascii="Arial" w:cs="Arial" w:eastAsia="Arial" w:hAnsi="Arial"/>
          <w:sz w:val="18"/>
          <w:szCs w:val="18"/>
          <w:color w:val="FF0000"/>
        </w:rPr>
        <w:t xml:space="preserve"> </w:t>
      </w:r>
      <w:r>
        <w:rPr>
          <w:rFonts w:ascii="Arial" w:cs="Arial" w:eastAsia="Arial" w:hAnsi="Arial"/>
          <w:sz w:val="18"/>
          <w:szCs w:val="18"/>
          <w:color w:val="000000"/>
        </w:rPr>
        <w:t>marked “paid in full” (or similar term). Any assignment or transfer by a Lender of rights or obligations under this</w:t>
      </w:r>
      <w:r>
        <w:rPr>
          <w:rFonts w:ascii="Arial" w:cs="Arial" w:eastAsia="Arial" w:hAnsi="Arial"/>
          <w:sz w:val="18"/>
          <w:szCs w:val="18"/>
          <w:color w:val="FF0000"/>
        </w:rPr>
        <w:t xml:space="preserve"> </w:t>
      </w:r>
      <w:r>
        <w:rPr>
          <w:rFonts w:ascii="Arial" w:cs="Arial" w:eastAsia="Arial" w:hAnsi="Arial"/>
          <w:sz w:val="18"/>
          <w:szCs w:val="18"/>
          <w:color w:val="000000"/>
        </w:rPr>
        <w:t>Agreement that does not comply with this subsection shall be treated for purposes of this Agreement as a sale by such Lender of a participation in such rights and obligations in accordance with subsection (d) of this Section.</w:t>
      </w:r>
    </w:p>
    <w:p>
      <w:pPr>
        <w:spacing w:after="0" w:line="172" w:lineRule="exact"/>
        <w:rPr>
          <w:sz w:val="20"/>
          <w:szCs w:val="20"/>
          <w:color w:val="auto"/>
        </w:rPr>
      </w:pPr>
    </w:p>
    <w:p>
      <w:pPr>
        <w:jc w:val="both"/>
        <w:ind w:firstLine="656"/>
        <w:spacing w:after="0" w:line="257" w:lineRule="auto"/>
        <w:tabs>
          <w:tab w:leader="none" w:pos="107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19" w:right="339" w:bottom="1440" w:gutter="0" w:footer="0" w:header="0"/>
        </w:sectPr>
      </w:pPr>
    </w:p>
    <w:bookmarkStart w:id="149" w:name="page150"/>
    <w:bookmarkEnd w:id="149"/>
    <w:p>
      <w:pPr>
        <w:spacing w:after="0" w:line="260" w:lineRule="auto"/>
        <w:rPr>
          <w:sz w:val="20"/>
          <w:szCs w:val="20"/>
          <w:color w:val="auto"/>
        </w:rPr>
      </w:pPr>
      <w:r>
        <w:rPr>
          <w:rFonts w:ascii="Arial" w:cs="Arial" w:eastAsia="Arial" w:hAnsi="Arial"/>
          <w:sz w:val="20"/>
          <w:szCs w:val="20"/>
          <w:color w:val="auto"/>
        </w:rPr>
        <w:t>notice to the contrary. The Register shall be available for inspection by the Borrowers and any Lender at any reasonable time and from time to time upon reasonable prior notice.</w:t>
      </w:r>
    </w:p>
    <w:p>
      <w:pPr>
        <w:spacing w:after="0" w:line="177" w:lineRule="exact"/>
        <w:rPr>
          <w:sz w:val="20"/>
          <w:szCs w:val="20"/>
          <w:color w:val="auto"/>
        </w:rPr>
      </w:pPr>
    </w:p>
    <w:p>
      <w:pPr>
        <w:jc w:val="both"/>
        <w:ind w:firstLine="656"/>
        <w:spacing w:after="0" w:line="256" w:lineRule="auto"/>
        <w:tabs>
          <w:tab w:leader="none" w:pos="1099"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that directly affects such Participant (it being understood that (i) any vote to rescind any acceleration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the Borrowers agree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(subject to the requirements in those Sections, including timely delivery of forms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as if it were a Lender and had acquired its interest by assignment pursuant to subsection (b)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11.14</w:t>
      </w:r>
      <w:r>
        <w:rPr>
          <w:rFonts w:ascii="Arial" w:cs="Arial" w:eastAsia="Arial" w:hAnsi="Arial"/>
          <w:sz w:val="18"/>
          <w:szCs w:val="18"/>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19" w:right="339" w:bottom="1440" w:gutter="0" w:footer="0" w:header="0"/>
        </w:sectPr>
      </w:pPr>
    </w:p>
    <w:bookmarkStart w:id="150" w:name="page151"/>
    <w:bookmarkEnd w:id="150"/>
    <w:p>
      <w:pPr>
        <w:jc w:val="both"/>
        <w:ind w:firstLine="656"/>
        <w:spacing w:after="0" w:line="246" w:lineRule="auto"/>
        <w:tabs>
          <w:tab w:leader="none" w:pos="1102"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39"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Limitation upon Participant Rights</w:t>
      </w:r>
      <w:r>
        <w:rPr>
          <w:rFonts w:ascii="Arial" w:cs="Arial" w:eastAsia="Arial" w:hAnsi="Arial"/>
          <w:sz w:val="20"/>
          <w:szCs w:val="20"/>
          <w:color w:val="auto"/>
        </w:rPr>
        <w:t xml:space="preserve">.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the Company is notified of the participation sold to such Participant and such Participant agrees, for the benefit of the Borrowers,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as though it were a Lender.</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08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xml:space="preserve">. Notwithstanding anything to the contrary contained herein, if at any time BMO or Bank of America assigns all of its Commitment and Loans pursuant to subsection (b) above, (i) BMO or Bank of America may, as applicable, upon thirty days’ notice to the Company and the Lenders, resign as L/C Issuer and/or (ii) BMO may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Company to appoint any such successor shall affect the resignation of BMO or Bank of America as L/C Issuer or Swing Line Lender, as the case may be. If BMO or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BMO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applicable Letters of Credit, if any, outstanding at the time of such succession or make other arrangements satisfactory to BMO or Bank of America to effectively assume the obligations of BMO or Bank of America with respect to such Letters of Credit.</w:t>
      </w:r>
    </w:p>
    <w:p>
      <w:pPr>
        <w:spacing w:after="0" w:line="173" w:lineRule="exact"/>
        <w:rPr>
          <w:rFonts w:ascii="Arial" w:cs="Arial" w:eastAsia="Arial" w:hAnsi="Arial"/>
          <w:sz w:val="18"/>
          <w:szCs w:val="18"/>
          <w:color w:val="auto"/>
        </w:rPr>
      </w:pPr>
    </w:p>
    <w:p>
      <w:pPr>
        <w:jc w:val="both"/>
        <w:ind w:firstLine="656"/>
        <w:spacing w:after="0" w:line="271" w:lineRule="auto"/>
        <w:tabs>
          <w:tab w:leader="none" w:pos="111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Notwithstanding anything to the contrary in this Agreement, no assignment or participation shall be made to any Person that was a Disqualified Institution as of the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9.01(d)</w:t>
      </w:r>
      <w:r>
        <w:rPr>
          <w:rFonts w:ascii="Arial" w:cs="Arial" w:eastAsia="Arial" w:hAnsi="Arial"/>
          <w:sz w:val="18"/>
          <w:szCs w:val="18"/>
          <w:color w:val="auto"/>
        </w:rPr>
        <w:t xml:space="preserve"> (solely as a result of the failure to comply with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 pursuant to the definition of “Disqualified Institution”), (i) such assignee shall not retroactively be disqualified from becoming a Lender and (ii) the execution by the Company of an Assignment and Assumption with respect to such assignee will not by itself result in such assignee no longer being considered a Disqualified Institution. Any assignment in violation of this </w:t>
      </w:r>
      <w:r>
        <w:rPr>
          <w:rFonts w:ascii="Arial" w:cs="Arial" w:eastAsia="Arial" w:hAnsi="Arial"/>
          <w:sz w:val="18"/>
          <w:szCs w:val="18"/>
          <w:u w:val="single" w:color="auto"/>
          <w:color w:val="auto"/>
        </w:rPr>
        <w:t>Section 11.06(h)</w:t>
      </w:r>
      <w:r>
        <w:rPr>
          <w:rFonts w:ascii="Arial" w:cs="Arial" w:eastAsia="Arial" w:hAnsi="Arial"/>
          <w:sz w:val="18"/>
          <w:szCs w:val="18"/>
          <w:color w:val="auto"/>
        </w:rPr>
        <w:t xml:space="preserve"> shall not be void, but the provisions of the paragraphs below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19" w:right="339" w:bottom="1440" w:gutter="0" w:footer="0" w:header="0"/>
        </w:sectPr>
      </w:pPr>
    </w:p>
    <w:bookmarkStart w:id="151" w:name="page152"/>
    <w:bookmarkEnd w:id="151"/>
    <w:p>
      <w:pPr>
        <w:jc w:val="both"/>
        <w:ind w:firstLine="648"/>
        <w:spacing w:after="0" w:line="271" w:lineRule="auto"/>
        <w:rPr>
          <w:sz w:val="20"/>
          <w:szCs w:val="20"/>
          <w:color w:val="auto"/>
        </w:rPr>
      </w:pPr>
      <w:r>
        <w:rPr>
          <w:rFonts w:ascii="Arial" w:cs="Arial" w:eastAsia="Arial" w:hAnsi="Arial"/>
          <w:sz w:val="18"/>
          <w:szCs w:val="18"/>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such purchase or prepayment shall be made with the proceeds of any Revolving Loans), plus accrued interest, accrued fees and all other amounts (other than principal amounts) payable to 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Arial" w:cs="Arial" w:eastAsia="Arial" w:hAnsi="Arial"/>
          <w:sz w:val="18"/>
          <w:szCs w:val="18"/>
          <w:u w:val="single" w:color="auto"/>
          <w:color w:val="auto"/>
        </w:rPr>
        <w:t>Section 11.06</w:t>
      </w:r>
      <w:r>
        <w:rPr>
          <w:rFonts w:ascii="Arial" w:cs="Arial" w:eastAsia="Arial" w:hAnsi="Arial"/>
          <w:sz w:val="18"/>
          <w:szCs w:val="18"/>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and the Administrative Agent, or (z) access the Platform or any other electronic site established for the Lenders or confidential communications from counsel to or financial advisors of the Administrative Agent or the Lenders and (2) (x) for purposes of any consent to any amendment, waiver or modification of, or any action under, and for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bankruptcy reorganization plan that affects the Loans, each Disqualified Institution hereby agrees (I) not to vote on such plan, (II) if such Disqualified Institution does vote on such plan notwithstanding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 (III)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 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19" w:right="339" w:bottom="1440" w:gutter="0" w:footer="0" w:header="0"/>
        </w:sectPr>
      </w:pPr>
    </w:p>
    <w:bookmarkStart w:id="152" w:name="page153"/>
    <w:bookmarkEnd w:id="152"/>
    <w:p>
      <w:pPr>
        <w:jc w:val="both"/>
        <w:spacing w:after="0" w:line="268" w:lineRule="auto"/>
        <w:rPr>
          <w:sz w:val="20"/>
          <w:szCs w:val="20"/>
          <w:color w:val="auto"/>
        </w:rPr>
      </w:pPr>
      <w:r>
        <w:rPr>
          <w:rFonts w:ascii="Arial" w:cs="Arial" w:eastAsia="Arial" w:hAnsi="Arial"/>
          <w:sz w:val="18"/>
          <w:szCs w:val="18"/>
          <w:color w:val="auto"/>
        </w:rPr>
        <w:t xml:space="preserve">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Loan Parties and their obligations, this Agreement or payments hereunder, (g) on a confidential basis to (i) any rating agency in connection with rating any Loan Party or its Subsidiaries or the credit facility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In addition, the Administrative Agent and the Lenders may disclose the existence of this Agreement and customary information about this Agreement to market data collectors.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Loan Party or any Subsidiary after the Closing Date, such information is clearly identified at the time of delivery as confidential or delivered under circumstances that would cause a reasonable person to believe such information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19" w:right="339" w:bottom="1440" w:gutter="0" w:footer="0" w:header="0"/>
        </w:sectPr>
      </w:pPr>
    </w:p>
    <w:bookmarkStart w:id="153" w:name="page154"/>
    <w:bookmarkEnd w:id="153"/>
    <w:p>
      <w:pPr>
        <w:jc w:val="both"/>
        <w:spacing w:after="0" w:line="270" w:lineRule="auto"/>
        <w:rPr>
          <w:sz w:val="20"/>
          <w:szCs w:val="20"/>
          <w:color w:val="auto"/>
        </w:rPr>
      </w:pPr>
      <w:r>
        <w:rPr>
          <w:rFonts w:ascii="Arial" w:cs="Arial" w:eastAsia="Arial" w:hAnsi="Arial"/>
          <w:sz w:val="18"/>
          <w:szCs w:val="18"/>
          <w:color w:val="auto"/>
        </w:rPr>
        <w:t xml:space="preserve">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19" w:right="339" w:bottom="1440" w:gutter="0" w:footer="0" w:header="0"/>
        </w:sectPr>
      </w:pPr>
    </w:p>
    <w:bookmarkStart w:id="154" w:name="page155"/>
    <w:bookmarkEnd w:id="154"/>
    <w:p>
      <w:pPr>
        <w:jc w:val="both"/>
        <w:spacing w:after="0" w:line="246" w:lineRule="auto"/>
        <w:rPr>
          <w:sz w:val="20"/>
          <w:szCs w:val="20"/>
          <w:color w:val="auto"/>
        </w:rPr>
      </w:pPr>
      <w:r>
        <w:rPr>
          <w:rFonts w:ascii="Arial" w:cs="Arial" w:eastAsia="Arial" w:hAnsi="Arial"/>
          <w:sz w:val="20"/>
          <w:szCs w:val="20"/>
          <w:color w:val="auto"/>
        </w:rPr>
        <w:t xml:space="preserve">Agreement and those of any other Loan Document, the provisions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5.01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11.13</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If the Company is entitled to replace a Lender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or if any Lender is a Defaulting Lender or a Non-Consenting Lender, or if any Lender shall effectuate (or purport to effectuate) an assignment in violation of the terms of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5" w:lineRule="exact"/>
        <w:rPr>
          <w:sz w:val="20"/>
          <w:szCs w:val="20"/>
          <w:color w:val="auto"/>
        </w:rPr>
      </w:pPr>
    </w:p>
    <w:p>
      <w:pPr>
        <w:ind w:left="660" w:right="20" w:firstLine="644"/>
        <w:spacing w:after="0" w:line="260" w:lineRule="auto"/>
        <w:tabs>
          <w:tab w:leader="none" w:pos="168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to be paid)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19" w:right="339" w:bottom="1440" w:gutter="0" w:footer="0" w:header="0"/>
        </w:sectPr>
      </w:pPr>
    </w:p>
    <w:bookmarkStart w:id="155" w:name="page156"/>
    <w:bookmarkEnd w:id="155"/>
    <w:p>
      <w:pPr>
        <w:jc w:val="both"/>
        <w:ind w:left="660" w:firstLine="644"/>
        <w:spacing w:after="0" w:line="246" w:lineRule="auto"/>
        <w:tabs>
          <w:tab w:leader="none" w:pos="186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applicable Borrower(s) (in the case of all other amounts);</w:t>
      </w:r>
    </w:p>
    <w:p>
      <w:pPr>
        <w:spacing w:after="0" w:line="191" w:lineRule="exact"/>
        <w:rPr>
          <w:rFonts w:ascii="Arial" w:cs="Arial" w:eastAsia="Arial" w:hAnsi="Arial"/>
          <w:sz w:val="20"/>
          <w:szCs w:val="20"/>
          <w:color w:val="auto"/>
        </w:rPr>
      </w:pPr>
    </w:p>
    <w:p>
      <w:pPr>
        <w:ind w:left="660" w:firstLine="644"/>
        <w:spacing w:after="0" w:line="316" w:lineRule="auto"/>
        <w:tabs>
          <w:tab w:leader="none" w:pos="17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29" w:lineRule="exact"/>
        <w:rPr>
          <w:rFonts w:ascii="Arial" w:cs="Arial" w:eastAsia="Arial" w:hAnsi="Arial"/>
          <w:sz w:val="18"/>
          <w:szCs w:val="18"/>
          <w:color w:val="auto"/>
        </w:rPr>
      </w:pPr>
    </w:p>
    <w:p>
      <w:pPr>
        <w:ind w:left="1760" w:hanging="456"/>
        <w:spacing w:after="0"/>
        <w:tabs>
          <w:tab w:leader="none" w:pos="17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jc w:val="both"/>
        <w:ind w:left="660" w:firstLine="644"/>
        <w:spacing w:after="0" w:line="259" w:lineRule="auto"/>
        <w:tabs>
          <w:tab w:leader="none" w:pos="171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Lender becoming a Non-Consenting Lender, the applicable assignee shall have consented to the applicable amendment, waiver or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9"/>
          <w:szCs w:val="19"/>
          <w:u w:val="single" w:color="auto"/>
          <w:color w:val="auto"/>
        </w:rPr>
        <w:t>Section 11.14</w:t>
      </w:r>
      <w:r>
        <w:rPr>
          <w:rFonts w:ascii="Arial" w:cs="Arial" w:eastAsia="Arial" w:hAnsi="Arial"/>
          <w:sz w:val="19"/>
          <w:szCs w:val="19"/>
          <w:color w:val="auto"/>
        </w:rPr>
        <w:t xml:space="preserve"> shall nevertheless be effective without the execution by such Non-Consenting Lender of an Assignment and Assumption.</w:t>
      </w:r>
    </w:p>
    <w:p>
      <w:pPr>
        <w:spacing w:after="0" w:line="1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1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THIS AGREEMENT SHALL BE GOVERNED BY, AND CONSTRUED IN ACCORDANCE WITH, THE LAW OF THE STATE OF ILLINOIS APPLICABLE TO AGREEMENTS MADE AND TO BE PERFORMED ENTIRELY WITHIN SUCH STATE;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AND EACH LENDER SHALL RETAIN ALL RIGHTS ARISING UNDER FEDERAL LAW.</w:t>
      </w:r>
    </w:p>
    <w:p>
      <w:pPr>
        <w:spacing w:after="0" w:line="191" w:lineRule="exact"/>
        <w:rPr>
          <w:rFonts w:ascii="Arial" w:cs="Arial" w:eastAsia="Arial" w:hAnsi="Arial"/>
          <w:sz w:val="20"/>
          <w:szCs w:val="20"/>
          <w:color w:val="auto"/>
        </w:rPr>
      </w:pPr>
    </w:p>
    <w:p>
      <w:pPr>
        <w:jc w:val="both"/>
        <w:ind w:firstLine="656"/>
        <w:spacing w:after="0" w:line="241" w:lineRule="auto"/>
        <w:tabs>
          <w:tab w:leader="none" w:pos="128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Arial" w:cs="Arial" w:eastAsia="Arial" w:hAnsi="Arial"/>
          <w:sz w:val="20"/>
          <w:szCs w:val="20"/>
          <w:i w:val="1"/>
          <w:iCs w:val="1"/>
          <w:color w:val="auto"/>
        </w:rPr>
        <w:t>FORUM NON CONVENIENS</w:t>
      </w:r>
      <w:r>
        <w:rPr>
          <w:rFonts w:ascii="Arial" w:cs="Arial" w:eastAsia="Arial" w:hAnsi="Arial"/>
          <w:sz w:val="20"/>
          <w:szCs w:val="20"/>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19" w:right="339" w:bottom="1440" w:gutter="0" w:footer="0" w:header="0"/>
        </w:sectPr>
      </w:pPr>
    </w:p>
    <w:bookmarkStart w:id="156" w:name="page157"/>
    <w:bookmarkEnd w:id="156"/>
    <w:p>
      <w:pPr>
        <w:spacing w:after="0"/>
        <w:tabs>
          <w:tab w:leader="none" w:pos="60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19" w:right="339" w:bottom="1440" w:gutter="0" w:footer="0" w:header="0"/>
        </w:sectPr>
      </w:pPr>
    </w:p>
    <w:bookmarkStart w:id="157" w:name="page158"/>
    <w:bookmarkEnd w:id="157"/>
    <w:p>
      <w:pPr>
        <w:spacing w:after="0"/>
        <w:tabs>
          <w:tab w:leader="none" w:pos="60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u w:val="single" w:color="auto"/>
          <w:color w:val="auto"/>
        </w:rPr>
        <w:t>Concerning Joint and Several Liability of the Domestic Borrowers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Each Domestic Borrower is accepting joint and several liability under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91" w:lineRule="exact"/>
        <w:rPr>
          <w:rFonts w:ascii="Arial" w:cs="Arial" w:eastAsia="Arial" w:hAnsi="Arial"/>
          <w:sz w:val="20"/>
          <w:szCs w:val="20"/>
          <w:color w:val="auto"/>
        </w:rPr>
      </w:pPr>
    </w:p>
    <w:p>
      <w:pPr>
        <w:jc w:val="both"/>
        <w:ind w:firstLine="656"/>
        <w:spacing w:after="0" w:line="282" w:lineRule="auto"/>
        <w:tabs>
          <w:tab w:leader="none" w:pos="10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61" w:lineRule="exact"/>
        <w:rPr>
          <w:rFonts w:ascii="Arial" w:cs="Arial" w:eastAsia="Arial" w:hAnsi="Arial"/>
          <w:sz w:val="18"/>
          <w:szCs w:val="18"/>
          <w:color w:val="auto"/>
        </w:rPr>
      </w:pPr>
    </w:p>
    <w:p>
      <w:pPr>
        <w:jc w:val="both"/>
        <w:ind w:firstLine="656"/>
        <w:spacing w:after="0" w:line="250" w:lineRule="auto"/>
        <w:tabs>
          <w:tab w:leader="none" w:pos="104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11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The obligations of each Domestic Borrower under the provisions of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1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each Domestic Borrower hereby waives notice of acceptance of its joint and several liability, notice of occurrence of any Default (except to the extent notice is expressly required to be given pursuant to the terms of this Agreement),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afford grounds for terminating, discharging or relieving such Domestic Borrower, in whole or in part, from any of its obligations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it being the intention of each Domestic Borrower that, so long as any of the Obligations hereunder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19" w:right="339" w:bottom="1440" w:gutter="0" w:footer="0" w:header="0"/>
        </w:sectPr>
      </w:pPr>
    </w:p>
    <w:bookmarkStart w:id="158" w:name="page159"/>
    <w:bookmarkEnd w:id="158"/>
    <w:p>
      <w:pPr>
        <w:jc w:val="both"/>
        <w:spacing w:after="0" w:line="316" w:lineRule="auto"/>
        <w:rPr>
          <w:sz w:val="20"/>
          <w:szCs w:val="20"/>
          <w:color w:val="auto"/>
        </w:rPr>
      </w:pPr>
      <w:r>
        <w:rPr>
          <w:rFonts w:ascii="Arial" w:cs="Arial" w:eastAsia="Arial" w:hAnsi="Arial"/>
          <w:sz w:val="16"/>
          <w:szCs w:val="16"/>
          <w:color w:val="auto"/>
        </w:rPr>
        <w:t xml:space="preserve">Domestic Borrowers remain unsatisfied, the obligations of such Domestic Borrower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not be discharged except by performance and then only to the extent of such performance. The obligations of each Domestic Borrower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Arial" w:cs="Arial" w:eastAsia="Arial" w:hAnsi="Arial"/>
          <w:sz w:val="16"/>
          <w:szCs w:val="16"/>
          <w:u w:val="single" w:color="auto"/>
          <w:color w:val="auto"/>
        </w:rPr>
        <w:t>Section 11.19</w:t>
      </w:r>
      <w:r>
        <w:rPr>
          <w:rFonts w:ascii="Arial" w:cs="Arial" w:eastAsia="Arial" w:hAnsi="Arial"/>
          <w:sz w:val="16"/>
          <w:szCs w:val="16"/>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140" w:lineRule="exact"/>
        <w:rPr>
          <w:sz w:val="20"/>
          <w:szCs w:val="20"/>
          <w:color w:val="auto"/>
        </w:rPr>
      </w:pPr>
    </w:p>
    <w:p>
      <w:pPr>
        <w:jc w:val="both"/>
        <w:ind w:firstLine="656"/>
        <w:spacing w:after="0" w:line="256" w:lineRule="auto"/>
        <w:tabs>
          <w:tab w:leader="none" w:pos="105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will forthwith be reinstated and in effect as though such payment had not been made.</w:t>
      </w:r>
    </w:p>
    <w:p>
      <w:pPr>
        <w:spacing w:after="0" w:line="184" w:lineRule="exact"/>
        <w:rPr>
          <w:rFonts w:ascii="Arial" w:cs="Arial" w:eastAsia="Arial" w:hAnsi="Arial"/>
          <w:sz w:val="19"/>
          <w:szCs w:val="19"/>
          <w:color w:val="auto"/>
        </w:rPr>
      </w:pPr>
    </w:p>
    <w:p>
      <w:pPr>
        <w:jc w:val="both"/>
        <w:ind w:firstLine="656"/>
        <w:spacing w:after="0" w:line="263" w:lineRule="auto"/>
        <w:tabs>
          <w:tab w:leader="none" w:pos="107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contained herein or in any other of the Loan Documents or Hedging Agreements or Treasury Management Agreements, the obligations of each Domestic Borrower under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07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the Company and the other Domestic Borrowers shall guarantee the Obligations of such Designated Borrowers.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Subordination of Intercompany Debt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Loan Party agrees that all intercompany Debt among Loan Parties (the “</w:t>
      </w:r>
      <w:r>
        <w:rPr>
          <w:rFonts w:ascii="Arial" w:cs="Arial" w:eastAsia="Arial" w:hAnsi="Arial"/>
          <w:sz w:val="19"/>
          <w:szCs w:val="19"/>
          <w:u w:val="single" w:color="auto"/>
          <w:color w:val="auto"/>
        </w:rPr>
        <w:t>Intercompany Debt</w:t>
      </w:r>
      <w:r>
        <w:rPr>
          <w:rFonts w:ascii="Arial" w:cs="Arial" w:eastAsia="Arial" w:hAnsi="Arial"/>
          <w:sz w:val="19"/>
          <w:szCs w:val="19"/>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Arial" w:cs="Arial" w:eastAsia="Arial" w:hAnsi="Arial"/>
          <w:sz w:val="19"/>
          <w:szCs w:val="19"/>
          <w:u w:val="single" w:color="auto"/>
          <w:color w:val="auto"/>
        </w:rPr>
        <w:t>Section 11.20</w:t>
      </w:r>
      <w:r>
        <w:rPr>
          <w:rFonts w:ascii="Arial" w:cs="Arial" w:eastAsia="Arial" w:hAnsi="Arial"/>
          <w:sz w:val="19"/>
          <w:szCs w:val="19"/>
          <w:color w:val="auto"/>
        </w:rPr>
        <w:t>, such payment shall be held by such Loan Party, in trust for the benefit of, and shall be paid forthwith over and delivered, upon written request,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19" w:right="339" w:bottom="1440" w:gutter="0" w:footer="0" w:header="0"/>
        </w:sectPr>
      </w:pPr>
    </w:p>
    <w:bookmarkStart w:id="159" w:name="page160"/>
    <w:bookmarkEnd w:id="159"/>
    <w:p>
      <w:pPr>
        <w:spacing w:after="0"/>
        <w:tabs>
          <w:tab w:leader="none" w:pos="60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any Lender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their respective Affiliates, and neither the Administrative Agent, the Arrangers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18"/>
          <w:szCs w:val="18"/>
          <w:u w:val="single" w:color="auto"/>
          <w:color w:val="auto"/>
        </w:rPr>
        <w:t xml:space="preserve">Acknowledgement and Consent to Bail-In of </w:t>
      </w:r>
      <w:r>
        <w:rPr>
          <w:rFonts w:ascii="Arial" w:cs="Arial" w:eastAsia="Arial" w:hAnsi="Arial"/>
          <w:sz w:val="18"/>
          <w:szCs w:val="18"/>
          <w:u w:val="single" w:color="auto"/>
          <w:color w:val="FF0000"/>
          <w:strike w:val="1"/>
        </w:rPr>
        <w:t>EEA</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Affected</w:t>
      </w:r>
      <w:r>
        <w:rPr>
          <w:rFonts w:ascii="Arial" w:cs="Arial" w:eastAsia="Arial" w:hAnsi="Arial"/>
          <w:sz w:val="18"/>
          <w:szCs w:val="18"/>
          <w:u w:val="single" w:color="auto"/>
          <w:color w:val="auto"/>
        </w:rPr>
        <w:t xml:space="preserve"> Financial Institutions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Solely to the extent any Lender or L/C Issuer that is an </w:t>
      </w:r>
      <w:r>
        <w:rPr>
          <w:rFonts w:ascii="Arial" w:cs="Arial" w:eastAsia="Arial" w:hAnsi="Arial"/>
          <w:sz w:val="20"/>
          <w:szCs w:val="20"/>
          <w:color w:val="FF0000"/>
          <w:strike w:val="1"/>
        </w:rPr>
        <w:t>EEA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is a party to this Agreement and notwithstanding anything to the contrary in any Loan Document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19" w:right="339" w:bottom="1440" w:gutter="0" w:footer="0" w:header="0"/>
        </w:sectPr>
      </w:pPr>
    </w:p>
    <w:bookmarkStart w:id="160" w:name="page161"/>
    <w:bookmarkEnd w:id="160"/>
    <w:p>
      <w:pPr>
        <w:jc w:val="both"/>
        <w:spacing w:after="0" w:line="246" w:lineRule="auto"/>
        <w:rPr>
          <w:sz w:val="20"/>
          <w:szCs w:val="20"/>
          <w:color w:val="auto"/>
        </w:rPr>
      </w:pPr>
      <w:r>
        <w:rPr>
          <w:rFonts w:ascii="Arial" w:cs="Arial" w:eastAsia="Arial" w:hAnsi="Arial"/>
          <w:sz w:val="20"/>
          <w:szCs w:val="20"/>
          <w:color w:val="auto"/>
        </w:rPr>
        <w:t xml:space="preserve">other agreement, arrangement or understanding among any such parties, each party hereto acknowledges that any liability of any Lender or L/C Issuer that is an </w:t>
      </w:r>
      <w:r>
        <w:rPr>
          <w:rFonts w:ascii="Arial" w:cs="Arial" w:eastAsia="Arial" w:hAnsi="Arial"/>
          <w:sz w:val="20"/>
          <w:szCs w:val="20"/>
          <w:color w:val="FF0000"/>
          <w:strike w:val="1"/>
        </w:rPr>
        <w:t>EEA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1" w:lineRule="exact"/>
        <w:rPr>
          <w:sz w:val="20"/>
          <w:szCs w:val="20"/>
          <w:color w:val="auto"/>
        </w:rPr>
      </w:pPr>
    </w:p>
    <w:p>
      <w:pPr>
        <w:ind w:firstLine="656"/>
        <w:spacing w:after="0" w:line="287" w:lineRule="auto"/>
        <w:tabs>
          <w:tab w:leader="none" w:pos="118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application of any Write-Down and Conversion Powers by </w:t>
      </w:r>
      <w:r>
        <w:rPr>
          <w:rFonts w:ascii="Arial" w:cs="Arial" w:eastAsia="Arial" w:hAnsi="Arial"/>
          <w:sz w:val="19"/>
          <w:szCs w:val="19"/>
          <w:color w:val="FF0000"/>
          <w:strike w:val="1"/>
        </w:rPr>
        <w:t>an EEA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applicable</w:t>
      </w:r>
      <w:r>
        <w:rPr>
          <w:rFonts w:ascii="Arial" w:cs="Arial" w:eastAsia="Arial" w:hAnsi="Arial"/>
          <w:sz w:val="19"/>
          <w:szCs w:val="19"/>
          <w:color w:val="auto"/>
        </w:rPr>
        <w:t xml:space="preserve"> Resolution Authority to any such liabilities arising hereunder which may be payable to it by any Lender or L/C Issuer that is an </w:t>
      </w:r>
      <w:r>
        <w:rPr>
          <w:rFonts w:ascii="Arial" w:cs="Arial" w:eastAsia="Arial" w:hAnsi="Arial"/>
          <w:sz w:val="19"/>
          <w:szCs w:val="19"/>
          <w:color w:val="FF0000"/>
          <w:strike w:val="1"/>
        </w:rPr>
        <w:t>EEA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and</w:t>
      </w:r>
    </w:p>
    <w:p>
      <w:pPr>
        <w:spacing w:after="0" w:line="152" w:lineRule="exact"/>
        <w:rPr>
          <w:rFonts w:ascii="Arial" w:cs="Arial" w:eastAsia="Arial" w:hAnsi="Arial"/>
          <w:sz w:val="19"/>
          <w:szCs w:val="19"/>
          <w:color w:val="auto"/>
        </w:rPr>
      </w:pPr>
    </w:p>
    <w:p>
      <w:pPr>
        <w:ind w:left="1060" w:hanging="404"/>
        <w:spacing w:after="0"/>
        <w:tabs>
          <w:tab w:leader="none" w:pos="106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77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 xml:space="preserve">a conversion of all, or a portion of, such liability into shares or other instruments of ownership in such </w:t>
      </w:r>
      <w:r>
        <w:rPr>
          <w:rFonts w:ascii="Arial" w:cs="Arial" w:eastAsia="Arial" w:hAnsi="Arial"/>
          <w:sz w:val="20"/>
          <w:szCs w:val="20"/>
          <w:color w:val="FF0000"/>
          <w:strike w:val="1"/>
        </w:rPr>
        <w:t>EEA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660" w:right="120" w:firstLine="644"/>
        <w:spacing w:after="0" w:line="260" w:lineRule="auto"/>
        <w:tabs>
          <w:tab w:leader="none" w:pos="1785"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w:t>
      </w:r>
      <w:r>
        <w:rPr>
          <w:rFonts w:ascii="Arial" w:cs="Arial" w:eastAsia="Arial" w:hAnsi="Arial"/>
          <w:sz w:val="20"/>
          <w:szCs w:val="20"/>
          <w:color w:val="FF0000"/>
          <w:strike w:val="1"/>
        </w:rPr>
        <w:t>rite-down and conversion powers of</w:t>
      </w:r>
      <w:r>
        <w:rPr>
          <w:rFonts w:ascii="Arial" w:cs="Arial" w:eastAsia="Arial" w:hAnsi="Arial"/>
          <w:sz w:val="20"/>
          <w:szCs w:val="20"/>
          <w:color w:val="auto"/>
        </w:rPr>
        <w:t xml:space="preserve"> </w:t>
      </w:r>
      <w:r>
        <w:rPr>
          <w:rFonts w:ascii="Arial" w:cs="Arial" w:eastAsia="Arial" w:hAnsi="Arial"/>
          <w:sz w:val="20"/>
          <w:szCs w:val="20"/>
          <w:color w:val="FF0000"/>
          <w:strike w:val="1"/>
        </w:rPr>
        <w:t>any EEA</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Write-Down and Conversion Powers of the applicable</w:t>
      </w:r>
      <w:r>
        <w:rPr>
          <w:rFonts w:ascii="Arial" w:cs="Arial" w:eastAsia="Arial" w:hAnsi="Arial"/>
          <w:sz w:val="20"/>
          <w:szCs w:val="20"/>
          <w:color w:val="FF0000"/>
        </w:rPr>
        <w:t xml:space="preserve"> </w:t>
      </w:r>
      <w:r>
        <w:rPr>
          <w:rFonts w:ascii="Arial" w:cs="Arial" w:eastAsia="Arial" w:hAnsi="Arial"/>
          <w:sz w:val="20"/>
          <w:szCs w:val="20"/>
          <w:color w:val="000000"/>
        </w:rPr>
        <w:t>Resolution Authority.</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 To the extent that the Loan Documents provide support, through a guarantee or otherwise, for Hedging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w:t>
      </w:r>
    </w:p>
    <w:p>
      <w:pPr>
        <w:spacing w:after="0" w:line="168" w:lineRule="exact"/>
        <w:rPr>
          <w:sz w:val="20"/>
          <w:szCs w:val="20"/>
          <w:color w:val="auto"/>
        </w:rPr>
      </w:pPr>
    </w:p>
    <w:p>
      <w:pPr>
        <w:jc w:val="both"/>
        <w:ind w:firstLine="656"/>
        <w:spacing w:after="0" w:line="271" w:lineRule="auto"/>
        <w:tabs>
          <w:tab w:leader="none" w:pos="10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19" w:right="339" w:bottom="1440" w:gutter="0" w:footer="0" w:header="0"/>
        </w:sectPr>
      </w:pPr>
    </w:p>
    <w:bookmarkStart w:id="161" w:name="page162"/>
    <w:bookmarkEnd w:id="161"/>
    <w:p>
      <w:pPr>
        <w:ind w:right="20"/>
        <w:spacing w:after="0" w:line="260" w:lineRule="auto"/>
        <w:rPr>
          <w:sz w:val="20"/>
          <w:szCs w:val="20"/>
          <w:color w:val="auto"/>
        </w:rPr>
      </w:pPr>
      <w:r>
        <w:rPr>
          <w:rFonts w:ascii="Arial" w:cs="Arial" w:eastAsia="Arial" w:hAnsi="Arial"/>
          <w:sz w:val="20"/>
          <w:szCs w:val="20"/>
          <w:color w:val="auto"/>
        </w:rPr>
        <w:t>with respect to a Defaulting Lender shall in no event affect the rights of any Covered Party with respect to a Supported QFC or any QFC Credit Support.</w:t>
      </w:r>
    </w:p>
    <w:p>
      <w:pPr>
        <w:spacing w:after="0" w:line="1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11.24</w:t>
      </w:r>
      <w:r>
        <w:rPr>
          <w:rFonts w:ascii="Arial" w:cs="Arial" w:eastAsia="Arial" w:hAnsi="Arial"/>
          <w:sz w:val="18"/>
          <w:szCs w:val="18"/>
          <w:color w:val="auto"/>
        </w:rPr>
        <w:t>, the following terms have the following meanings:</w:t>
      </w:r>
    </w:p>
    <w:p>
      <w:pPr>
        <w:spacing w:after="0" w:line="216" w:lineRule="exact"/>
        <w:rPr>
          <w:sz w:val="20"/>
          <w:szCs w:val="20"/>
          <w:color w:val="auto"/>
        </w:rPr>
      </w:pPr>
    </w:p>
    <w:p>
      <w:pPr>
        <w:jc w:val="both"/>
        <w:ind w:left="660" w:firstLine="91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204" w:lineRule="exact"/>
        <w:rPr>
          <w:sz w:val="20"/>
          <w:szCs w:val="20"/>
          <w:color w:val="auto"/>
        </w:rPr>
      </w:pPr>
    </w:p>
    <w:p>
      <w:pPr>
        <w:jc w:val="both"/>
        <w:ind w:left="660" w:firstLine="1295"/>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97" w:lineRule="exact"/>
        <w:rPr>
          <w:sz w:val="20"/>
          <w:szCs w:val="20"/>
          <w:color w:val="auto"/>
        </w:rPr>
      </w:pPr>
    </w:p>
    <w:p>
      <w:pPr>
        <w:jc w:val="both"/>
        <w:ind w:left="660" w:right="20" w:firstLine="81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4" w:lineRule="exact"/>
        <w:rPr>
          <w:sz w:val="20"/>
          <w:szCs w:val="20"/>
          <w:color w:val="auto"/>
        </w:rPr>
      </w:pPr>
    </w:p>
    <w:p>
      <w:pPr>
        <w:ind w:left="660" w:right="160" w:firstLine="79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u w:val="single" w:color="auto"/>
          <w:color w:val="0000FF"/>
        </w:rPr>
        <w:t>11.25</w:t>
      </w:r>
      <w:r>
        <w:rPr>
          <w:sz w:val="20"/>
          <w:szCs w:val="20"/>
          <w:color w:val="auto"/>
        </w:rPr>
        <w:tab/>
      </w:r>
      <w:r>
        <w:rPr>
          <w:rFonts w:ascii="Arial" w:cs="Arial" w:eastAsia="Arial" w:hAnsi="Arial"/>
          <w:sz w:val="16"/>
          <w:szCs w:val="16"/>
          <w:u w:val="single" w:color="auto"/>
          <w:color w:val="0000FF"/>
        </w:rPr>
        <w:t>Erroneous Payments.</w:t>
      </w:r>
    </w:p>
    <w:p>
      <w:pPr>
        <w:spacing w:after="0" w:line="216" w:lineRule="exact"/>
        <w:rPr>
          <w:sz w:val="20"/>
          <w:szCs w:val="20"/>
          <w:color w:val="auto"/>
        </w:rPr>
      </w:pPr>
    </w:p>
    <w:p>
      <w:pPr>
        <w:jc w:val="both"/>
        <w:ind w:firstLine="656"/>
        <w:spacing w:after="0" w:line="254" w:lineRule="auto"/>
        <w:tabs>
          <w:tab w:leader="none" w:pos="1286" w:val="left"/>
        </w:tabs>
        <w:numPr>
          <w:ilvl w:val="0"/>
          <w:numId w:val="170"/>
        </w:numPr>
        <w:rPr>
          <w:rFonts w:ascii="Arial" w:cs="Arial" w:eastAsia="Arial" w:hAnsi="Arial"/>
          <w:sz w:val="19"/>
          <w:szCs w:val="19"/>
          <w:color w:val="0000FF"/>
        </w:rPr>
      </w:pPr>
      <w:r>
        <w:rPr>
          <w:rFonts w:ascii="Arial" w:cs="Arial" w:eastAsia="Arial" w:hAnsi="Arial"/>
          <w:sz w:val="19"/>
          <w:szCs w:val="19"/>
          <w:u w:val="single" w:color="auto"/>
          <w:color w:val="0000FF"/>
        </w:rPr>
        <w:t>If the Administrative Agent notifies a Lender or other holder of any Obligations (each, a “Lender Party”), or any Person who has received funds on behalf of a Lender Party (any such Lender Party or other recipient, a “Payment Recipient”), that the Administrative Agent has determined in its sole discretion (whether or not after receipt of any notice under Section 11.25(b))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0" w:lineRule="exact"/>
        <w:rPr>
          <w:rFonts w:ascii="Arial" w:cs="Arial" w:eastAsia="Arial" w:hAnsi="Arial"/>
          <w:sz w:val="19"/>
          <w:szCs w:val="19"/>
          <w:color w:val="0000FF"/>
        </w:rPr>
      </w:pPr>
    </w:p>
    <w:p>
      <w:pPr>
        <w:jc w:val="both"/>
        <w:ind w:firstLine="656"/>
        <w:spacing w:after="0" w:line="244" w:lineRule="auto"/>
        <w:tabs>
          <w:tab w:leader="none" w:pos="1284" w:val="left"/>
        </w:tabs>
        <w:numPr>
          <w:ilvl w:val="0"/>
          <w:numId w:val="170"/>
        </w:numPr>
        <w:rPr>
          <w:rFonts w:ascii="Arial" w:cs="Arial" w:eastAsia="Arial" w:hAnsi="Arial"/>
          <w:sz w:val="20"/>
          <w:szCs w:val="20"/>
          <w:color w:val="0000FF"/>
        </w:rPr>
      </w:pPr>
      <w:r>
        <w:rPr>
          <w:rFonts w:ascii="Arial" w:cs="Arial" w:eastAsia="Arial" w:hAnsi="Arial"/>
          <w:sz w:val="20"/>
          <w:szCs w:val="20"/>
          <w:u w:val="single" w:color="auto"/>
          <w:color w:val="0000FF"/>
        </w:rPr>
        <w:t>Without limiting Section 11.25(a),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19" w:right="339" w:bottom="1440" w:gutter="0" w:footer="0" w:header="0"/>
        </w:sectPr>
      </w:pPr>
    </w:p>
    <w:bookmarkStart w:id="162" w:name="page163"/>
    <w:bookmarkEnd w:id="162"/>
    <w:p>
      <w:pPr>
        <w:ind w:right="20"/>
        <w:spacing w:after="0" w:line="260" w:lineRule="auto"/>
        <w:rPr>
          <w:sz w:val="20"/>
          <w:szCs w:val="20"/>
          <w:color w:val="auto"/>
        </w:rPr>
      </w:pPr>
      <w:r>
        <w:rPr>
          <w:rFonts w:ascii="Arial" w:cs="Arial" w:eastAsia="Arial" w:hAnsi="Arial"/>
          <w:sz w:val="20"/>
          <w:szCs w:val="20"/>
          <w:u w:val="single" w:color="auto"/>
          <w:color w:val="0000FF"/>
        </w:rPr>
        <w:t>repayment sent by the Administrative Agent (or any of its Affiliates), or (z) such Payment Recipient otherwise becomes aware was transmitted, or received, in error (in whole or in part):</w:t>
      </w:r>
    </w:p>
    <w:p>
      <w:pPr>
        <w:spacing w:after="0" w:line="177" w:lineRule="exact"/>
        <w:rPr>
          <w:sz w:val="20"/>
          <w:szCs w:val="20"/>
          <w:color w:val="auto"/>
        </w:rPr>
      </w:pPr>
    </w:p>
    <w:p>
      <w:pPr>
        <w:jc w:val="both"/>
        <w:ind w:left="660" w:firstLine="644"/>
        <w:spacing w:after="0" w:line="250" w:lineRule="auto"/>
        <w:tabs>
          <w:tab w:leader="none" w:pos="1954" w:val="left"/>
        </w:tabs>
        <w:numPr>
          <w:ilvl w:val="1"/>
          <w:numId w:val="171"/>
        </w:numPr>
        <w:rPr>
          <w:rFonts w:ascii="Arial" w:cs="Arial" w:eastAsia="Arial" w:hAnsi="Arial"/>
          <w:sz w:val="20"/>
          <w:szCs w:val="20"/>
          <w:color w:val="0000FF"/>
        </w:rPr>
      </w:pPr>
      <w:r>
        <w:rPr>
          <w:rFonts w:ascii="Arial" w:cs="Arial" w:eastAsia="Arial" w:hAnsi="Arial"/>
          <w:sz w:val="20"/>
          <w:szCs w:val="20"/>
          <w:u w:val="single" w:color="auto"/>
          <w:color w:val="0000FF"/>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185" w:lineRule="exact"/>
        <w:rPr>
          <w:rFonts w:ascii="Arial" w:cs="Arial" w:eastAsia="Arial" w:hAnsi="Arial"/>
          <w:sz w:val="20"/>
          <w:szCs w:val="20"/>
          <w:color w:val="0000FF"/>
        </w:rPr>
      </w:pPr>
    </w:p>
    <w:p>
      <w:pPr>
        <w:jc w:val="both"/>
        <w:ind w:left="660" w:firstLine="644"/>
        <w:spacing w:after="0" w:line="269" w:lineRule="auto"/>
        <w:tabs>
          <w:tab w:leader="none" w:pos="1955" w:val="left"/>
        </w:tabs>
        <w:numPr>
          <w:ilvl w:val="1"/>
          <w:numId w:val="171"/>
        </w:numPr>
        <w:rPr>
          <w:rFonts w:ascii="Arial" w:cs="Arial" w:eastAsia="Arial" w:hAnsi="Arial"/>
          <w:sz w:val="19"/>
          <w:szCs w:val="19"/>
          <w:color w:val="0000FF"/>
        </w:rPr>
      </w:pPr>
      <w:r>
        <w:rPr>
          <w:rFonts w:ascii="Arial" w:cs="Arial" w:eastAsia="Arial" w:hAnsi="Arial"/>
          <w:sz w:val="19"/>
          <w:szCs w:val="19"/>
          <w:u w:val="single" w:color="auto"/>
          <w:color w:val="0000FF"/>
        </w:rPr>
        <w:t>such Payment Recipient shall promptly (and, in all events, within one Business Day of its knowledge of such error or presumed error) notify the Administrative Agent of its receipt of such payment, prepayment or repayment, the details thereof (in reasonable detail) and that it is so notifying the Administrative Agent pursuant to this Section 11.25(b).</w:t>
      </w:r>
    </w:p>
    <w:p>
      <w:pPr>
        <w:spacing w:after="0" w:line="169" w:lineRule="exact"/>
        <w:rPr>
          <w:rFonts w:ascii="Arial" w:cs="Arial" w:eastAsia="Arial" w:hAnsi="Arial"/>
          <w:sz w:val="19"/>
          <w:szCs w:val="19"/>
          <w:color w:val="0000FF"/>
        </w:rPr>
      </w:pPr>
    </w:p>
    <w:p>
      <w:pPr>
        <w:jc w:val="both"/>
        <w:ind w:firstLine="656"/>
        <w:spacing w:after="0" w:line="246" w:lineRule="auto"/>
        <w:tabs>
          <w:tab w:leader="none" w:pos="1286" w:val="left"/>
        </w:tabs>
        <w:numPr>
          <w:ilvl w:val="0"/>
          <w:numId w:val="172"/>
        </w:numPr>
        <w:rPr>
          <w:rFonts w:ascii="Arial" w:cs="Arial" w:eastAsia="Arial" w:hAnsi="Arial"/>
          <w:sz w:val="20"/>
          <w:szCs w:val="20"/>
          <w:color w:val="0000FF"/>
        </w:rPr>
      </w:pPr>
      <w:r>
        <w:rPr>
          <w:rFonts w:ascii="Arial" w:cs="Arial" w:eastAsia="Arial" w:hAnsi="Arial"/>
          <w:sz w:val="20"/>
          <w:szCs w:val="20"/>
          <w:u w:val="single" w:color="auto"/>
          <w:color w:val="0000FF"/>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11.25(a) or under the indemnification provisions of this Agreement.</w:t>
      </w:r>
    </w:p>
    <w:p>
      <w:pPr>
        <w:spacing w:after="0" w:line="191" w:lineRule="exact"/>
        <w:rPr>
          <w:rFonts w:ascii="Arial" w:cs="Arial" w:eastAsia="Arial" w:hAnsi="Arial"/>
          <w:sz w:val="20"/>
          <w:szCs w:val="20"/>
          <w:color w:val="0000FF"/>
        </w:rPr>
      </w:pPr>
    </w:p>
    <w:p>
      <w:pPr>
        <w:jc w:val="both"/>
        <w:ind w:firstLine="656"/>
        <w:spacing w:after="0" w:line="250" w:lineRule="auto"/>
        <w:tabs>
          <w:tab w:leader="none" w:pos="1284" w:val="left"/>
        </w:tabs>
        <w:numPr>
          <w:ilvl w:val="0"/>
          <w:numId w:val="172"/>
        </w:numPr>
        <w:rPr>
          <w:rFonts w:ascii="Arial" w:cs="Arial" w:eastAsia="Arial" w:hAnsi="Arial"/>
          <w:sz w:val="20"/>
          <w:szCs w:val="20"/>
          <w:color w:val="0000FF"/>
        </w:rPr>
      </w:pPr>
      <w:r>
        <w:rPr>
          <w:rFonts w:ascii="Arial" w:cs="Arial" w:eastAsia="Arial" w:hAnsi="Arial"/>
          <w:sz w:val="20"/>
          <w:szCs w:val="20"/>
          <w:u w:val="single" w:color="auto"/>
          <w:color w:val="0000FF"/>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185" w:lineRule="exact"/>
        <w:rPr>
          <w:rFonts w:ascii="Arial" w:cs="Arial" w:eastAsia="Arial" w:hAnsi="Arial"/>
          <w:sz w:val="20"/>
          <w:szCs w:val="20"/>
          <w:color w:val="0000FF"/>
        </w:rPr>
      </w:pPr>
    </w:p>
    <w:p>
      <w:pPr>
        <w:jc w:val="both"/>
        <w:ind w:firstLine="656"/>
        <w:spacing w:after="0" w:line="246" w:lineRule="auto"/>
        <w:tabs>
          <w:tab w:leader="none" w:pos="1286" w:val="left"/>
        </w:tabs>
        <w:numPr>
          <w:ilvl w:val="0"/>
          <w:numId w:val="172"/>
        </w:numPr>
        <w:rPr>
          <w:rFonts w:ascii="Arial" w:cs="Arial" w:eastAsia="Arial" w:hAnsi="Arial"/>
          <w:sz w:val="20"/>
          <w:szCs w:val="20"/>
          <w:color w:val="0000FF"/>
        </w:rPr>
      </w:pPr>
      <w:r>
        <w:rPr>
          <w:rFonts w:ascii="Arial" w:cs="Arial" w:eastAsia="Arial" w:hAnsi="Arial"/>
          <w:sz w:val="20"/>
          <w:szCs w:val="20"/>
          <w:u w:val="single" w:color="auto"/>
          <w:color w:val="0000FF"/>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191" w:lineRule="exact"/>
        <w:rPr>
          <w:rFonts w:ascii="Arial" w:cs="Arial" w:eastAsia="Arial" w:hAnsi="Arial"/>
          <w:sz w:val="20"/>
          <w:szCs w:val="20"/>
          <w:color w:val="0000FF"/>
        </w:rPr>
      </w:pPr>
    </w:p>
    <w:p>
      <w:pPr>
        <w:jc w:val="both"/>
        <w:ind w:firstLine="656"/>
        <w:spacing w:after="0" w:line="250" w:lineRule="auto"/>
        <w:tabs>
          <w:tab w:leader="none" w:pos="1291" w:val="left"/>
        </w:tabs>
        <w:numPr>
          <w:ilvl w:val="0"/>
          <w:numId w:val="172"/>
        </w:numPr>
        <w:rPr>
          <w:rFonts w:ascii="Arial" w:cs="Arial" w:eastAsia="Arial" w:hAnsi="Arial"/>
          <w:sz w:val="20"/>
          <w:szCs w:val="20"/>
          <w:color w:val="0000FF"/>
        </w:rPr>
      </w:pPr>
      <w:r>
        <w:rPr>
          <w:rFonts w:ascii="Arial" w:cs="Arial" w:eastAsia="Arial" w:hAnsi="Arial"/>
          <w:sz w:val="20"/>
          <w:szCs w:val="20"/>
          <w:u w:val="single" w:color="auto"/>
          <w:color w:val="0000FF"/>
        </w:rPr>
        <w:t>Each party’s agreements under this Section 11.25 shall survive the resignation or replacement of the Administrative Agent, any transfer of rights or obligations by, or the replacement of, a Lender, the termination of the Commitments, or the repayment, satisfaction or discharge of any or all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[SIGNATURE PAGES </w:t>
      </w:r>
      <w:r>
        <w:rPr>
          <w:rFonts w:ascii="Arial" w:cs="Arial" w:eastAsia="Arial" w:hAnsi="Arial"/>
          <w:sz w:val="20"/>
          <w:szCs w:val="20"/>
          <w:color w:val="FF0000"/>
          <w:strike w:val="1"/>
        </w:rPr>
        <w:t>FOLLOW</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INTENTIONALLY OMITTED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1."/>
      <w:numFmt w:val="decimal"/>
      <w:start w:val="1"/>
    </w:lvl>
    <w:lvl w:ilvl="1">
      <w:lvlJc w:val="left"/>
      <w:lvlText w:val="(%2)"/>
      <w:numFmt w:val="lowerLetter"/>
      <w:start w:val="1"/>
    </w:lvl>
  </w:abstractNum>
  <w:abstractNum w:abstractNumId="2">
    <w:nsid w:val="4C04A8AF"/>
    <w:multiLevelType w:val="hybridMultilevel"/>
    <w:lvl w:ilvl="0">
      <w:lvlJc w:val="left"/>
      <w:lvlText w:val="%1"/>
      <w:numFmt w:val="decimal"/>
      <w:start w:val="1"/>
    </w:lvl>
    <w:lvl w:ilvl="1">
      <w:lvlJc w:val="left"/>
      <w:lvlText w:val="(%2)"/>
      <w:numFmt w:val="lowerLetter"/>
      <w:start w:val="4"/>
    </w:lvl>
  </w:abstractNum>
  <w:abstractNum w:abstractNumId="3">
    <w:nsid w:val="1716703B"/>
    <w:multiLevelType w:val="hybridMultilevel"/>
    <w:lvl w:ilvl="0">
      <w:lvlJc w:val="left"/>
      <w:lvlText w:val="%1."/>
      <w:numFmt w:val="decimal"/>
      <w:start w:val="3"/>
    </w:lvl>
    <w:lvl w:ilvl="1">
      <w:lvlJc w:val="left"/>
      <w:lvlText w:val="(%2)"/>
      <w:numFmt w:val="lowerLetter"/>
      <w:start w:val="1"/>
    </w:lvl>
  </w:abstractNum>
  <w:abstractNum w:abstractNumId="4">
    <w:nsid w:val="14E17E33"/>
    <w:multiLevelType w:val="hybridMultilevel"/>
    <w:lvl w:ilvl="0">
      <w:lvlJc w:val="left"/>
      <w:lvlText w:val="%1"/>
      <w:numFmt w:val="decimal"/>
      <w:start w:val="1"/>
    </w:lvl>
    <w:lvl w:ilvl="1">
      <w:lvlJc w:val="left"/>
      <w:lvlText w:val="(%2)"/>
      <w:numFmt w:val="lowerLetter"/>
      <w:start w:val="4"/>
    </w:lvl>
  </w:abstractNum>
  <w:abstractNum w:abstractNumId="5">
    <w:nsid w:val="3222E7CD"/>
    <w:multiLevelType w:val="hybridMultilevel"/>
    <w:lvl w:ilvl="0">
      <w:lvlJc w:val="left"/>
      <w:lvlText w:val="%1."/>
      <w:numFmt w:val="decimal"/>
      <w:start w:val="5"/>
    </w:lvl>
    <w:lvl w:ilvl="1">
      <w:lvlJc w:val="left"/>
      <w:lvlText w:val="(%2)"/>
      <w:numFmt w:val="lowerLetter"/>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1)"/>
      <w:numFmt w:val="decimal"/>
      <w:start w:val="1"/>
    </w:lvl>
    <w:lvl w:ilvl="1">
      <w:lvlJc w:val="left"/>
      <w:lvlText w:val="(%2)"/>
      <w:numFmt w:val="upperLetter"/>
      <w:start w:val="2"/>
    </w:lvl>
  </w:abstractNum>
  <w:abstractNum w:abstractNumId="8">
    <w:nsid w:val="2DF6D648"/>
    <w:multiLevelType w:val="hybridMultilevel"/>
    <w:lvl w:ilvl="0">
      <w:lvlJc w:val="left"/>
      <w:lvlText w:val="(%1)"/>
      <w:numFmt w:val="decimal"/>
      <w:start w:val="3"/>
    </w:lvl>
  </w:abstractNum>
  <w:abstractNum w:abstractNumId="9">
    <w:nsid w:val="46B7D447"/>
    <w:multiLevelType w:val="hybridMultilevel"/>
    <w:lvl w:ilvl="0">
      <w:lvlJc w:val="left"/>
      <w:lvlText w:val="(%1)"/>
      <w:numFmt w:val="decimal"/>
      <w:start w:val="1"/>
    </w:lvl>
  </w:abstractNum>
  <w:abstractNum w:abstractNumId="10">
    <w:nsid w:val="4A2AC315"/>
    <w:multiLevelType w:val="hybridMultilevel"/>
    <w:lvl w:ilvl="0">
      <w:lvlJc w:val="left"/>
      <w:lvlText w:val="(%1)"/>
      <w:numFmt w:val="lowerLetter"/>
      <w:start w:val="1"/>
    </w:lvl>
  </w:abstractNum>
  <w:abstractNum w:abstractNumId="11">
    <w:nsid w:val="39EE015C"/>
    <w:multiLevelType w:val="hybridMultilevel"/>
    <w:lvl w:ilvl="0">
      <w:lvlJc w:val="left"/>
      <w:lvlText w:val="(%1)"/>
      <w:numFmt w:val="decimal"/>
      <w:start w:val="2"/>
    </w:lvl>
  </w:abstractNum>
  <w:abstractNum w:abstractNumId="12">
    <w:nsid w:val="57FC4FBB"/>
    <w:multiLevelType w:val="hybridMultilevel"/>
    <w:lvl w:ilvl="0">
      <w:lvlJc w:val="left"/>
      <w:lvlText w:val="(%1)"/>
      <w:numFmt w:val="decimal"/>
      <w:start w:val="1"/>
    </w:lvl>
  </w:abstractNum>
  <w:abstractNum w:abstractNumId="13">
    <w:nsid w:val="CC1016F"/>
    <w:multiLevelType w:val="hybridMultilevel"/>
    <w:lvl w:ilvl="0">
      <w:lvlJc w:val="left"/>
      <w:lvlText w:val="(%1)"/>
      <w:numFmt w:val="decimal"/>
      <w:start w:val="4"/>
    </w:lvl>
  </w:abstractNum>
  <w:abstractNum w:abstractNumId="14">
    <w:nsid w:val="43F18422"/>
    <w:multiLevelType w:val="hybridMultilevel"/>
    <w:lvl w:ilvl="0">
      <w:lvlJc w:val="left"/>
      <w:lvlText w:val="(%1)"/>
      <w:numFmt w:val="decimal"/>
      <w:start w:val="1"/>
    </w:lvl>
  </w:abstractNum>
  <w:abstractNum w:abstractNumId="15">
    <w:nsid w:val="60EF0119"/>
    <w:multiLevelType w:val="hybridMultilevel"/>
    <w:lvl w:ilvl="0">
      <w:lvlJc w:val="left"/>
      <w:lvlText w:val="(%1)"/>
      <w:numFmt w:val="lowerRoman"/>
      <w:start w:val="10"/>
    </w:lvl>
  </w:abstractNum>
  <w:abstractNum w:abstractNumId="16">
    <w:nsid w:val="26F324BA"/>
    <w:multiLevelType w:val="hybridMultilevel"/>
    <w:lvl w:ilvl="0">
      <w:lvlJc w:val="left"/>
      <w:lvlText w:val="(%1)"/>
      <w:numFmt w:val="lowerRoman"/>
      <w:start w:val="2"/>
    </w:lvl>
  </w:abstractNum>
  <w:abstractNum w:abstractNumId="17">
    <w:nsid w:val="7F01579B"/>
    <w:multiLevelType w:val="hybridMultilevel"/>
    <w:lvl w:ilvl="0">
      <w:lvlJc w:val="left"/>
      <w:lvlText w:val="(%1)"/>
      <w:numFmt w:val="decimal"/>
      <w:start w:val="1"/>
    </w:lvl>
  </w:abstractNum>
  <w:abstractNum w:abstractNumId="18">
    <w:nsid w:val="49DA307D"/>
    <w:multiLevelType w:val="hybridMultilevel"/>
    <w:lvl w:ilvl="0">
      <w:lvlJc w:val="left"/>
      <w:lvlText w:val="(%1)"/>
      <w:numFmt w:val="lowerLetter"/>
      <w:start w:val="1"/>
    </w:lvl>
  </w:abstractNum>
  <w:abstractNum w:abstractNumId="19">
    <w:nsid w:val="7055A5F5"/>
    <w:multiLevelType w:val="hybridMultilevel"/>
    <w:lvl w:ilvl="0">
      <w:lvlJc w:val="left"/>
      <w:lvlText w:val="(%1)"/>
      <w:numFmt w:val="lowerRoman"/>
      <w:start w:val="1"/>
    </w:lvl>
  </w:abstractNum>
  <w:abstractNum w:abstractNumId="20">
    <w:nsid w:val="5FB8370B"/>
    <w:multiLevelType w:val="hybridMultilevel"/>
    <w:lvl w:ilvl="0">
      <w:lvlJc w:val="left"/>
      <w:lvlText w:val="%1"/>
      <w:numFmt w:val="lowerLetter"/>
      <w:start w:val="1"/>
    </w:lvl>
    <w:lvl w:ilvl="1">
      <w:lvlJc w:val="left"/>
      <w:lvlText w:val="(%2)"/>
      <w:numFmt w:val="lowerRoman"/>
      <w:start w:val="1"/>
    </w:lvl>
  </w:abstractNum>
  <w:abstractNum w:abstractNumId="21">
    <w:nsid w:val="50801EE1"/>
    <w:multiLevelType w:val="hybridMultilevel"/>
    <w:lvl w:ilvl="0">
      <w:lvlJc w:val="left"/>
      <w:lvlText w:val="(%1)"/>
      <w:numFmt w:val="lowerLetter"/>
      <w:start w:val="2"/>
    </w:lvl>
    <w:lvl w:ilvl="1">
      <w:lvlJc w:val="left"/>
      <w:lvlText w:val="%2"/>
      <w:numFmt w:val="lowerRoman"/>
      <w:start w:val="1"/>
    </w:lvl>
  </w:abstractNum>
  <w:abstractNum w:abstractNumId="22">
    <w:nsid w:val="488AC1A"/>
    <w:multiLevelType w:val="hybridMultilevel"/>
    <w:lvl w:ilvl="0">
      <w:lvlJc w:val="left"/>
      <w:lvlText w:val="(%1)"/>
      <w:numFmt w:val="lowerLetter"/>
      <w:start w:val="2"/>
    </w:lvl>
  </w:abstractNum>
  <w:abstractNum w:abstractNumId="23">
    <w:nsid w:val="5FB8011C"/>
    <w:multiLevelType w:val="hybridMultilevel"/>
    <w:lvl w:ilvl="0">
      <w:lvlJc w:val="left"/>
      <w:lvlText w:val="(%1)"/>
      <w:numFmt w:val="lowerRoman"/>
      <w:start w:val="1"/>
    </w:lvl>
  </w:abstractNum>
  <w:abstractNum w:abstractNumId="24">
    <w:nsid w:val="6AA78F7F"/>
    <w:multiLevelType w:val="hybridMultilevel"/>
    <w:lvl w:ilvl="0">
      <w:lvlJc w:val="left"/>
      <w:lvlText w:val="(%1)"/>
      <w:numFmt w:val="decimal"/>
      <w:start w:val="1"/>
    </w:lvl>
  </w:abstractNum>
  <w:abstractNum w:abstractNumId="25">
    <w:nsid w:val="7672BD23"/>
    <w:multiLevelType w:val="hybridMultilevel"/>
    <w:lvl w:ilvl="0">
      <w:lvlJc w:val="left"/>
      <w:lvlText w:val="(%1)"/>
      <w:numFmt w:val="lowerLetter"/>
      <w:start w:val="1"/>
    </w:lvl>
  </w:abstractNum>
  <w:abstractNum w:abstractNumId="26">
    <w:nsid w:val="6FC75AF8"/>
    <w:multiLevelType w:val="hybridMultilevel"/>
    <w:lvl w:ilvl="0">
      <w:lvlJc w:val="left"/>
      <w:lvlText w:val="(%1)"/>
      <w:numFmt w:val="lowerLetter"/>
      <w:start w:val="2"/>
    </w:lvl>
  </w:abstractNum>
  <w:abstractNum w:abstractNumId="27">
    <w:nsid w:val="6A5F7029"/>
    <w:multiLevelType w:val="hybridMultilevel"/>
    <w:lvl w:ilvl="0">
      <w:lvlJc w:val="left"/>
      <w:lvlText w:val="(%1)"/>
      <w:numFmt w:val="lowerRoman"/>
      <w:start w:val="2"/>
    </w:lvl>
  </w:abstractNum>
  <w:abstractNum w:abstractNumId="28">
    <w:nsid w:val="7D5E18F8"/>
    <w:multiLevelType w:val="hybridMultilevel"/>
    <w:lvl w:ilvl="0">
      <w:lvlJc w:val="left"/>
      <w:lvlText w:val="(%1)"/>
      <w:numFmt w:val="lowerLetter"/>
      <w:start w:val="1"/>
    </w:lvl>
    <w:lvl w:ilvl="1">
      <w:lvlJc w:val="left"/>
      <w:lvlText w:val="(%2)"/>
      <w:numFmt w:val="lowerRoman"/>
      <w:start w:val="2"/>
    </w:lvl>
  </w:abstractNum>
  <w:abstractNum w:abstractNumId="29">
    <w:nsid w:val="5F3534A4"/>
    <w:multiLevelType w:val="hybridMultilevel"/>
    <w:lvl w:ilvl="0">
      <w:lvlJc w:val="left"/>
      <w:lvlText w:val="(%1)"/>
      <w:numFmt w:val="lowerLetter"/>
      <w:start w:val="1"/>
    </w:lvl>
  </w:abstractNum>
  <w:abstractNum w:abstractNumId="30">
    <w:nsid w:val="73A1821B"/>
    <w:multiLevelType w:val="hybridMultilevel"/>
    <w:lvl w:ilvl="0">
      <w:lvlJc w:val="left"/>
      <w:lvlText w:val="(%1)"/>
      <w:numFmt w:val="lowerLetter"/>
      <w:start w:val="2"/>
    </w:lvl>
  </w:abstractNum>
  <w:abstractNum w:abstractNumId="31">
    <w:nsid w:val="7DE67713"/>
    <w:multiLevelType w:val="hybridMultilevel"/>
    <w:lvl w:ilvl="0">
      <w:lvlJc w:val="left"/>
      <w:lvlText w:val="(%1)"/>
      <w:numFmt w:val="lowerLetter"/>
      <w:start w:val="1"/>
    </w:lvl>
  </w:abstractNum>
  <w:abstractNum w:abstractNumId="32">
    <w:nsid w:val="555C55B5"/>
    <w:multiLevelType w:val="hybridMultilevel"/>
    <w:lvl w:ilvl="0">
      <w:lvlJc w:val="left"/>
      <w:lvlText w:val="(%1)"/>
      <w:numFmt w:val="lowerLetter"/>
      <w:start w:val="3"/>
    </w:lvl>
  </w:abstractNum>
  <w:abstractNum w:abstractNumId="33">
    <w:nsid w:val="3FA62ACA"/>
    <w:multiLevelType w:val="hybridMultilevel"/>
    <w:lvl w:ilvl="0">
      <w:lvlJc w:val="left"/>
      <w:lvlText w:val="(%1)"/>
      <w:numFmt w:val="lowerLetter"/>
      <w:start w:val="1"/>
    </w:lvl>
  </w:abstractNum>
  <w:abstractNum w:abstractNumId="34">
    <w:nsid w:val="14FCE74E"/>
    <w:multiLevelType w:val="hybridMultilevel"/>
    <w:lvl w:ilvl="0">
      <w:lvlJc w:val="left"/>
      <w:lvlText w:val="(%1)"/>
      <w:numFmt w:val="lowerLetter"/>
      <w:start w:val="1"/>
    </w:lvl>
  </w:abstractNum>
  <w:abstractNum w:abstractNumId="35">
    <w:nsid w:val="6A3DD3E8"/>
    <w:multiLevelType w:val="hybridMultilevel"/>
    <w:lvl w:ilvl="0">
      <w:lvlJc w:val="left"/>
      <w:lvlText w:val="(%1)"/>
      <w:numFmt w:val="lowerLetter"/>
      <w:start w:val="1"/>
    </w:lvl>
  </w:abstractNum>
  <w:abstractNum w:abstractNumId="36">
    <w:nsid w:val="71C91298"/>
    <w:multiLevelType w:val="hybridMultilevel"/>
    <w:lvl w:ilvl="0">
      <w:lvlJc w:val="left"/>
      <w:lvlText w:val="(%1)"/>
      <w:numFmt w:val="lowerRoman"/>
      <w:start w:val="1"/>
    </w:lvl>
  </w:abstractNum>
  <w:abstractNum w:abstractNumId="37">
    <w:nsid w:val="9DAF632"/>
    <w:multiLevelType w:val="hybridMultilevel"/>
    <w:lvl w:ilvl="0">
      <w:lvlJc w:val="left"/>
      <w:lvlText w:val="(%1)"/>
      <w:numFmt w:val="lowerLetter"/>
      <w:start w:val="1"/>
    </w:lvl>
  </w:abstractNum>
  <w:abstractNum w:abstractNumId="38">
    <w:nsid w:val="53299938"/>
    <w:multiLevelType w:val="hybridMultilevel"/>
    <w:lvl w:ilvl="0">
      <w:lvlJc w:val="left"/>
      <w:lvlText w:val="(%1)"/>
      <w:numFmt w:val="lowerLetter"/>
      <w:start w:val="2"/>
    </w:lvl>
  </w:abstractNum>
  <w:abstractNum w:abstractNumId="39">
    <w:nsid w:val="1FBFE8E0"/>
    <w:multiLevelType w:val="hybridMultilevel"/>
    <w:lvl w:ilvl="0">
      <w:lvlJc w:val="left"/>
      <w:lvlText w:val="(%1)"/>
      <w:numFmt w:val="lowerLetter"/>
      <w:start w:val="5"/>
    </w:lvl>
  </w:abstractNum>
  <w:abstractNum w:abstractNumId="40">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1D545C4D"/>
    <w:multiLevelType w:val="hybridMultilevel"/>
    <w:lvl w:ilvl="0">
      <w:lvlJc w:val="left"/>
      <w:lvlText w:val="(%1)"/>
      <w:numFmt w:val="lowerRoman"/>
      <w:start w:val="3"/>
    </w:lvl>
    <w:lvl w:ilvl="1">
      <w:lvlJc w:val="left"/>
      <w:lvlText w:val="(%2)"/>
      <w:numFmt w:val="upperLetter"/>
      <w:start w:val="1"/>
    </w:lvl>
  </w:abstractNum>
  <w:abstractNum w:abstractNumId="42">
    <w:nsid w:val="59ADEA3D"/>
    <w:multiLevelType w:val="hybridMultilevel"/>
    <w:lvl w:ilvl="0">
      <w:lvlJc w:val="left"/>
      <w:lvlText w:val="%1"/>
      <w:numFmt w:val="lowerLetter"/>
      <w:start w:val="1"/>
    </w:lvl>
    <w:lvl w:ilvl="1">
      <w:lvlJc w:val="left"/>
      <w:lvlText w:val="(%2)"/>
      <w:numFmt w:val="lowerRoman"/>
      <w:start w:val="6"/>
    </w:lvl>
  </w:abstractNum>
  <w:abstractNum w:abstractNumId="43">
    <w:nsid w:val="288F1A34"/>
    <w:multiLevelType w:val="hybridMultilevel"/>
    <w:lvl w:ilvl="0">
      <w:lvlJc w:val="left"/>
      <w:lvlText w:val="(%1)"/>
      <w:numFmt w:val="lowerLetter"/>
      <w:start w:val="2"/>
    </w:lvl>
    <w:lvl w:ilvl="1">
      <w:lvlJc w:val="left"/>
      <w:lvlText w:val="(%2)"/>
      <w:numFmt w:val="lowerRoman"/>
      <w:start w:val="1"/>
    </w:lvl>
  </w:abstractNum>
  <w:abstractNum w:abstractNumId="44">
    <w:nsid w:val="2A155DBC"/>
    <w:multiLevelType w:val="hybridMultilevel"/>
    <w:lvl w:ilvl="0">
      <w:lvlJc w:val="left"/>
      <w:lvlText w:val="%1"/>
      <w:numFmt w:val="lowerLetter"/>
      <w:start w:val="1"/>
    </w:lvl>
    <w:lvl w:ilvl="1">
      <w:lvlJc w:val="left"/>
      <w:lvlText w:val="(%2)"/>
      <w:numFmt w:val="lowerRoman"/>
      <w:start w:val="3"/>
    </w:lvl>
  </w:abstractNum>
  <w:abstractNum w:abstractNumId="45">
    <w:nsid w:val="1D9F6E5F"/>
    <w:multiLevelType w:val="hybridMultilevel"/>
    <w:lvl w:ilvl="0">
      <w:lvlJc w:val="left"/>
      <w:lvlText w:val="(%1)"/>
      <w:numFmt w:val="lowerLetter"/>
      <w:start w:val="3"/>
    </w:lvl>
    <w:lvl w:ilvl="1">
      <w:lvlJc w:val="left"/>
      <w:lvlText w:val="(%2)"/>
      <w:numFmt w:val="lowerRoman"/>
      <w:start w:val="1"/>
    </w:lvl>
  </w:abstractNum>
  <w:abstractNum w:abstractNumId="46">
    <w:nsid w:val="97E1B4E"/>
    <w:multiLevelType w:val="hybridMultilevel"/>
    <w:lvl w:ilvl="0">
      <w:lvlJc w:val="left"/>
      <w:lvlText w:val="(%1)"/>
      <w:numFmt w:val="lowerRoman"/>
      <w:start w:val="2"/>
    </w:lvl>
  </w:abstractNum>
  <w:abstractNum w:abstractNumId="47">
    <w:nsid w:val="51088277"/>
    <w:multiLevelType w:val="hybridMultilevel"/>
    <w:lvl w:ilvl="0">
      <w:lvlJc w:val="left"/>
      <w:lvlText w:val="%1"/>
      <w:numFmt w:val="lowerLetter"/>
      <w:start w:val="1"/>
    </w:lvl>
    <w:lvl w:ilvl="1">
      <w:lvlJc w:val="left"/>
      <w:lvlText w:val="(%2)"/>
      <w:numFmt w:val="lowerRoman"/>
      <w:start w:val="5"/>
    </w:lvl>
  </w:abstractNum>
  <w:abstractNum w:abstractNumId="48">
    <w:nsid w:val="1CA0C5FA"/>
    <w:multiLevelType w:val="hybridMultilevel"/>
    <w:lvl w:ilvl="0">
      <w:lvlJc w:val="left"/>
      <w:lvlText w:val="(%1)"/>
      <w:numFmt w:val="lowerLetter"/>
      <w:start w:val="4"/>
    </w:lvl>
    <w:lvl w:ilvl="1">
      <w:lvlJc w:val="left"/>
      <w:lvlText w:val="(%2)"/>
      <w:numFmt w:val="lowerRoman"/>
      <w:start w:val="1"/>
    </w:lvl>
  </w:abstractNum>
  <w:abstractNum w:abstractNumId="49">
    <w:nsid w:val="53584BCB"/>
    <w:multiLevelType w:val="hybridMultilevel"/>
    <w:lvl w:ilvl="0">
      <w:lvlJc w:val="left"/>
      <w:lvlText w:val="(%1)"/>
      <w:numFmt w:val="lowerLetter"/>
      <w:start w:val="5"/>
    </w:lvl>
    <w:lvl w:ilvl="1">
      <w:lvlJc w:val="left"/>
      <w:lvlText w:val="(%2)"/>
      <w:numFmt w:val="lowerRoman"/>
      <w:start w:val="1"/>
    </w:lvl>
  </w:abstractNum>
  <w:abstractNum w:abstractNumId="50">
    <w:nsid w:val="415E286C"/>
    <w:multiLevelType w:val="hybridMultilevel"/>
    <w:lvl w:ilvl="0">
      <w:lvlJc w:val="left"/>
      <w:lvlText w:val="(%1)"/>
      <w:numFmt w:val="lowerLetter"/>
      <w:start w:val="6"/>
    </w:lvl>
  </w:abstractNum>
  <w:abstractNum w:abstractNumId="51">
    <w:nsid w:val="7C58FD05"/>
    <w:multiLevelType w:val="hybridMultilevel"/>
    <w:lvl w:ilvl="0">
      <w:lvlJc w:val="left"/>
      <w:lvlText w:val="(%1)"/>
      <w:numFmt w:val="lowerLetter"/>
      <w:start w:val="8"/>
    </w:lvl>
  </w:abstractNum>
  <w:abstractNum w:abstractNumId="52">
    <w:nsid w:val="23D86AAC"/>
    <w:multiLevelType w:val="hybridMultilevel"/>
    <w:lvl w:ilvl="0">
      <w:lvlJc w:val="left"/>
      <w:lvlText w:val="%1"/>
      <w:numFmt w:val="lowerLetter"/>
      <w:start w:val="1"/>
    </w:lvl>
    <w:lvl w:ilvl="1">
      <w:lvlJc w:val="left"/>
      <w:lvlText w:val="(%2)"/>
      <w:numFmt w:val="lowerLetter"/>
      <w:start w:val="1"/>
    </w:lvl>
  </w:abstractNum>
  <w:abstractNum w:abstractNumId="53">
    <w:nsid w:val="45E6D486"/>
    <w:multiLevelType w:val="hybridMultilevel"/>
    <w:lvl w:ilvl="0">
      <w:lvlJc w:val="left"/>
      <w:lvlText w:val="(%1)"/>
      <w:numFmt w:val="lowerLetter"/>
      <w:start w:val="61"/>
    </w:lvl>
    <w:lvl w:ilvl="1">
      <w:lvlJc w:val="left"/>
      <w:lvlText w:val="(%2)"/>
      <w:numFmt w:val="lowerLetter"/>
      <w:start w:val="2"/>
    </w:lvl>
  </w:abstractNum>
  <w:abstractNum w:abstractNumId="54">
    <w:nsid w:val="5C10FE21"/>
    <w:multiLevelType w:val="hybridMultilevel"/>
    <w:lvl w:ilvl="0">
      <w:lvlJc w:val="left"/>
      <w:lvlText w:val="(%1)"/>
      <w:numFmt w:val="lowerLetter"/>
      <w:start w:val="3"/>
    </w:lvl>
    <w:lvl w:ilvl="1">
      <w:lvlJc w:val="left"/>
      <w:lvlText w:val="(%2)"/>
      <w:numFmt w:val="lowerRoman"/>
      <w:start w:val="1"/>
    </w:lvl>
  </w:abstractNum>
  <w:abstractNum w:abstractNumId="55">
    <w:nsid w:val="E7FFA2B"/>
    <w:multiLevelType w:val="hybridMultilevel"/>
    <w:lvl w:ilvl="0">
      <w:lvlJc w:val="left"/>
      <w:lvlText w:val="(%1)"/>
      <w:numFmt w:val="lowerLetter"/>
      <w:start w:val="4"/>
    </w:lvl>
    <w:lvl w:ilvl="1">
      <w:lvlJc w:val="left"/>
      <w:lvlText w:val="(%2)"/>
      <w:numFmt w:val="lowerRoman"/>
      <w:start w:val="1"/>
    </w:lvl>
  </w:abstractNum>
  <w:abstractNum w:abstractNumId="56">
    <w:nsid w:val="3C5991AA"/>
    <w:multiLevelType w:val="hybridMultilevel"/>
    <w:lvl w:ilvl="0">
      <w:lvlJc w:val="left"/>
      <w:lvlText w:val="(%1)"/>
      <w:numFmt w:val="lowerLetter"/>
      <w:start w:val="1"/>
    </w:lvl>
    <w:lvl w:ilvl="1">
      <w:lvlJc w:val="left"/>
      <w:lvlText w:val="(%2)"/>
      <w:numFmt w:val="lowerLetter"/>
      <w:start w:val="9"/>
    </w:lvl>
  </w:abstractNum>
  <w:abstractNum w:abstractNumId="57">
    <w:nsid w:val="4BD8591A"/>
    <w:multiLevelType w:val="hybridMultilevel"/>
    <w:lvl w:ilvl="0">
      <w:lvlJc w:val="left"/>
      <w:lvlText w:val="%1"/>
      <w:numFmt w:val="lowerRoman"/>
      <w:start w:val="1"/>
    </w:lvl>
    <w:lvl w:ilvl="1">
      <w:lvlJc w:val="left"/>
      <w:lvlText w:val="(%2)"/>
      <w:numFmt w:val="lowerRoman"/>
      <w:start w:val="2"/>
    </w:lvl>
  </w:abstractNum>
  <w:abstractNum w:abstractNumId="58">
    <w:nsid w:val="78DF6A55"/>
    <w:multiLevelType w:val="hybridMultilevel"/>
    <w:lvl w:ilvl="0">
      <w:lvlJc w:val="left"/>
      <w:lvlText w:val="(%1)"/>
      <w:numFmt w:val="lowerRoman"/>
      <w:start w:val="1"/>
    </w:lvl>
    <w:lvl w:ilvl="1">
      <w:lvlJc w:val="left"/>
      <w:lvlText w:val="%2"/>
      <w:numFmt w:val="lowerRoman"/>
      <w:start w:val="1"/>
    </w:lvl>
  </w:abstractNum>
  <w:abstractNum w:abstractNumId="59">
    <w:nsid w:val="39B7AAA2"/>
    <w:multiLevelType w:val="hybridMultilevel"/>
    <w:lvl w:ilvl="0">
      <w:lvlJc w:val="left"/>
      <w:lvlText w:val="(%1)"/>
      <w:numFmt w:val="lowerLetter"/>
      <w:start w:val="2"/>
    </w:lvl>
    <w:lvl w:ilvl="1">
      <w:lvlJc w:val="left"/>
      <w:lvlText w:val="(%2)"/>
      <w:numFmt w:val="lowerRoman"/>
      <w:start w:val="1"/>
    </w:lvl>
  </w:abstractNum>
  <w:abstractNum w:abstractNumId="60">
    <w:nsid w:val="2B0D8DBE"/>
    <w:multiLevelType w:val="hybridMultilevel"/>
    <w:lvl w:ilvl="0">
      <w:lvlJc w:val="left"/>
      <w:lvlText w:val="(%1)"/>
      <w:numFmt w:val="lowerLetter"/>
      <w:start w:val="1"/>
    </w:lvl>
  </w:abstractNum>
  <w:abstractNum w:abstractNumId="61">
    <w:nsid w:val="6C80EC70"/>
    <w:multiLevelType w:val="hybridMultilevel"/>
    <w:lvl w:ilvl="0">
      <w:lvlJc w:val="left"/>
      <w:lvlText w:val="(%1)"/>
      <w:numFmt w:val="lowerLetter"/>
      <w:start w:val="1"/>
    </w:lvl>
    <w:lvl w:ilvl="1">
      <w:lvlJc w:val="left"/>
      <w:lvlText w:val="(%2)"/>
      <w:numFmt w:val="lowerRoman"/>
      <w:start w:val="2"/>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Letter"/>
      <w:start w:val="2"/>
    </w:lvl>
    <w:lvl w:ilvl="1">
      <w:lvlJc w:val="left"/>
      <w:lvlText w:val="(%2)"/>
      <w:numFmt w:val="lowerRoman"/>
      <w:start w:val="1"/>
    </w:lvl>
  </w:abstractNum>
  <w:abstractNum w:abstractNumId="64">
    <w:nsid w:val="2C27173B"/>
    <w:multiLevelType w:val="hybridMultilevel"/>
    <w:lvl w:ilvl="0">
      <w:lvlJc w:val="left"/>
      <w:lvlText w:val="(%1)"/>
      <w:numFmt w:val="lowerLetter"/>
      <w:start w:val="1"/>
    </w:lvl>
  </w:abstractNum>
  <w:abstractNum w:abstractNumId="65">
    <w:nsid w:val="4C9B0904"/>
    <w:multiLevelType w:val="hybridMultilevel"/>
    <w:lvl w:ilvl="0">
      <w:lvlJc w:val="left"/>
      <w:lvlText w:val="(%1)"/>
      <w:numFmt w:val="lowerLetter"/>
      <w:start w:val="2"/>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1"/>
    </w:lvl>
    <w:lvl w:ilvl="1">
      <w:lvlJc w:val="left"/>
      <w:lvlText w:val="(%2)"/>
      <w:numFmt w:val="lowerRoman"/>
      <w:start w:val="2"/>
    </w:lvl>
  </w:abstractNum>
  <w:abstractNum w:abstractNumId="68">
    <w:nsid w:val="5675FF36"/>
    <w:multiLevelType w:val="hybridMultilevel"/>
    <w:lvl w:ilvl="0">
      <w:lvlJc w:val="left"/>
      <w:lvlText w:val="(%1)"/>
      <w:numFmt w:val="lowerLetter"/>
      <w:start w:val="3"/>
    </w:lvl>
    <w:lvl w:ilvl="1">
      <w:lvlJc w:val="left"/>
      <w:lvlText w:val="%2"/>
      <w:numFmt w:val="lowerRoman"/>
      <w:start w:val="1"/>
    </w:lvl>
  </w:abstractNum>
  <w:abstractNum w:abstractNumId="69">
    <w:nsid w:val="3DD15094"/>
    <w:multiLevelType w:val="hybridMultilevel"/>
    <w:lvl w:ilvl="0">
      <w:lvlJc w:val="left"/>
      <w:lvlText w:val="(%1)"/>
      <w:numFmt w:val="lowerRoman"/>
      <w:start w:val="1"/>
    </w:lvl>
  </w:abstractNum>
  <w:abstractNum w:abstractNumId="70">
    <w:nsid w:val="3DB012B3"/>
    <w:multiLevelType w:val="hybridMultilevel"/>
    <w:lvl w:ilvl="0">
      <w:lvlJc w:val="left"/>
      <w:lvlText w:val="(%1)"/>
      <w:numFmt w:val="lowerLetter"/>
      <w:start w:val="1"/>
    </w:lvl>
  </w:abstractNum>
  <w:abstractNum w:abstractNumId="71">
    <w:nsid w:val="2708C9AF"/>
    <w:multiLevelType w:val="hybridMultilevel"/>
    <w:lvl w:ilvl="0">
      <w:lvlJc w:val="left"/>
      <w:lvlText w:val="(%1)"/>
      <w:numFmt w:val="lowerLetter"/>
      <w:start w:val="3"/>
    </w:lvl>
  </w:abstractNum>
  <w:abstractNum w:abstractNumId="72">
    <w:nsid w:val="5B25ACE2"/>
    <w:multiLevelType w:val="hybridMultilevel"/>
    <w:lvl w:ilvl="0">
      <w:lvlJc w:val="left"/>
      <w:lvlText w:val="(%1)"/>
      <w:numFmt w:val="lowerLetter"/>
      <w:start w:val="1"/>
    </w:lvl>
  </w:abstractNum>
  <w:abstractNum w:abstractNumId="73">
    <w:nsid w:val="175DFCF0"/>
    <w:multiLevelType w:val="hybridMultilevel"/>
    <w:lvl w:ilvl="0">
      <w:lvlJc w:val="left"/>
      <w:lvlText w:val="(%1)"/>
      <w:numFmt w:val="lowerLetter"/>
      <w:start w:val="61"/>
    </w:lvl>
    <w:lvl w:ilvl="1">
      <w:lvlJc w:val="left"/>
      <w:lvlText w:val="(%2)"/>
      <w:numFmt w:val="lowerLetter"/>
      <w:start w:val="2"/>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Roman"/>
      <w:start w:val="1"/>
    </w:lvl>
    <w:lvl w:ilvl="1">
      <w:lvlJc w:val="left"/>
      <w:lvlText w:val="(%2)"/>
      <w:numFmt w:val="upperLetter"/>
      <w:start w:val="1"/>
    </w:lvl>
  </w:abstractNum>
  <w:abstractNum w:abstractNumId="76">
    <w:nsid w:val="34FD6B4F"/>
    <w:multiLevelType w:val="hybridMultilevel"/>
    <w:lvl w:ilvl="0">
      <w:lvlJc w:val="left"/>
      <w:lvlText w:val="%1"/>
      <w:numFmt w:val="lowerLetter"/>
      <w:start w:val="1"/>
    </w:lvl>
    <w:lvl w:ilvl="1">
      <w:lvlJc w:val="left"/>
      <w:lvlText w:val="(%2)"/>
      <w:numFmt w:val="upperLetter"/>
      <w:start w:val="2"/>
    </w:lvl>
  </w:abstractNum>
  <w:abstractNum w:abstractNumId="77">
    <w:nsid w:val="5915FF32"/>
    <w:multiLevelType w:val="hybridMultilevel"/>
    <w:lvl w:ilvl="0">
      <w:lvlJc w:val="left"/>
      <w:lvlText w:val="(%1)"/>
      <w:numFmt w:val="lowerLetter"/>
      <w:start w:val="2"/>
    </w:lvl>
    <w:lvl w:ilvl="1">
      <w:lvlJc w:val="left"/>
      <w:lvlText w:val="%2"/>
      <w:numFmt w:val="upperLetter"/>
      <w:start w:val="1"/>
    </w:lvl>
  </w:abstractNum>
  <w:abstractNum w:abstractNumId="78">
    <w:nsid w:val="56438D15"/>
    <w:multiLevelType w:val="hybridMultilevel"/>
    <w:lvl w:ilvl="0">
      <w:lvlJc w:val="left"/>
      <w:lvlText w:val="(%1)"/>
      <w:numFmt w:val="lowerLetter"/>
      <w:start w:val="1"/>
    </w:lvl>
  </w:abstractNum>
  <w:abstractNum w:abstractNumId="79">
    <w:nsid w:val="519E3149"/>
    <w:multiLevelType w:val="hybridMultilevel"/>
    <w:lvl w:ilvl="0">
      <w:lvlJc w:val="left"/>
      <w:lvlText w:val="(%1)"/>
      <w:numFmt w:val="lowerLetter"/>
      <w:start w:val="6"/>
    </w:lvl>
    <w:lvl w:ilvl="1">
      <w:lvlJc w:val="left"/>
      <w:lvlText w:val="(%2)"/>
      <w:numFmt w:val="lowerRoman"/>
      <w:start w:val="1"/>
    </w:lvl>
  </w:abstractNum>
  <w:abstractNum w:abstractNumId="80">
    <w:nsid w:val="2C6E4AFD"/>
    <w:multiLevelType w:val="hybridMultilevel"/>
    <w:lvl w:ilvl="0">
      <w:lvlJc w:val="left"/>
      <w:lvlText w:val="(%1)"/>
      <w:numFmt w:val="lowerLetter"/>
      <w:start w:val="1"/>
    </w:lvl>
    <w:lvl w:ilvl="1">
      <w:lvlJc w:val="left"/>
      <w:lvlText w:val="(%2)"/>
      <w:numFmt w:val="lowerRoman"/>
      <w:start w:val="1"/>
    </w:lvl>
  </w:abstractNum>
  <w:abstractNum w:abstractNumId="81">
    <w:nsid w:val="17A1B582"/>
    <w:multiLevelType w:val="hybridMultilevel"/>
    <w:lvl w:ilvl="0">
      <w:lvlJc w:val="left"/>
      <w:lvlText w:val="%1"/>
      <w:numFmt w:val="lowerLetter"/>
      <w:start w:val="1"/>
    </w:lvl>
    <w:lvl w:ilvl="1">
      <w:lvlJc w:val="left"/>
      <w:lvlText w:val="(%2)"/>
      <w:numFmt w:val="lowerLetter"/>
      <w:start w:val="61"/>
    </w:lvl>
  </w:abstractNum>
  <w:abstractNum w:abstractNumId="82">
    <w:nsid w:val="4DF72E4E"/>
    <w:multiLevelType w:val="hybridMultilevel"/>
    <w:lvl w:ilvl="0">
      <w:lvlJc w:val="left"/>
      <w:lvlText w:val="(%1)"/>
      <w:numFmt w:val="lowerLetter"/>
      <w:start w:val="2"/>
    </w:lvl>
    <w:lvl w:ilvl="1">
      <w:lvlJc w:val="left"/>
      <w:lvlText w:val="(%2)"/>
      <w:numFmt w:val="lowerLetter"/>
      <w:start w:val="35"/>
    </w:lvl>
  </w:abstractNum>
  <w:abstractNum w:abstractNumId="83">
    <w:nsid w:val="5046B5A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4">
    <w:nsid w:val="5D888A08"/>
    <w:multiLevelType w:val="hybridMultilevel"/>
    <w:lvl w:ilvl="0">
      <w:lvlJc w:val="left"/>
      <w:lvlText w:val="(%1)"/>
      <w:numFmt w:val="upperLetter"/>
      <w:start w:val="2"/>
    </w:lvl>
    <w:lvl w:ilvl="1">
      <w:lvlJc w:val="left"/>
      <w:lvlText w:val="(%2)"/>
      <w:numFmt w:val="decimal"/>
      <w:start w:val="1"/>
    </w:lvl>
  </w:abstractNum>
  <w:abstractNum w:abstractNumId="85">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6">
    <w:nsid w:val="5EC6AFD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7">
    <w:nsid w:val="19E21BB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8">
    <w:nsid w:val="75E0858A"/>
    <w:multiLevelType w:val="hybridMultilevel"/>
    <w:lvl w:ilvl="0">
      <w:lvlJc w:val="left"/>
      <w:lvlText w:val="(%1)"/>
      <w:numFmt w:val="lowerLetter"/>
      <w:start w:val="7"/>
    </w:lvl>
  </w:abstractNum>
  <w:abstractNum w:abstractNumId="89">
    <w:nsid w:val="57A61A29"/>
    <w:multiLevelType w:val="hybridMultilevel"/>
    <w:lvl w:ilvl="0">
      <w:lvlJc w:val="left"/>
      <w:lvlText w:val="(%1)"/>
      <w:numFmt w:val="lowerLetter"/>
      <w:start w:val="1"/>
    </w:lvl>
  </w:abstractNum>
  <w:abstractNum w:abstractNumId="90">
    <w:nsid w:val="5399C654"/>
    <w:multiLevelType w:val="hybridMultilevel"/>
    <w:lvl w:ilvl="0">
      <w:lvlJc w:val="left"/>
      <w:lvlText w:val="(%1)"/>
      <w:numFmt w:val="lowerLetter"/>
      <w:start w:val="1"/>
    </w:lvl>
    <w:lvl w:ilvl="1">
      <w:lvlJc w:val="left"/>
      <w:lvlText w:val="(%2)"/>
      <w:numFmt w:val="lowerLetter"/>
      <w:start w:val="9"/>
    </w:lvl>
  </w:abstractNum>
  <w:abstractNum w:abstractNumId="91">
    <w:nsid w:val="20EE1348"/>
    <w:multiLevelType w:val="hybridMultilevel"/>
    <w:lvl w:ilvl="0">
      <w:lvlJc w:val="left"/>
      <w:lvlText w:val="(%1)"/>
      <w:numFmt w:val="lowerRoman"/>
      <w:start w:val="2"/>
    </w:lvl>
  </w:abstractNum>
  <w:abstractNum w:abstractNumId="92">
    <w:nsid w:val="4427069A"/>
    <w:multiLevelType w:val="hybridMultilevel"/>
    <w:lvl w:ilvl="0">
      <w:lvlJc w:val="left"/>
      <w:lvlText w:val="(%1)"/>
      <w:numFmt w:val="lowerLetter"/>
      <w:start w:val="2"/>
    </w:lvl>
  </w:abstractNum>
  <w:abstractNum w:abstractNumId="93">
    <w:nsid w:val="B37E80A"/>
    <w:multiLevelType w:val="hybridMultilevel"/>
    <w:lvl w:ilvl="0">
      <w:lvlJc w:val="left"/>
      <w:lvlText w:val="(%1)"/>
      <w:numFmt w:val="lowerLetter"/>
      <w:start w:val="1"/>
    </w:lvl>
  </w:abstractNum>
  <w:abstractNum w:abstractNumId="94">
    <w:nsid w:val="2157F6BC"/>
    <w:multiLevelType w:val="hybridMultilevel"/>
    <w:lvl w:ilvl="0">
      <w:lvlJc w:val="left"/>
      <w:lvlText w:val="(%1)"/>
      <w:numFmt w:val="lowerRoman"/>
      <w:start w:val="1"/>
    </w:lvl>
  </w:abstractNum>
  <w:abstractNum w:abstractNumId="95">
    <w:nsid w:val="704E1DD5"/>
    <w:multiLevelType w:val="hybridMultilevel"/>
    <w:lvl w:ilvl="0">
      <w:lvlJc w:val="left"/>
      <w:lvlText w:val="(%1)"/>
      <w:numFmt w:val="lowerLetter"/>
      <w:start w:val="2"/>
    </w:lvl>
  </w:abstractNum>
  <w:abstractNum w:abstractNumId="96">
    <w:nsid w:val="57D2F10E"/>
    <w:multiLevelType w:val="hybridMultilevel"/>
    <w:lvl w:ilvl="0">
      <w:lvlJc w:val="left"/>
      <w:lvlText w:val="(%1)"/>
      <w:numFmt w:val="lowerLetter"/>
      <w:start w:val="4"/>
    </w:lvl>
  </w:abstractNum>
  <w:abstractNum w:abstractNumId="97">
    <w:nsid w:val="BFFAE18"/>
    <w:multiLevelType w:val="hybridMultilevel"/>
    <w:lvl w:ilvl="0">
      <w:lvlJc w:val="left"/>
      <w:lvlText w:val="(%1)"/>
      <w:numFmt w:val="lowerLetter"/>
      <w:start w:val="1"/>
    </w:lvl>
  </w:abstractNum>
  <w:abstractNum w:abstractNumId="98">
    <w:nsid w:val="E3E47A8"/>
    <w:multiLevelType w:val="hybridMultilevel"/>
    <w:lvl w:ilvl="0">
      <w:lvlJc w:val="left"/>
      <w:lvlText w:val="(%1)"/>
      <w:numFmt w:val="lowerLetter"/>
      <w:start w:val="1"/>
    </w:lvl>
  </w:abstractNum>
  <w:abstractNum w:abstractNumId="99">
    <w:nsid w:val="2E48F044"/>
    <w:multiLevelType w:val="hybridMultilevel"/>
    <w:lvl w:ilvl="0">
      <w:lvlJc w:val="left"/>
      <w:lvlText w:val="(%1)"/>
      <w:numFmt w:val="lowerLetter"/>
      <w:start w:val="2"/>
    </w:lvl>
  </w:abstractNum>
  <w:abstractNum w:abstractNumId="100">
    <w:nsid w:val="49D0FEAC"/>
    <w:multiLevelType w:val="hybridMultilevel"/>
    <w:lvl w:ilvl="0">
      <w:lvlJc w:val="left"/>
      <w:lvlText w:val="(%1)"/>
      <w:numFmt w:val="lowerRoman"/>
      <w:start w:val="1"/>
    </w:lvl>
  </w:abstractNum>
  <w:abstractNum w:abstractNumId="101">
    <w:nsid w:val="4BEE5A5B"/>
    <w:multiLevelType w:val="hybridMultilevel"/>
    <w:lvl w:ilvl="0">
      <w:lvlJc w:val="left"/>
      <w:lvlText w:val="(%1)"/>
      <w:numFmt w:val="lowerLetter"/>
      <w:start w:val="1"/>
    </w:lvl>
  </w:abstractNum>
  <w:abstractNum w:abstractNumId="102">
    <w:nsid w:val="5551B9F3"/>
    <w:multiLevelType w:val="hybridMultilevel"/>
    <w:lvl w:ilvl="0">
      <w:lvlJc w:val="left"/>
      <w:lvlText w:val="(%1)"/>
      <w:numFmt w:val="decimal"/>
      <w:start w:val="2"/>
    </w:lvl>
    <w:lvl w:ilvl="1">
      <w:lvlJc w:val="left"/>
      <w:lvlText w:val="(%2)"/>
      <w:numFmt w:val="lowerLetter"/>
      <w:start w:val="2"/>
    </w:lvl>
  </w:abstractNum>
  <w:abstractNum w:abstractNumId="103">
    <w:nsid w:val="24F6AB8E"/>
    <w:multiLevelType w:val="hybridMultilevel"/>
    <w:lvl w:ilvl="0">
      <w:lvlJc w:val="left"/>
      <w:lvlText w:val="(%1)"/>
      <w:numFmt w:val="lowerLetter"/>
      <w:start w:val="4"/>
    </w:lvl>
  </w:abstractNum>
  <w:abstractNum w:abstractNumId="104">
    <w:nsid w:val="634C574C"/>
    <w:multiLevelType w:val="hybridMultilevel"/>
    <w:lvl w:ilvl="0">
      <w:lvlJc w:val="left"/>
      <w:lvlText w:val="(%1)"/>
      <w:numFmt w:val="lowerLetter"/>
      <w:start w:val="1"/>
    </w:lvl>
  </w:abstractNum>
  <w:abstractNum w:abstractNumId="105">
    <w:nsid w:val="24E99DD7"/>
    <w:multiLevelType w:val="hybridMultilevel"/>
    <w:lvl w:ilvl="0">
      <w:lvlJc w:val="left"/>
      <w:lvlText w:val="(%1)"/>
      <w:numFmt w:val="lowerLetter"/>
      <w:start w:val="3"/>
    </w:lvl>
  </w:abstractNum>
  <w:abstractNum w:abstractNumId="106">
    <w:nsid w:val="2A31B62D"/>
    <w:multiLevelType w:val="hybridMultilevel"/>
    <w:lvl w:ilvl="0">
      <w:lvlJc w:val="left"/>
      <w:lvlText w:val="(%1)"/>
      <w:numFmt w:val="lowerLetter"/>
      <w:start w:val="1"/>
    </w:lvl>
  </w:abstractNum>
  <w:abstractNum w:abstractNumId="107">
    <w:nsid w:val="1849C29B"/>
    <w:multiLevelType w:val="hybridMultilevel"/>
    <w:lvl w:ilvl="0">
      <w:lvlJc w:val="left"/>
      <w:lvlText w:val="(%1)"/>
      <w:numFmt w:val="lowerLetter"/>
      <w:start w:val="1"/>
    </w:lvl>
    <w:lvl w:ilvl="1">
      <w:lvlJc w:val="left"/>
      <w:lvlText w:val="(%2)"/>
      <w:numFmt w:val="lowerRoman"/>
      <w:start w:val="1"/>
    </w:lvl>
  </w:abstractNum>
  <w:abstractNum w:abstractNumId="108">
    <w:nsid w:val="7DFF9D09"/>
    <w:multiLevelType w:val="hybridMultilevel"/>
    <w:lvl w:ilvl="0">
      <w:lvlJc w:val="left"/>
      <w:lvlText w:val="%1"/>
      <w:numFmt w:val="lowerLetter"/>
      <w:start w:val="1"/>
    </w:lvl>
    <w:lvl w:ilvl="1">
      <w:lvlJc w:val="left"/>
      <w:lvlText w:val="(%2)"/>
      <w:numFmt w:val="lowerRoman"/>
      <w:start w:val="4"/>
    </w:lvl>
  </w:abstractNum>
  <w:abstractNum w:abstractNumId="109">
    <w:nsid w:val="754342"/>
    <w:multiLevelType w:val="hybridMultilevel"/>
    <w:lvl w:ilvl="0">
      <w:lvlJc w:val="left"/>
      <w:lvlText w:val="(%1)"/>
      <w:numFmt w:val="lowerLetter"/>
      <w:start w:val="6"/>
    </w:lvl>
    <w:lvl w:ilvl="1">
      <w:lvlJc w:val="left"/>
      <w:lvlText w:val="(%2)"/>
      <w:numFmt w:val="lowerRoman"/>
      <w:start w:val="1"/>
    </w:lvl>
  </w:abstractNum>
  <w:abstractNum w:abstractNumId="110">
    <w:nsid w:val="69E7F3E5"/>
    <w:multiLevelType w:val="hybridMultilevel"/>
    <w:lvl w:ilvl="0">
      <w:lvlJc w:val="left"/>
      <w:lvlText w:val="(%1)"/>
      <w:numFmt w:val="lowerLetter"/>
      <w:start w:val="1"/>
    </w:lvl>
  </w:abstractNum>
  <w:abstractNum w:abstractNumId="111">
    <w:nsid w:val="2A6DE806"/>
    <w:multiLevelType w:val="hybridMultilevel"/>
    <w:lvl w:ilvl="0">
      <w:lvlJc w:val="left"/>
      <w:lvlText w:val="%1"/>
      <w:numFmt w:val="lowerLetter"/>
      <w:start w:val="1"/>
    </w:lvl>
    <w:lvl w:ilvl="1">
      <w:lvlJc w:val="left"/>
      <w:lvlText w:val="(%2)"/>
      <w:numFmt w:val="lowerLetter"/>
      <w:start w:val="1"/>
    </w:lvl>
  </w:abstractNum>
  <w:abstractNum w:abstractNumId="112">
    <w:nsid w:val="1816F8C4"/>
    <w:multiLevelType w:val="hybridMultilevel"/>
    <w:lvl w:ilvl="0">
      <w:lvlJc w:val="left"/>
      <w:lvlText w:val="(%1)"/>
      <w:numFmt w:val="lowerLetter"/>
      <w:start w:val="35"/>
    </w:lvl>
    <w:lvl w:ilvl="1">
      <w:lvlJc w:val="left"/>
      <w:lvlText w:val="(%2)"/>
      <w:numFmt w:val="lowerLetter"/>
      <w:start w:val="2"/>
    </w:lvl>
  </w:abstractNum>
  <w:abstractNum w:abstractNumId="113">
    <w:nsid w:val="37DF2233"/>
    <w:multiLevelType w:val="hybridMultilevel"/>
    <w:lvl w:ilvl="0">
      <w:lvlJc w:val="left"/>
      <w:lvlText w:val="(%1)"/>
      <w:numFmt w:val="lowerRoman"/>
      <w:start w:val="1"/>
    </w:lvl>
  </w:abstractNum>
  <w:abstractNum w:abstractNumId="114">
    <w:nsid w:val="7AB49DAF"/>
    <w:multiLevelType w:val="hybridMultilevel"/>
    <w:lvl w:ilvl="0">
      <w:lvlJc w:val="left"/>
      <w:lvlText w:val="(%1)"/>
      <w:numFmt w:val="lowerLetter"/>
      <w:start w:val="1"/>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3"/>
    </w:lvl>
    <w:lvl w:ilvl="1">
      <w:lvlJc w:val="left"/>
      <w:lvlText w:val="(%2)"/>
      <w:numFmt w:val="lowerRoman"/>
      <w:start w:val="1"/>
    </w:lvl>
  </w:abstractNum>
  <w:abstractNum w:abstractNumId="117">
    <w:nsid w:val="597B4D84"/>
    <w:multiLevelType w:val="hybridMultilevel"/>
    <w:lvl w:ilvl="0">
      <w:lvlJc w:val="left"/>
      <w:lvlText w:val="%1"/>
      <w:numFmt w:val="lowerLetter"/>
      <w:start w:val="1"/>
    </w:lvl>
    <w:lvl w:ilvl="1">
      <w:lvlJc w:val="left"/>
      <w:lvlText w:val="(%2)"/>
      <w:numFmt w:val="lowerLetter"/>
      <w:start w:val="22"/>
    </w:lvl>
  </w:abstractNum>
  <w:abstractNum w:abstractNumId="118">
    <w:nsid w:val="F819E7F"/>
    <w:multiLevelType w:val="hybridMultilevel"/>
    <w:lvl w:ilvl="0">
      <w:lvlJc w:val="left"/>
      <w:lvlText w:val="(%1)"/>
      <w:numFmt w:val="lowerLetter"/>
      <w:start w:val="6"/>
    </w:lvl>
    <w:lvl w:ilvl="1">
      <w:lvlJc w:val="left"/>
      <w:lvlText w:val="%2"/>
      <w:numFmt w:val="lowerLetter"/>
      <w:start w:val="1"/>
    </w:lvl>
  </w:abstractNum>
  <w:abstractNum w:abstractNumId="119">
    <w:nsid w:val="57C7D42D"/>
    <w:multiLevelType w:val="hybridMultilevel"/>
    <w:lvl w:ilvl="0">
      <w:lvlJc w:val="left"/>
      <w:lvlText w:val="(%1)"/>
      <w:numFmt w:val="lowerLetter"/>
      <w:start w:val="1"/>
    </w:lvl>
  </w:abstractNum>
  <w:abstractNum w:abstractNumId="120">
    <w:nsid w:val="312167AD"/>
    <w:multiLevelType w:val="hybridMultilevel"/>
    <w:lvl w:ilvl="0">
      <w:lvlJc w:val="left"/>
      <w:lvlText w:val="(%1)"/>
      <w:numFmt w:val="lowerLetter"/>
      <w:start w:val="1"/>
    </w:lvl>
  </w:abstractNum>
  <w:abstractNum w:abstractNumId="121">
    <w:nsid w:val="631B64D4"/>
    <w:multiLevelType w:val="hybridMultilevel"/>
    <w:lvl w:ilvl="0">
      <w:lvlJc w:val="left"/>
      <w:lvlText w:val="(%1)"/>
      <w:numFmt w:val="lowerLetter"/>
      <w:start w:val="1"/>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lowerLetter"/>
      <w:start w:val="3"/>
    </w:lvl>
  </w:abstractNum>
  <w:abstractNum w:abstractNumId="124">
    <w:nsid w:val="6E534CDE"/>
    <w:multiLevelType w:val="hybridMultilevel"/>
    <w:lvl w:ilvl="0">
      <w:lvlJc w:val="left"/>
      <w:lvlText w:val="(%1)"/>
      <w:numFmt w:val="lowerLetter"/>
      <w:start w:val="17"/>
    </w:lvl>
  </w:abstractNum>
  <w:abstractNum w:abstractNumId="125">
    <w:nsid w:val="1A0DDE32"/>
    <w:multiLevelType w:val="hybridMultilevel"/>
    <w:lvl w:ilvl="0">
      <w:lvlJc w:val="left"/>
      <w:lvlText w:val="(%1)"/>
      <w:numFmt w:val="lowerLetter"/>
      <w:start w:val="1"/>
    </w:lvl>
  </w:abstractNum>
  <w:abstractNum w:abstractNumId="126">
    <w:nsid w:val="65968C1C"/>
    <w:multiLevelType w:val="hybridMultilevel"/>
    <w:lvl w:ilvl="0">
      <w:lvlJc w:val="left"/>
      <w:lvlText w:val="(%1)"/>
      <w:numFmt w:val="lowerLetter"/>
      <w:start w:val="6"/>
    </w:lvl>
  </w:abstractNum>
  <w:abstractNum w:abstractNumId="127">
    <w:nsid w:val="46263DEC"/>
    <w:multiLevelType w:val="hybridMultilevel"/>
    <w:lvl w:ilvl="0">
      <w:lvlJc w:val="left"/>
      <w:lvlText w:val="(%1)"/>
      <w:numFmt w:val="lowerLetter"/>
      <w:start w:val="14"/>
    </w:lvl>
  </w:abstractNum>
  <w:abstractNum w:abstractNumId="128">
    <w:nsid w:val="260D8C4A"/>
    <w:multiLevelType w:val="hybridMultilevel"/>
    <w:lvl w:ilvl="0">
      <w:lvlJc w:val="left"/>
      <w:lvlText w:val="(%1)"/>
      <w:numFmt w:val="lowerLetter"/>
      <w:start w:val="1"/>
    </w:lvl>
  </w:abstractNum>
  <w:abstractNum w:abstractNumId="129">
    <w:nsid w:val="73D4D3C4"/>
    <w:multiLevelType w:val="hybridMultilevel"/>
    <w:lvl w:ilvl="0">
      <w:lvlJc w:val="left"/>
      <w:lvlText w:val="(%1)"/>
      <w:numFmt w:val="lowerLetter"/>
      <w:start w:val="2"/>
    </w:lvl>
  </w:abstractNum>
  <w:abstractNum w:abstractNumId="130">
    <w:nsid w:val="746F2E30"/>
    <w:multiLevelType w:val="hybridMultilevel"/>
    <w:lvl w:ilvl="0">
      <w:lvlJc w:val="left"/>
      <w:lvlText w:val="(%1)"/>
      <w:numFmt w:val="lowerLetter"/>
      <w:start w:val="1"/>
    </w:lvl>
  </w:abstractNum>
  <w:abstractNum w:abstractNumId="131">
    <w:nsid w:val="6FDE8AF6"/>
    <w:multiLevelType w:val="hybridMultilevel"/>
    <w:lvl w:ilvl="0">
      <w:lvlJc w:val="left"/>
      <w:lvlText w:val="(%1)"/>
      <w:numFmt w:val="lowerLetter"/>
      <w:start w:val="6"/>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lowerLetter"/>
      <w:start w:val="3"/>
    </w:lvl>
  </w:abstractNum>
  <w:abstractNum w:abstractNumId="134">
    <w:nsid w:val="14D53685"/>
    <w:multiLevelType w:val="hybridMultilevel"/>
    <w:lvl w:ilvl="0">
      <w:lvlJc w:val="left"/>
      <w:lvlText w:val="(%1)"/>
      <w:numFmt w:val="lowerLetter"/>
      <w:start w:val="15"/>
    </w:lvl>
  </w:abstractNum>
  <w:abstractNum w:abstractNumId="135">
    <w:nsid w:val="230F856C"/>
    <w:multiLevelType w:val="hybridMultilevel"/>
    <w:lvl w:ilvl="0">
      <w:lvlJc w:val="left"/>
      <w:lvlText w:val="(%1)"/>
      <w:numFmt w:val="lowerLetter"/>
      <w:start w:val="1"/>
    </w:lvl>
  </w:abstractNum>
  <w:abstractNum w:abstractNumId="136">
    <w:nsid w:val="6EAA85FB"/>
    <w:multiLevelType w:val="hybridMultilevel"/>
    <w:lvl w:ilvl="0">
      <w:lvlJc w:val="left"/>
      <w:lvlText w:val="(%1)"/>
      <w:numFmt w:val="lowerLetter"/>
      <w:start w:val="1"/>
    </w:lvl>
  </w:abstractNum>
  <w:abstractNum w:abstractNumId="137">
    <w:nsid w:val="3F06ECB2"/>
    <w:multiLevelType w:val="hybridMultilevel"/>
    <w:lvl w:ilvl="0">
      <w:lvlJc w:val="left"/>
      <w:lvlText w:val="(%1)"/>
      <w:numFmt w:val="lowerLetter"/>
      <w:start w:val="3"/>
    </w:lvl>
  </w:abstractNum>
  <w:abstractNum w:abstractNumId="138">
    <w:nsid w:val="3B594807"/>
    <w:multiLevelType w:val="hybridMultilevel"/>
    <w:lvl w:ilvl="0">
      <w:lvlJc w:val="left"/>
      <w:lvlText w:val="(%1)"/>
      <w:numFmt w:val="lowerLetter"/>
      <w:start w:val="8"/>
    </w:lvl>
  </w:abstractNum>
  <w:abstractNum w:abstractNumId="139">
    <w:nsid w:val="6CAA2304"/>
    <w:multiLevelType w:val="hybridMultilevel"/>
    <w:lvl w:ilvl="0">
      <w:lvlJc w:val="left"/>
      <w:lvlText w:val="(%1)"/>
      <w:numFmt w:val="lowerLetter"/>
      <w:start w:val="1"/>
    </w:lvl>
  </w:abstractNum>
  <w:abstractNum w:abstractNumId="140">
    <w:nsid w:val="3F7C2FF4"/>
    <w:multiLevelType w:val="hybridMultilevel"/>
    <w:lvl w:ilvl="0">
      <w:lvlJc w:val="left"/>
      <w:lvlText w:val="(%1)"/>
      <w:numFmt w:val="lowerLetter"/>
      <w:start w:val="1"/>
    </w:lvl>
  </w:abstractNum>
  <w:abstractNum w:abstractNumId="141">
    <w:nsid w:val="25413BEC"/>
    <w:multiLevelType w:val="hybridMultilevel"/>
    <w:lvl w:ilvl="0">
      <w:lvlJc w:val="left"/>
      <w:lvlText w:val="(%1)"/>
      <w:numFmt w:val="lowerLetter"/>
      <w:start w:val="1"/>
    </w:lvl>
  </w:abstractNum>
  <w:abstractNum w:abstractNumId="142">
    <w:nsid w:val="17180B0B"/>
    <w:multiLevelType w:val="hybridMultilevel"/>
    <w:lvl w:ilvl="0">
      <w:lvlJc w:val="left"/>
      <w:lvlText w:val="(%1)"/>
      <w:numFmt w:val="lowerLetter"/>
      <w:start w:val="2"/>
    </w:lvl>
  </w:abstractNum>
  <w:abstractNum w:abstractNumId="143">
    <w:nsid w:val="579328B9"/>
    <w:multiLevelType w:val="hybridMultilevel"/>
    <w:lvl w:ilvl="0">
      <w:lvlJc w:val="left"/>
      <w:lvlText w:val="(%1)"/>
      <w:numFmt w:val="lowerLetter"/>
      <w:start w:val="1"/>
    </w:lvl>
  </w:abstractNum>
  <w:abstractNum w:abstractNumId="144">
    <w:nsid w:val="5D205E20"/>
    <w:multiLevelType w:val="hybridMultilevel"/>
    <w:lvl w:ilvl="0">
      <w:lvlJc w:val="left"/>
      <w:lvlText w:val="(%1)"/>
      <w:numFmt w:val="lowerLetter"/>
      <w:start w:val="1"/>
    </w:lvl>
    <w:lvl w:ilvl="1">
      <w:lvlJc w:val="left"/>
      <w:lvlText w:val="(%2)"/>
      <w:numFmt w:val="lowerRoman"/>
      <w:start w:val="1"/>
    </w:lvl>
  </w:abstractNum>
  <w:abstractNum w:abstractNumId="145">
    <w:nsid w:val="11CCA8BA"/>
    <w:multiLevelType w:val="hybridMultilevel"/>
    <w:lvl w:ilvl="0">
      <w:lvlJc w:val="left"/>
      <w:lvlText w:val="(%1)"/>
      <w:numFmt w:val="lowerLetter"/>
      <w:start w:val="4"/>
    </w:lvl>
  </w:abstractNum>
  <w:abstractNum w:abstractNumId="146">
    <w:nsid w:val="4D32AB86"/>
    <w:multiLevelType w:val="hybridMultilevel"/>
    <w:lvl w:ilvl="0">
      <w:lvlJc w:val="left"/>
      <w:lvlText w:val="(%1)"/>
      <w:numFmt w:val="lowerLetter"/>
      <w:start w:val="1"/>
    </w:lvl>
  </w:abstractNum>
  <w:abstractNum w:abstractNumId="147">
    <w:nsid w:val="3F07ACC3"/>
    <w:multiLevelType w:val="hybridMultilevel"/>
    <w:lvl w:ilvl="0">
      <w:lvlJc w:val="left"/>
      <w:lvlText w:val="(%1)"/>
      <w:numFmt w:val="lowerRoman"/>
      <w:start w:val="1"/>
    </w:lvl>
  </w:abstractNum>
  <w:abstractNum w:abstractNumId="148">
    <w:nsid w:val="6B47F63E"/>
    <w:multiLevelType w:val="hybridMultilevel"/>
    <w:lvl w:ilvl="0">
      <w:lvlJc w:val="left"/>
      <w:lvlText w:val="(%1)"/>
      <w:numFmt w:val="lowerLetter"/>
      <w:start w:val="2"/>
    </w:lvl>
  </w:abstractNum>
  <w:abstractNum w:abstractNumId="149">
    <w:nsid w:val="5CB44A05"/>
    <w:multiLevelType w:val="hybridMultilevel"/>
    <w:lvl w:ilvl="0">
      <w:lvlJc w:val="left"/>
      <w:lvlText w:val="(%1)"/>
      <w:numFmt w:val="lowerLetter"/>
      <w:start w:val="9"/>
    </w:lvl>
    <w:lvl w:ilvl="1">
      <w:lvlJc w:val="left"/>
      <w:lvlText w:val="(%2)"/>
      <w:numFmt w:val="lowerLetter"/>
      <w:start w:val="3"/>
    </w:lvl>
  </w:abstractNum>
  <w:abstractNum w:abstractNumId="150">
    <w:nsid w:val="16CF80F1"/>
    <w:multiLevelType w:val="hybridMultilevel"/>
    <w:lvl w:ilvl="0">
      <w:lvlJc w:val="left"/>
      <w:lvlText w:val="(%1)"/>
      <w:numFmt w:val="lowerLetter"/>
      <w:start w:val="4"/>
    </w:lvl>
  </w:abstractNum>
  <w:abstractNum w:abstractNumId="151">
    <w:nsid w:val="1C695DEC"/>
    <w:multiLevelType w:val="hybridMultilevel"/>
    <w:lvl w:ilvl="0">
      <w:lvlJc w:val="left"/>
      <w:lvlText w:val="(%1)"/>
      <w:numFmt w:val="lowerLetter"/>
      <w:start w:val="1"/>
    </w:lvl>
  </w:abstractNum>
  <w:abstractNum w:abstractNumId="152">
    <w:nsid w:val="3FCFAED9"/>
    <w:multiLevelType w:val="hybridMultilevel"/>
    <w:lvl w:ilvl="0">
      <w:lvlJc w:val="left"/>
      <w:lvlText w:val="%1"/>
      <w:numFmt w:val="lowerLetter"/>
      <w:start w:val="1"/>
    </w:lvl>
    <w:lvl w:ilvl="1">
      <w:lvlJc w:val="left"/>
      <w:lvlText w:val="(%2)"/>
      <w:numFmt w:val="lowerLetter"/>
      <w:start w:val="2"/>
    </w:lvl>
  </w:abstractNum>
  <w:abstractNum w:abstractNumId="153">
    <w:nsid w:val="F856867"/>
    <w:multiLevelType w:val="hybridMultilevel"/>
    <w:lvl w:ilvl="0">
      <w:lvlJc w:val="left"/>
      <w:lvlText w:val="(%1)"/>
      <w:numFmt w:val="lowerLetter"/>
      <w:start w:val="1"/>
    </w:lvl>
    <w:lvl w:ilvl="1">
      <w:lvlJc w:val="left"/>
      <w:lvlText w:val="%2"/>
      <w:numFmt w:val="lowerLetter"/>
      <w:start w:val="1"/>
    </w:lvl>
  </w:abstractNum>
  <w:abstractNum w:abstractNumId="154">
    <w:nsid w:val="11B1CC33"/>
    <w:multiLevelType w:val="hybridMultilevel"/>
    <w:lvl w:ilvl="0">
      <w:lvlJc w:val="left"/>
      <w:lvlText w:val="(%1)"/>
      <w:numFmt w:val="lowerLetter"/>
      <w:start w:val="4"/>
    </w:lvl>
  </w:abstractNum>
  <w:abstractNum w:abstractNumId="155">
    <w:nsid w:val="2E22FB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29934699"/>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57">
    <w:nsid w:val="77485850"/>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158">
    <w:nsid w:val="744939A3"/>
    <w:multiLevelType w:val="hybridMultilevel"/>
    <w:lvl w:ilvl="0">
      <w:lvlJc w:val="left"/>
      <w:lvlText w:val="(%1)"/>
      <w:numFmt w:val="lowerRoman"/>
      <w:start w:val="7"/>
    </w:lvl>
  </w:abstractNum>
  <w:abstractNum w:abstractNumId="159">
    <w:nsid w:val="4FA0D2E3"/>
    <w:multiLevelType w:val="hybridMultilevel"/>
    <w:lvl w:ilvl="0">
      <w:lvlJc w:val="left"/>
      <w:lvlText w:val="(%1)"/>
      <w:numFmt w:val="lowerLetter"/>
      <w:start w:val="3"/>
    </w:lvl>
  </w:abstractNum>
  <w:abstractNum w:abstractNumId="160">
    <w:nsid w:val="6B1D2C14"/>
    <w:multiLevelType w:val="hybridMultilevel"/>
    <w:lvl w:ilvl="0">
      <w:lvlJc w:val="left"/>
      <w:lvlText w:val="(%1)"/>
      <w:numFmt w:val="lowerLetter"/>
      <w:start w:val="4"/>
    </w:lvl>
  </w:abstractNum>
  <w:abstractNum w:abstractNumId="161">
    <w:nsid w:val="68B867D3"/>
    <w:multiLevelType w:val="hybridMultilevel"/>
    <w:lvl w:ilvl="0">
      <w:lvlJc w:val="left"/>
      <w:lvlText w:val="(%1)"/>
      <w:numFmt w:val="lowerLetter"/>
      <w:start w:val="5"/>
    </w:lvl>
  </w:abstractNum>
  <w:abstractNum w:abstractNumId="162">
    <w:nsid w:val="3F7F5DD9"/>
    <w:multiLevelType w:val="hybridMultilevel"/>
    <w:lvl w:ilvl="0">
      <w:lvlJc w:val="left"/>
      <w:lvlText w:val="(%1)"/>
      <w:numFmt w:val="lowerRoman"/>
      <w:start w:val="1"/>
    </w:lvl>
  </w:abstractNum>
  <w:abstractNum w:abstractNumId="163">
    <w:nsid w:val="2AE05A34"/>
    <w:multiLevelType w:val="hybridMultilevel"/>
    <w:lvl w:ilvl="0">
      <w:lvlJc w:val="left"/>
      <w:lvlText w:val="(%1)"/>
      <w:numFmt w:val="lowerRoman"/>
      <w:start w:val="2"/>
    </w:lvl>
  </w:abstractNum>
  <w:abstractNum w:abstractNumId="164">
    <w:nsid w:val="32794FF7"/>
    <w:multiLevelType w:val="hybridMultilevel"/>
    <w:lvl w:ilvl="0">
      <w:lvlJc w:val="left"/>
      <w:lvlText w:val="(%1)"/>
      <w:numFmt w:val="lowerLetter"/>
      <w:start w:val="1"/>
    </w:lvl>
  </w:abstractNum>
  <w:abstractNum w:abstractNumId="165">
    <w:nsid w:val="5454945E"/>
    <w:multiLevelType w:val="hybridMultilevel"/>
    <w:lvl w:ilvl="0">
      <w:lvlJc w:val="left"/>
      <w:lvlText w:val="(%1)"/>
      <w:numFmt w:val="lowerLetter"/>
      <w:start w:val="1"/>
    </w:lvl>
  </w:abstractNum>
  <w:abstractNum w:abstractNumId="166">
    <w:nsid w:val="4DEFDFA0"/>
    <w:multiLevelType w:val="hybridMultilevel"/>
    <w:lvl w:ilvl="0">
      <w:lvlJc w:val="left"/>
      <w:lvlText w:val="(%1)"/>
      <w:numFmt w:val="lowerLetter"/>
      <w:start w:val="6"/>
    </w:lvl>
  </w:abstractNum>
  <w:abstractNum w:abstractNumId="167">
    <w:nsid w:val="2123D5F2"/>
    <w:multiLevelType w:val="hybridMultilevel"/>
    <w:lvl w:ilvl="0">
      <w:lvlJc w:val="left"/>
      <w:lvlText w:val="(%1)"/>
      <w:numFmt w:val="lowerLetter"/>
      <w:start w:val="1"/>
    </w:lvl>
    <w:lvl w:ilvl="1">
      <w:lvlJc w:val="left"/>
      <w:lvlText w:val="(%2)"/>
      <w:numFmt w:val="lowerRoman"/>
      <w:start w:val="1"/>
    </w:lvl>
  </w:abstractNum>
  <w:abstractNum w:abstractNumId="168">
    <w:nsid w:val="135B8110"/>
    <w:multiLevelType w:val="hybridMultilevel"/>
    <w:lvl w:ilvl="0">
      <w:lvlJc w:val="left"/>
      <w:lvlText w:val="(%1)"/>
      <w:numFmt w:val="lowerLetter"/>
      <w:start w:val="1"/>
    </w:lvl>
  </w:abstractNum>
  <w:abstractNum w:abstractNumId="169">
    <w:nsid w:val="94927A8"/>
    <w:multiLevelType w:val="hybridMultilevel"/>
    <w:lvl w:ilvl="0">
      <w:lvlJc w:val="left"/>
      <w:lvlText w:val="(%1)"/>
      <w:numFmt w:val="lowerLetter"/>
      <w:start w:val="1"/>
    </w:lvl>
  </w:abstractNum>
  <w:abstractNum w:abstractNumId="170">
    <w:nsid w:val="DCDF8F6"/>
    <w:multiLevelType w:val="hybridMultilevel"/>
    <w:lvl w:ilvl="0">
      <w:lvlJc w:val="left"/>
      <w:lvlText w:val="%1"/>
      <w:numFmt w:val="lowerLetter"/>
      <w:start w:val="1"/>
    </w:lvl>
    <w:lvl w:ilvl="1">
      <w:lvlJc w:val="left"/>
      <w:lvlText w:val="(%2)"/>
      <w:numFmt w:val="lowerRoman"/>
      <w:start w:val="1"/>
    </w:lvl>
  </w:abstractNum>
  <w:abstractNum w:abstractNumId="171">
    <w:nsid w:val="52D7B105"/>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2021-12-22T11:46:45Z</dcterms:created>
  <dcterms:modified xsi:type="dcterms:W3CDTF">2021-12-22T11:46:45Z</dcterms:modified>
</cp:coreProperties>
</file>