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0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4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192405</wp:posOffset>
            </wp:positionV>
            <wp:extent cx="15087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343" w:lineRule="exact"/>
        <w:rPr>
          <w:sz w:val="24"/>
          <w:szCs w:val="24"/>
          <w:color w:val="auto"/>
        </w:rPr>
      </w:pPr>
    </w:p>
    <w:p>
      <w:pPr>
        <w:jc w:val="center"/>
        <w:ind w:right="40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163830</wp:posOffset>
            </wp:positionV>
            <wp:extent cx="15087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301" w:lineRule="exact"/>
        <w:rPr>
          <w:sz w:val="24"/>
          <w:szCs w:val="24"/>
          <w:color w:val="auto"/>
        </w:rPr>
      </w:pPr>
    </w:p>
    <w:p>
      <w:pPr>
        <w:jc w:val="center"/>
        <w:ind w:right="400"/>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400"/>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400"/>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Date of Report (Date of earliest event reported): February 20,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213995</wp:posOffset>
            </wp:positionV>
            <wp:extent cx="15087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375" w:lineRule="exact"/>
        <w:rPr>
          <w:sz w:val="24"/>
          <w:szCs w:val="24"/>
          <w:color w:val="auto"/>
        </w:rPr>
      </w:pPr>
    </w:p>
    <w:p>
      <w:pPr>
        <w:jc w:val="center"/>
        <w:ind w:right="400"/>
        <w:spacing w:after="0"/>
        <w:rPr>
          <w:sz w:val="20"/>
          <w:szCs w:val="20"/>
          <w:color w:val="auto"/>
        </w:rPr>
      </w:pPr>
      <w:r>
        <w:rPr>
          <w:rFonts w:ascii="Arial" w:cs="Arial" w:eastAsia="Arial" w:hAnsi="Arial"/>
          <w:sz w:val="39"/>
          <w:szCs w:val="39"/>
          <w:b w:val="1"/>
          <w:bCs w:val="1"/>
          <w:color w:val="auto"/>
        </w:rPr>
        <w:t>BRADY CORPORATION</w:t>
      </w:r>
    </w:p>
    <w:p>
      <w:pPr>
        <w:spacing w:after="0" w:line="37"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150495</wp:posOffset>
            </wp:positionV>
            <wp:extent cx="15087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line="285"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Commission File Number 1-14959</w:t>
      </w:r>
    </w:p>
    <w:p>
      <w:pPr>
        <w:sectPr>
          <w:pgSz w:w="11900" w:h="16838" w:orient="portrait"/>
          <w:cols w:equalWidth="0" w:num="1">
            <w:col w:w="10840"/>
          </w:cols>
          <w:pgMar w:left="740" w:top="670" w:right="319" w:bottom="1440" w:gutter="0" w:footer="0" w:header="0"/>
        </w:sectPr>
      </w:pPr>
    </w:p>
    <w:p>
      <w:pPr>
        <w:spacing w:after="0" w:line="200" w:lineRule="exact"/>
        <w:rPr>
          <w:sz w:val="24"/>
          <w:szCs w:val="24"/>
          <w:color w:val="auto"/>
        </w:rPr>
      </w:pPr>
    </w:p>
    <w:p>
      <w:pPr>
        <w:spacing w:after="0" w:line="243" w:lineRule="exact"/>
        <w:rPr>
          <w:sz w:val="24"/>
          <w:szCs w:val="24"/>
          <w:color w:val="auto"/>
        </w:rPr>
      </w:pPr>
    </w:p>
    <w:p>
      <w:pPr>
        <w:ind w:left="210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39-0971239</w:t>
      </w:r>
    </w:p>
    <w:p>
      <w:pPr>
        <w:spacing w:after="0" w:line="74" w:lineRule="exact"/>
        <w:rPr>
          <w:sz w:val="24"/>
          <w:szCs w:val="24"/>
          <w:color w:val="auto"/>
        </w:rPr>
      </w:pPr>
    </w:p>
    <w:p>
      <w:pPr>
        <w:sectPr>
          <w:pgSz w:w="11900" w:h="16838" w:orient="portrait"/>
          <w:cols w:equalWidth="0" w:num="2">
            <w:col w:w="6920" w:space="720"/>
            <w:col w:w="3200"/>
          </w:cols>
          <w:pgMar w:left="740" w:top="670" w:right="319" w:bottom="1440" w:gutter="0" w:footer="0" w:header="0"/>
          <w:type w:val="continuous"/>
        </w:sectPr>
      </w:pPr>
    </w:p>
    <w:p>
      <w:pPr>
        <w:jc w:val="center"/>
        <w:ind w:right="1880"/>
        <w:spacing w:after="0"/>
        <w:rPr>
          <w:sz w:val="20"/>
          <w:szCs w:val="20"/>
          <w:color w:val="auto"/>
        </w:rPr>
      </w:pPr>
      <w:r>
        <w:rPr>
          <w:rFonts w:ascii="Arial" w:cs="Arial" w:eastAsia="Arial" w:hAnsi="Arial"/>
          <w:sz w:val="13"/>
          <w:szCs w:val="13"/>
          <w:b w:val="1"/>
          <w:bCs w:val="1"/>
          <w:color w:val="auto"/>
        </w:rPr>
        <w:t>(State of</w:t>
      </w:r>
    </w:p>
    <w:p>
      <w:pPr>
        <w:jc w:val="center"/>
        <w:ind w:right="1880"/>
        <w:spacing w:after="0"/>
        <w:rPr>
          <w:sz w:val="20"/>
          <w:szCs w:val="20"/>
          <w:color w:val="auto"/>
        </w:rPr>
      </w:pPr>
      <w:r>
        <w:rPr>
          <w:rFonts w:ascii="Arial" w:cs="Arial" w:eastAsia="Arial" w:hAnsi="Arial"/>
          <w:sz w:val="11"/>
          <w:szCs w:val="11"/>
          <w:b w:val="1"/>
          <w:bCs w:val="1"/>
          <w:color w:val="auto"/>
        </w:rPr>
        <w:t>Incorporation)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3"/>
          <w:szCs w:val="13"/>
          <w:b w:val="1"/>
          <w:bCs w:val="1"/>
          <w:color w:val="auto"/>
        </w:rPr>
        <w:t>(IRS Employer</w:t>
      </w:r>
    </w:p>
    <w:p>
      <w:pPr>
        <w:jc w:val="center"/>
        <w:ind w:right="2300"/>
        <w:spacing w:after="0"/>
        <w:rPr>
          <w:sz w:val="20"/>
          <w:szCs w:val="20"/>
          <w:color w:val="auto"/>
        </w:rPr>
      </w:pPr>
      <w:r>
        <w:rPr>
          <w:rFonts w:ascii="Arial" w:cs="Arial" w:eastAsia="Arial" w:hAnsi="Arial"/>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6800" w:space="720"/>
            <w:col w:w="3320"/>
          </w:cols>
          <w:pgMar w:left="740" w:top="670" w:right="319" w:bottom="1440" w:gutter="0" w:footer="0" w:header="0"/>
          <w:type w:val="continuous"/>
        </w:sectPr>
      </w:pPr>
    </w:p>
    <w:p>
      <w:pPr>
        <w:ind w:left="4240"/>
        <w:spacing w:after="0"/>
        <w:rPr>
          <w:sz w:val="20"/>
          <w:szCs w:val="20"/>
          <w:color w:val="auto"/>
        </w:rPr>
      </w:pPr>
      <w:r>
        <w:rPr>
          <w:rFonts w:ascii="Arial" w:cs="Arial" w:eastAsia="Arial" w:hAnsi="Arial"/>
          <w:sz w:val="16"/>
          <w:szCs w:val="16"/>
          <w:b w:val="1"/>
          <w:bCs w:val="1"/>
          <w:color w:val="auto"/>
        </w:rPr>
        <w:t>6555 West Good Hope Road</w:t>
      </w:r>
    </w:p>
    <w:p>
      <w:pPr>
        <w:spacing w:after="0" w:line="1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Milwaukee, Wisconsin 53223</w:t>
      </w:r>
    </w:p>
    <w:p>
      <w:pPr>
        <w:spacing w:after="0" w:line="3" w:lineRule="exact"/>
        <w:rPr>
          <w:sz w:val="24"/>
          <w:szCs w:val="24"/>
          <w:color w:val="auto"/>
        </w:rPr>
      </w:pPr>
    </w:p>
    <w:p>
      <w:pPr>
        <w:jc w:val="center"/>
        <w:ind w:right="420"/>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153"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(414) 358-6600</w:t>
      </w:r>
    </w:p>
    <w:p>
      <w:pPr>
        <w:spacing w:after="0" w:line="30" w:lineRule="exact"/>
        <w:rPr>
          <w:sz w:val="24"/>
          <w:szCs w:val="24"/>
          <w:color w:val="auto"/>
        </w:rPr>
      </w:pPr>
    </w:p>
    <w:p>
      <w:pPr>
        <w:jc w:val="center"/>
        <w:ind w:right="420"/>
        <w:spacing w:after="0"/>
        <w:rPr>
          <w:sz w:val="20"/>
          <w:szCs w:val="20"/>
          <w:color w:val="auto"/>
        </w:rPr>
      </w:pPr>
      <w:r>
        <w:rPr>
          <w:rFonts w:ascii="Arial" w:cs="Arial" w:eastAsia="Arial" w:hAnsi="Arial"/>
          <w:sz w:val="13"/>
          <w:szCs w:val="13"/>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170815</wp:posOffset>
            </wp:positionV>
            <wp:extent cx="15087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ectPr>
          <w:pgSz w:w="11900" w:h="16838" w:orient="portrait"/>
          <w:cols w:equalWidth="0" w:num="1">
            <w:col w:w="10840"/>
          </w:cols>
          <w:pgMar w:left="740" w:top="670" w:right="319" w:bottom="1440" w:gutter="0" w:footer="0" w:header="0"/>
          <w:type w:val="continuous"/>
        </w:sectPr>
      </w:pP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60" w:hanging="633"/>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0840"/>
          </w:cols>
          <w:pgMar w:left="740" w:top="670" w:right="319" w:bottom="1440" w:gutter="0" w:footer="0" w:header="0"/>
          <w:type w:val="continuous"/>
        </w:sectPr>
      </w:pPr>
    </w:p>
    <w:bookmarkStart w:id="1" w:name="page2"/>
    <w:bookmarkEnd w:id="1"/>
    <w:p>
      <w:pPr>
        <w:ind w:left="20"/>
        <w:spacing w:after="0"/>
        <w:tabs>
          <w:tab w:leader="none" w:pos="108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firstLine="579"/>
        <w:spacing w:after="0" w:line="279" w:lineRule="auto"/>
        <w:rPr>
          <w:sz w:val="20"/>
          <w:szCs w:val="20"/>
          <w:color w:val="auto"/>
        </w:rPr>
      </w:pPr>
      <w:r>
        <w:rPr>
          <w:rFonts w:ascii="Arial" w:cs="Arial" w:eastAsia="Arial" w:hAnsi="Arial"/>
          <w:sz w:val="16"/>
          <w:szCs w:val="16"/>
          <w:color w:val="auto"/>
        </w:rPr>
        <w:t>On February 21, 2013, Brady Corporation (the "Company") issued a press release announcing its fiscal 2013 second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6"/>
          <w:szCs w:val="16"/>
          <w:color w:val="auto"/>
        </w:rPr>
        <w:t>Item 2.05</w:t>
      </w:r>
      <w:r>
        <w:rPr>
          <w:sz w:val="20"/>
          <w:szCs w:val="20"/>
          <w:color w:val="auto"/>
        </w:rPr>
        <w:tab/>
      </w:r>
      <w:r>
        <w:rPr>
          <w:rFonts w:ascii="Arial" w:cs="Arial" w:eastAsia="Arial" w:hAnsi="Arial"/>
          <w:sz w:val="15"/>
          <w:szCs w:val="15"/>
          <w:color w:val="auto"/>
        </w:rPr>
        <w:t>COSTS ASSOCIATED WITH EXIT OR DISPOSAL ACTIVITIES</w:t>
      </w:r>
    </w:p>
    <w:p>
      <w:pPr>
        <w:spacing w:after="0" w:line="226" w:lineRule="exact"/>
        <w:rPr>
          <w:sz w:val="20"/>
          <w:szCs w:val="20"/>
          <w:color w:val="auto"/>
        </w:rPr>
      </w:pPr>
    </w:p>
    <w:p>
      <w:pPr>
        <w:jc w:val="both"/>
        <w:ind w:right="20" w:firstLine="579"/>
        <w:spacing w:after="0" w:line="276" w:lineRule="auto"/>
        <w:rPr>
          <w:sz w:val="20"/>
          <w:szCs w:val="20"/>
          <w:color w:val="auto"/>
        </w:rPr>
      </w:pPr>
      <w:r>
        <w:rPr>
          <w:rFonts w:ascii="Arial" w:cs="Arial" w:eastAsia="Arial" w:hAnsi="Arial"/>
          <w:sz w:val="15"/>
          <w:szCs w:val="15"/>
          <w:color w:val="auto"/>
        </w:rPr>
        <w:t>On February 20, 2013, the Board of Directors of Brady Corporation approved a reorganization of the Company into three global product-based business platforms effective May 1, 2013, and a restructuring action to reduce approximately 5-7% of the Company's global workforce. Upon completion of the reorganization, the platforms will be Identification Solutions, Workplace Safety and Die Cut, with Matthew O. Williamson, Scott Hoffman and Stephen Millar, respectively, slated to lead these businesses. Mr. Williamson is currently Vice President of the Company and President--Brady Americas, Mr. Hoffman is currently Vice President--Corporate and Business Development of the Company and Mr. Millar is currently Vice President of the Company and President--Brady Asia Pacific. The Company is implementing the reorganization and restructuring actions to further enhance its coordinated global business strategies for each business platform, to improve efficiency of operations, to promote greater customer focus and to reduce operating expenses. The Company will begin segment reporting in the three business platforms in the fourth fiscal quarter of 2013.</w:t>
      </w:r>
    </w:p>
    <w:p>
      <w:pPr>
        <w:spacing w:after="0" w:line="155"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6"/>
          <w:szCs w:val="16"/>
          <w:color w:val="auto"/>
        </w:rPr>
        <w:t>In connection with the restructuring action, the Company expects to incur pre-tax cash charges of approximately $15-$18 million, primarily related to employee severance/termination benefits, substantially all of which will result in cash expenditures. The Company expects to recognize most of these charges in the third and fourth quarters of fiscal 2013 and complete most of the restructuring by the end of fiscal year 2013. Upon completion of the restructuring action, the Company expects to realize annualized savings of approximately $25-$30 million from the restructuring.</w:t>
      </w:r>
    </w:p>
    <w:p>
      <w:pPr>
        <w:spacing w:after="0" w:line="165"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A copy of the press release issued by the Company in connection with the reorganization and restructuring action is being furnished to the Securities and Exchange Commission as Exhibit 99.1 attached hereto and is incorporated herein by reference.</w:t>
      </w:r>
    </w:p>
    <w:p>
      <w:pPr>
        <w:spacing w:after="0" w:line="296" w:lineRule="exact"/>
        <w:rPr>
          <w:sz w:val="20"/>
          <w:szCs w:val="20"/>
          <w:color w:val="auto"/>
        </w:rPr>
      </w:pPr>
    </w:p>
    <w:p>
      <w:pPr>
        <w:ind w:left="1100" w:right="1400" w:hanging="1085"/>
        <w:spacing w:after="0" w:line="279" w:lineRule="auto"/>
        <w:tabs>
          <w:tab w:leader="none" w:pos="1080"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6"/>
          <w:szCs w:val="16"/>
          <w:color w:val="auto"/>
        </w:rPr>
        <w:t>DEPARTURE OF DIRECTORS OR CERTAIN OFFICERS; ELECTION OF DIRECTORS; APPOINTMENT OF CERTAIN OFFICERS; COMPENSATORY ARRANGEMENTS OF CERTAIN OFFICERS</w:t>
      </w:r>
    </w:p>
    <w:p>
      <w:pPr>
        <w:spacing w:after="0" w:line="175" w:lineRule="exact"/>
        <w:rPr>
          <w:sz w:val="20"/>
          <w:szCs w:val="20"/>
          <w:color w:val="auto"/>
        </w:rPr>
      </w:pPr>
    </w:p>
    <w:p>
      <w:pPr>
        <w:jc w:val="both"/>
        <w:ind w:firstLine="579"/>
        <w:spacing w:after="0" w:line="255" w:lineRule="auto"/>
        <w:rPr>
          <w:sz w:val="20"/>
          <w:szCs w:val="20"/>
          <w:color w:val="auto"/>
        </w:rPr>
      </w:pPr>
      <w:r>
        <w:rPr>
          <w:rFonts w:ascii="Arial" w:cs="Arial" w:eastAsia="Arial" w:hAnsi="Arial"/>
          <w:sz w:val="16"/>
          <w:szCs w:val="16"/>
          <w:color w:val="auto"/>
        </w:rPr>
        <w:t>On February 20, 2013, Peter C. Sephton, who serves as Vice President of the Company and President--Brady EMEA, notified the Company of his intent to resign these positions effective April 30, 2013. Mr. Sephton will remain employed with the Company for the period after his resignation of these positions through July 31, 2013 in order to assist the Company in its reorganization to three global product-based business platforms, at which time Mr. Sephton will retire. The Company anticipates entering into a written agreement with Mr. Sephton by the end of the current fiscal quarter in connection with his resignation and retirement that would provide for payment of his current salary and benefits through his retirement on July 31, a severance payment of GBP 340,000, including a portion of that sum as consideration for a non-compete covenant and up to GBP 5,000 for reimbursement of legal fees. Mr. Sephton's resignation and retirement was described in a press release issued by the Company in connection with the reorganization and restructuring action disclosed in Item 2.05 hereto which is furnished to the Securities and Exchange Commission as Exhibit 99.1 attached hereto and is incorporated herein by reference.</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Upon completion of the reorganization described in Item 2.05 above, the following executive officer changes will be implemented:</w:t>
      </w:r>
    </w:p>
    <w:p>
      <w:pPr>
        <w:spacing w:after="0" w:line="202"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u w:val="single" w:color="auto"/>
          <w:color w:val="auto"/>
        </w:rPr>
        <w:t>President--Identification Solutions</w:t>
      </w:r>
      <w:r>
        <w:rPr>
          <w:rFonts w:ascii="Arial" w:cs="Arial" w:eastAsia="Arial" w:hAnsi="Arial"/>
          <w:sz w:val="16"/>
          <w:szCs w:val="16"/>
          <w:color w:val="auto"/>
        </w:rPr>
        <w:t>: Matthew Williamson will become President--Identification Solutions and remain a Vice President of the Company. There will be no immediate changes to Mr. Williamson's compensation as previously described in the Company's filings with the SEC as a result of his change in title.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u w:val="single" w:color="auto"/>
          <w:color w:val="auto"/>
        </w:rPr>
        <w:t>President--Workplace Safety</w:t>
      </w:r>
      <w:r>
        <w:rPr>
          <w:rFonts w:ascii="Arial" w:cs="Arial" w:eastAsia="Arial" w:hAnsi="Arial"/>
          <w:sz w:val="15"/>
          <w:szCs w:val="15"/>
          <w:color w:val="auto"/>
        </w:rPr>
        <w:t>: Scott Hoffman will become President--Identification Solutions and remain a Vice President of the Company. Mr. Hoffman, 49, joined the Company in 1986 and has held a variety of sales, marketing and leadership positions at the Company. Most recently he held the position of Vice President and General Manager--Americas from 2008 until he was appointed to his current position of Vice President--Corporate and Business Development in January 2009. Mr. Hoffman participates in the Company's equity incentive and other benefit plans on a basis similar to other executive officers. The Company currently has a Change of Control Agreement with Mr. Hoffman, amended as of December 23, 2008, in the form filed as Exhibit 10.4 to the Company's Quarterly Report on Form 10-Q for the period ended January 31, 2009, which is incorporated herein by reference. There will be no immediate changes to Mr. Hoffman's compensation as a result of his change in title.</w:t>
      </w:r>
    </w:p>
    <w:p>
      <w:pPr>
        <w:sectPr>
          <w:pgSz w:w="11900" w:h="16838" w:orient="portrait"/>
          <w:cols w:equalWidth="0" w:num="1">
            <w:col w:w="11440"/>
          </w:cols>
          <w:pgMar w:left="240" w:top="682" w:right="219" w:bottom="1440" w:gutter="0" w:footer="0" w:header="0"/>
        </w:sectPr>
      </w:pPr>
    </w:p>
    <w:bookmarkStart w:id="2" w:name="page3"/>
    <w:bookmarkEnd w:id="2"/>
    <w:p>
      <w:pPr>
        <w:ind w:left="4"/>
        <w:spacing w:after="0" w:line="279" w:lineRule="auto"/>
        <w:rPr>
          <w:sz w:val="20"/>
          <w:szCs w:val="20"/>
          <w:color w:val="auto"/>
        </w:rPr>
      </w:pPr>
      <w:r>
        <w:rPr>
          <w:rFonts w:ascii="Arial" w:cs="Arial" w:eastAsia="Arial" w:hAnsi="Arial"/>
          <w:sz w:val="16"/>
          <w:szCs w:val="16"/>
          <w:u w:val="single" w:color="auto"/>
          <w:color w:val="auto"/>
        </w:rPr>
        <w:t>President--Die Cut</w:t>
      </w:r>
      <w:r>
        <w:rPr>
          <w:rFonts w:ascii="Arial" w:cs="Arial" w:eastAsia="Arial" w:hAnsi="Arial"/>
          <w:sz w:val="16"/>
          <w:szCs w:val="16"/>
          <w:color w:val="auto"/>
        </w:rPr>
        <w:t>: Stephen Millar will become President--Die Cut and remain a Vice President of the Company and President-Brady Asia Pacific. There will be no immediate changes to Mr. Millar's compensation as previously described in the Company's filings with the SEC as a result of his change in title.</w:t>
      </w:r>
    </w:p>
    <w:p>
      <w:pPr>
        <w:spacing w:after="0" w:line="151" w:lineRule="exact"/>
        <w:rPr>
          <w:sz w:val="20"/>
          <w:szCs w:val="20"/>
          <w:color w:val="auto"/>
        </w:rPr>
      </w:pPr>
    </w:p>
    <w:p>
      <w:pPr>
        <w:ind w:left="4" w:firstLine="579"/>
        <w:spacing w:after="0" w:line="314" w:lineRule="auto"/>
        <w:rPr>
          <w:sz w:val="20"/>
          <w:szCs w:val="20"/>
          <w:color w:val="auto"/>
        </w:rPr>
      </w:pPr>
      <w:r>
        <w:rPr>
          <w:rFonts w:ascii="Arial" w:cs="Arial" w:eastAsia="Arial" w:hAnsi="Arial"/>
          <w:sz w:val="15"/>
          <w:szCs w:val="15"/>
          <w:color w:val="auto"/>
        </w:rPr>
        <w:t>None of Messrs. Williamson, Hoffman and Millar has any family relationship with any director or executive officer of the Company, nor is any a party to any related party transactions with the Company. Pursuant to the Company's Bylaws, each will serve in his executive position at the discretion of the Company's Board of Directors.</w:t>
      </w:r>
    </w:p>
    <w:p>
      <w:pPr>
        <w:spacing w:after="0" w:line="79" w:lineRule="exact"/>
        <w:rPr>
          <w:sz w:val="20"/>
          <w:szCs w:val="20"/>
          <w:color w:val="auto"/>
        </w:rPr>
      </w:pPr>
    </w:p>
    <w:p>
      <w:pPr>
        <w:ind w:left="24"/>
        <w:spacing w:after="0"/>
        <w:tabs>
          <w:tab w:leader="none" w:pos="1083"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50" w:lineRule="exact"/>
        <w:rPr>
          <w:sz w:val="20"/>
          <w:szCs w:val="20"/>
          <w:color w:val="auto"/>
        </w:rPr>
      </w:pPr>
    </w:p>
    <w:p>
      <w:pPr>
        <w:ind w:left="764" w:hanging="764"/>
        <w:spacing w:after="0"/>
        <w:tabs>
          <w:tab w:leader="none" w:pos="76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are filed as Exhibits to this Report.</w:t>
      </w:r>
    </w:p>
    <w:p>
      <w:pPr>
        <w:spacing w:after="0" w:line="347"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300" w:type="dxa"/>
            <w:vAlign w:val="bottom"/>
            <w:gridSpan w:val="2"/>
          </w:tcPr>
          <w:p>
            <w:pPr>
              <w:ind w:left="20"/>
              <w:spacing w:after="0"/>
              <w:rPr>
                <w:sz w:val="20"/>
                <w:szCs w:val="20"/>
                <w:color w:val="auto"/>
              </w:rPr>
            </w:pPr>
            <w:r>
              <w:rPr>
                <w:rFonts w:ascii="Arial" w:cs="Arial" w:eastAsia="Arial" w:hAnsi="Arial"/>
                <w:sz w:val="16"/>
                <w:szCs w:val="16"/>
                <w:color w:val="auto"/>
              </w:rPr>
              <w:t>Exhibit No.</w:t>
            </w:r>
          </w:p>
        </w:tc>
        <w:tc>
          <w:tcPr>
            <w:tcW w:w="9520" w:type="dxa"/>
            <w:vAlign w:val="bottom"/>
          </w:tcPr>
          <w:p>
            <w:pPr>
              <w:ind w:left="20"/>
              <w:spacing w:after="0"/>
              <w:rPr>
                <w:sz w:val="20"/>
                <w:szCs w:val="20"/>
                <w:color w:val="auto"/>
              </w:rPr>
            </w:pPr>
            <w:r>
              <w:rPr>
                <w:rFonts w:ascii="Arial" w:cs="Arial" w:eastAsia="Arial" w:hAnsi="Arial"/>
                <w:sz w:val="16"/>
                <w:szCs w:val="16"/>
                <w:color w:val="auto"/>
              </w:rPr>
              <w:t>Description of Exhibit</w:t>
            </w:r>
          </w:p>
        </w:tc>
      </w:tr>
      <w:tr>
        <w:trPr>
          <w:trHeight w:val="24"/>
        </w:trPr>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520" w:type="dxa"/>
            <w:vAlign w:val="bottom"/>
            <w:tcBorders>
              <w:bottom w:val="single" w:sz="8" w:color="auto"/>
            </w:tcBorders>
          </w:tcPr>
          <w:p>
            <w:pPr>
              <w:spacing w:after="0"/>
              <w:rPr>
                <w:sz w:val="2"/>
                <w:szCs w:val="2"/>
                <w:color w:val="auto"/>
              </w:rPr>
            </w:pPr>
          </w:p>
        </w:tc>
      </w:tr>
      <w:tr>
        <w:trPr>
          <w:trHeight w:val="498"/>
        </w:trPr>
        <w:tc>
          <w:tcPr>
            <w:tcW w:w="980" w:type="dxa"/>
            <w:vAlign w:val="bottom"/>
          </w:tcPr>
          <w:p>
            <w:pPr>
              <w:ind w:left="20"/>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24"/>
                <w:szCs w:val="24"/>
                <w:color w:val="auto"/>
              </w:rPr>
            </w:pPr>
          </w:p>
        </w:tc>
        <w:tc>
          <w:tcPr>
            <w:tcW w:w="952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February 21, 2013, relating to second quarter fiscal 2013 financial results.</w:t>
            </w:r>
          </w:p>
        </w:tc>
      </w:tr>
      <w:tr>
        <w:trPr>
          <w:trHeight w:val="241"/>
        </w:trPr>
        <w:tc>
          <w:tcPr>
            <w:tcW w:w="980" w:type="dxa"/>
            <w:vAlign w:val="bottom"/>
          </w:tcPr>
          <w:p>
            <w:pPr>
              <w:ind w:left="20"/>
              <w:spacing w:after="0"/>
              <w:rPr>
                <w:sz w:val="20"/>
                <w:szCs w:val="20"/>
                <w:color w:val="auto"/>
              </w:rPr>
            </w:pPr>
            <w:r>
              <w:rPr>
                <w:rFonts w:ascii="Arial" w:cs="Arial" w:eastAsia="Arial" w:hAnsi="Arial"/>
                <w:sz w:val="16"/>
                <w:szCs w:val="16"/>
                <w:color w:val="auto"/>
              </w:rPr>
              <w:t>99.2</w:t>
            </w:r>
          </w:p>
        </w:tc>
        <w:tc>
          <w:tcPr>
            <w:tcW w:w="320" w:type="dxa"/>
            <w:vAlign w:val="bottom"/>
          </w:tcPr>
          <w:p>
            <w:pPr>
              <w:spacing w:after="0"/>
              <w:rPr>
                <w:sz w:val="20"/>
                <w:szCs w:val="20"/>
                <w:color w:val="auto"/>
              </w:rPr>
            </w:pPr>
          </w:p>
        </w:tc>
        <w:tc>
          <w:tcPr>
            <w:tcW w:w="9520" w:type="dxa"/>
            <w:vAlign w:val="bottom"/>
          </w:tcPr>
          <w:p>
            <w:pPr>
              <w:ind w:left="20"/>
              <w:spacing w:after="0"/>
              <w:rPr>
                <w:sz w:val="20"/>
                <w:szCs w:val="20"/>
                <w:color w:val="auto"/>
              </w:rPr>
            </w:pPr>
            <w:r>
              <w:rPr>
                <w:rFonts w:ascii="Arial" w:cs="Arial" w:eastAsia="Arial" w:hAnsi="Arial"/>
                <w:sz w:val="16"/>
                <w:szCs w:val="16"/>
                <w:color w:val="auto"/>
              </w:rPr>
              <w:t>Informational slides provided by Brady Corporation, dated February 21, 2013, relating to second quarter fiscal 2013 financial results.</w:t>
            </w:r>
          </w:p>
        </w:tc>
      </w:tr>
    </w:tbl>
    <w:p>
      <w:pPr>
        <w:sectPr>
          <w:pgSz w:w="11900" w:h="16838" w:orient="portrait"/>
          <w:cols w:equalWidth="0" w:num="1">
            <w:col w:w="11424"/>
          </w:cols>
          <w:pgMar w:left="236" w:top="5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21, 2013</w:t>
      </w:r>
    </w:p>
    <w:p>
      <w:pPr>
        <w:spacing w:after="0" w:line="34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29210</wp:posOffset>
            </wp:positionV>
            <wp:extent cx="33013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1365" cy="7620"/>
                    </a:xfrm>
                    <a:prstGeom prst="rect">
                      <a:avLst/>
                    </a:prstGeom>
                    <a:noFill/>
                  </pic:spPr>
                </pic:pic>
              </a:graphicData>
            </a:graphic>
          </wp:anchor>
        </w:drawing>
      </w:r>
    </w:p>
    <w:p>
      <w:pPr>
        <w:spacing w:after="0" w:line="4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Senior Vice President &amp;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40"/>
          </w:cols>
          <w:pgMar w:left="240" w:top="537" w:right="219" w:bottom="1440" w:gutter="0" w:footer="0" w:header="0"/>
        </w:sectPr>
      </w:pPr>
    </w:p>
    <w:bookmarkStart w:id="4" w:name="page5"/>
    <w:bookmarkEnd w:id="4"/>
    <w:p>
      <w:pPr>
        <w:ind w:left="5100"/>
        <w:spacing w:after="0"/>
        <w:rPr>
          <w:sz w:val="20"/>
          <w:szCs w:val="20"/>
          <w:color w:val="auto"/>
        </w:rPr>
      </w:pPr>
      <w:r>
        <w:rPr>
          <w:rFonts w:ascii="Arial" w:cs="Arial" w:eastAsia="Arial" w:hAnsi="Arial"/>
          <w:sz w:val="16"/>
          <w:szCs w:val="16"/>
          <w:color w:val="auto"/>
        </w:rPr>
        <w:t>EXHIBIT INDEX</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21"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20955</wp:posOffset>
            </wp:positionV>
            <wp:extent cx="6763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762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0" w:type="dxa"/>
            <w:vAlign w:val="bottom"/>
          </w:tcPr>
          <w:p>
            <w:pPr>
              <w:jc w:val="right"/>
              <w:ind w:right="580"/>
              <w:spacing w:after="0"/>
              <w:rPr>
                <w:sz w:val="20"/>
                <w:szCs w:val="20"/>
                <w:color w:val="auto"/>
              </w:rPr>
            </w:pPr>
            <w:r>
              <w:rPr>
                <w:rFonts w:ascii="Arial" w:cs="Arial" w:eastAsia="Arial" w:hAnsi="Arial"/>
                <w:sz w:val="16"/>
                <w:szCs w:val="16"/>
                <w:color w:val="auto"/>
                <w:w w:val="83"/>
              </w:rPr>
              <w:t>99.1</w:t>
            </w:r>
          </w:p>
        </w:tc>
        <w:tc>
          <w:tcPr>
            <w:tcW w:w="9240" w:type="dxa"/>
            <w:vAlign w:val="bottom"/>
          </w:tcPr>
          <w:p>
            <w:pPr>
              <w:ind w:left="660"/>
              <w:spacing w:after="0"/>
              <w:rPr>
                <w:sz w:val="20"/>
                <w:szCs w:val="20"/>
                <w:color w:val="auto"/>
              </w:rPr>
            </w:pPr>
            <w:r>
              <w:rPr>
                <w:rFonts w:ascii="Arial" w:cs="Arial" w:eastAsia="Arial" w:hAnsi="Arial"/>
                <w:sz w:val="16"/>
                <w:szCs w:val="16"/>
                <w:color w:val="auto"/>
              </w:rPr>
              <w:t>Press Release of Brady Corporation, dated February 21, 2013, relating to second quarter fiscal 2013 financial results.</w:t>
            </w:r>
          </w:p>
        </w:tc>
      </w:tr>
      <w:tr>
        <w:trPr>
          <w:trHeight w:val="241"/>
        </w:trPr>
        <w:tc>
          <w:tcPr>
            <w:tcW w:w="940" w:type="dxa"/>
            <w:vAlign w:val="bottom"/>
          </w:tcPr>
          <w:p>
            <w:pPr>
              <w:jc w:val="right"/>
              <w:ind w:right="580"/>
              <w:spacing w:after="0"/>
              <w:rPr>
                <w:sz w:val="20"/>
                <w:szCs w:val="20"/>
                <w:color w:val="auto"/>
              </w:rPr>
            </w:pPr>
            <w:r>
              <w:rPr>
                <w:rFonts w:ascii="Arial" w:cs="Arial" w:eastAsia="Arial" w:hAnsi="Arial"/>
                <w:sz w:val="16"/>
                <w:szCs w:val="16"/>
                <w:color w:val="auto"/>
                <w:w w:val="83"/>
              </w:rPr>
              <w:t>99.2</w:t>
            </w:r>
          </w:p>
        </w:tc>
        <w:tc>
          <w:tcPr>
            <w:tcW w:w="9240" w:type="dxa"/>
            <w:vAlign w:val="bottom"/>
          </w:tcPr>
          <w:p>
            <w:pPr>
              <w:ind w:left="660"/>
              <w:spacing w:after="0"/>
              <w:rPr>
                <w:sz w:val="20"/>
                <w:szCs w:val="20"/>
                <w:color w:val="auto"/>
              </w:rPr>
            </w:pPr>
            <w:r>
              <w:rPr>
                <w:rFonts w:ascii="Arial" w:cs="Arial" w:eastAsia="Arial" w:hAnsi="Arial"/>
                <w:sz w:val="16"/>
                <w:szCs w:val="16"/>
                <w:color w:val="auto"/>
                <w:w w:val="91"/>
              </w:rPr>
              <w:t>Informational slides provided by Brady Corporation, dated February 21, 2013, relating to second quarter fiscal 2013 financial results.</w:t>
            </w:r>
          </w:p>
        </w:tc>
      </w:tr>
    </w:tbl>
    <w:p>
      <w:pPr>
        <w:sectPr>
          <w:pgSz w:w="11900" w:h="16838" w:orient="portrait"/>
          <w:cols w:equalWidth="0" w:num="1">
            <w:col w:w="10199"/>
          </w:cols>
          <w:pgMar w:left="260" w:top="53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auto"/>
        </w:rPr>
        <w:t>EXHIBIT 99.1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7" w:lineRule="auto"/>
        <w:rPr>
          <w:sz w:val="20"/>
          <w:szCs w:val="20"/>
          <w:color w:val="auto"/>
        </w:rPr>
      </w:pPr>
      <w:r>
        <w:rPr>
          <w:rFonts w:ascii="Arial" w:cs="Arial" w:eastAsia="Arial" w:hAnsi="Arial"/>
          <w:sz w:val="18"/>
          <w:szCs w:val="18"/>
          <w:color w:val="auto"/>
        </w:rPr>
        <w:t>Investor contact: Aaron Pearce 414-438-6895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2013 Second Quarter Results and Announces Reorganization</w:t>
      </w:r>
    </w:p>
    <w:p>
      <w:pPr>
        <w:spacing w:after="0" w:line="245" w:lineRule="exact"/>
        <w:rPr>
          <w:sz w:val="20"/>
          <w:szCs w:val="20"/>
          <w:color w:val="auto"/>
        </w:rPr>
      </w:pPr>
    </w:p>
    <w:p>
      <w:pPr>
        <w:ind w:right="300"/>
        <w:spacing w:after="0" w:line="404" w:lineRule="auto"/>
        <w:rPr>
          <w:sz w:val="20"/>
          <w:szCs w:val="20"/>
          <w:color w:val="auto"/>
        </w:rPr>
      </w:pPr>
      <w:r>
        <w:rPr>
          <w:rFonts w:ascii="Arial" w:cs="Arial" w:eastAsia="Arial" w:hAnsi="Arial"/>
          <w:sz w:val="17"/>
          <w:szCs w:val="17"/>
          <w:color w:val="auto"/>
        </w:rPr>
        <w:t>MILWAUKEE (February 21, 2013)--Brady Corporation (NYSE: BRC) (“Brady” or “Company”), a world leader in identification solutions, today reported its financial results for the fiscal 2013 second quarter ended January 31, 2013 and also announced a reorganization of its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January 31, 2013 Financial Results:</w:t>
      </w:r>
    </w:p>
    <w:p>
      <w:pPr>
        <w:spacing w:after="0" w:line="101" w:lineRule="exact"/>
        <w:rPr>
          <w:sz w:val="20"/>
          <w:szCs w:val="20"/>
          <w:color w:val="auto"/>
        </w:rPr>
      </w:pPr>
    </w:p>
    <w:p>
      <w:pPr>
        <w:ind w:right="80" w:firstLine="579"/>
        <w:spacing w:after="0" w:line="349" w:lineRule="auto"/>
        <w:rPr>
          <w:sz w:val="20"/>
          <w:szCs w:val="20"/>
          <w:color w:val="auto"/>
        </w:rPr>
      </w:pPr>
      <w:r>
        <w:rPr>
          <w:rFonts w:ascii="Arial" w:cs="Arial" w:eastAsia="Arial" w:hAnsi="Arial"/>
          <w:sz w:val="18"/>
          <w:szCs w:val="18"/>
          <w:color w:val="auto"/>
        </w:rPr>
        <w:t>Sales for the fiscal 2013 second quarter ended January 31, 2013, were up 1.1 percent to $324.2 million compared to $320.6 million in the second quarter of fiscal 2012. Organic sales declined 3.1 percent, the impact of foreign currency translation increased sales by 0.2 percent, and acquisitions, net of divestitures added 4.0 percent. By segment, organic sales increased 0.6 percent in the Americas and decreased 5.0 percent in EMEA and 7.0 percent in the Asia-Pacific region.</w:t>
      </w:r>
    </w:p>
    <w:p>
      <w:pPr>
        <w:spacing w:after="0" w:line="2" w:lineRule="exact"/>
        <w:rPr>
          <w:sz w:val="20"/>
          <w:szCs w:val="20"/>
          <w:color w:val="auto"/>
        </w:rPr>
      </w:pPr>
    </w:p>
    <w:p>
      <w:pPr>
        <w:ind w:right="80" w:firstLine="579"/>
        <w:spacing w:after="0" w:line="349" w:lineRule="auto"/>
        <w:rPr>
          <w:sz w:val="20"/>
          <w:szCs w:val="20"/>
          <w:color w:val="auto"/>
        </w:rPr>
      </w:pPr>
      <w:r>
        <w:rPr>
          <w:rFonts w:ascii="Arial" w:cs="Arial" w:eastAsia="Arial" w:hAnsi="Arial"/>
          <w:sz w:val="18"/>
          <w:szCs w:val="18"/>
          <w:color w:val="auto"/>
        </w:rPr>
        <w:t>During the second quarter of fiscal 2013, the Company acquired Precision Dynamics Corporation (“PDC”) for $301 million. PDC is a leader in identification products primarily for the healthcare sector with annual revenues of approximately $173 million. In connection with this acquisition, the Company incurred certain acquisition-related costs including a non-cash tax charge of $25.0 million related to the repatriation of cash to the U.S. and $5.1 million of other acquisition-related expenses. During the second quarter of fiscal 2013, the Company also realized a $5.2 million pre-tax gain on the settlement of an insurance claim related to the 2011 flood in Thailand. In the second quarter of last fiscal year, the Company recorded a non-cash impairment charge of $115.7 million for the write down of goodwill in the Asia-Pacific region. Non-routine and other items, along with restructuring charges are quantified on pages 11-12 of this news release for comparability purposes.</w:t>
      </w:r>
    </w:p>
    <w:p>
      <w:pPr>
        <w:spacing w:after="0" w:line="4" w:lineRule="exact"/>
        <w:rPr>
          <w:sz w:val="20"/>
          <w:szCs w:val="20"/>
          <w:color w:val="auto"/>
        </w:rPr>
      </w:pPr>
    </w:p>
    <w:p>
      <w:pPr>
        <w:ind w:firstLine="579"/>
        <w:spacing w:after="0" w:line="349" w:lineRule="auto"/>
        <w:rPr>
          <w:sz w:val="20"/>
          <w:szCs w:val="20"/>
          <w:color w:val="auto"/>
        </w:rPr>
      </w:pPr>
      <w:r>
        <w:rPr>
          <w:rFonts w:ascii="Arial" w:cs="Arial" w:eastAsia="Arial" w:hAnsi="Arial"/>
          <w:sz w:val="18"/>
          <w:szCs w:val="18"/>
          <w:color w:val="auto"/>
        </w:rPr>
        <w:t>Net income (loss) in the fiscal 2013 second quarter was $(8.7) million compared to $(90.0) million in the same quarter last year. Non-GAAP net income* was $19.5 million in the second quarter of fiscal 2013, compared to $25.7 million in the second quarter of fiscal 2012.</w:t>
      </w:r>
    </w:p>
    <w:p>
      <w:pPr>
        <w:spacing w:after="0" w:line="1" w:lineRule="exact"/>
        <w:rPr>
          <w:sz w:val="20"/>
          <w:szCs w:val="20"/>
          <w:color w:val="auto"/>
        </w:rPr>
      </w:pPr>
    </w:p>
    <w:p>
      <w:pPr>
        <w:ind w:right="220" w:firstLine="579"/>
        <w:spacing w:after="0" w:line="359" w:lineRule="auto"/>
        <w:rPr>
          <w:sz w:val="20"/>
          <w:szCs w:val="20"/>
          <w:color w:val="auto"/>
        </w:rPr>
      </w:pPr>
      <w:r>
        <w:rPr>
          <w:rFonts w:ascii="Arial" w:cs="Arial" w:eastAsia="Arial" w:hAnsi="Arial"/>
          <w:sz w:val="18"/>
          <w:szCs w:val="18"/>
          <w:color w:val="auto"/>
        </w:rPr>
        <w:t>Earnings (loss) per diluted Class A Common Share were $(0.17) in the second quarter of fiscal 2013 compared to $(1.72) in the same quarter last year. Non-GAAP Diluted Earnings per Class A Common Share* were $0.38 in the second quarter of fiscal 2013, compared to $0.49 in the second quarter of fiscal 2012.</w:t>
      </w:r>
    </w:p>
    <w:p>
      <w:pPr>
        <w:sectPr>
          <w:pgSz w:w="11900" w:h="16838" w:orient="portrait"/>
          <w:cols w:equalWidth="0" w:num="1">
            <w:col w:w="11440"/>
          </w:cols>
          <w:pgMar w:left="240" w:top="533"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Six Months Ended January 31, 2013 Financial Results:</w:t>
      </w:r>
    </w:p>
    <w:p>
      <w:pPr>
        <w:spacing w:after="0" w:line="101" w:lineRule="exact"/>
        <w:rPr>
          <w:sz w:val="20"/>
          <w:szCs w:val="20"/>
          <w:color w:val="auto"/>
        </w:rPr>
      </w:pPr>
    </w:p>
    <w:p>
      <w:pPr>
        <w:ind w:firstLine="579"/>
        <w:spacing w:after="0" w:line="349" w:lineRule="auto"/>
        <w:rPr>
          <w:sz w:val="20"/>
          <w:szCs w:val="20"/>
          <w:color w:val="auto"/>
        </w:rPr>
      </w:pPr>
      <w:r>
        <w:rPr>
          <w:rFonts w:ascii="Arial" w:cs="Arial" w:eastAsia="Arial" w:hAnsi="Arial"/>
          <w:sz w:val="18"/>
          <w:szCs w:val="18"/>
          <w:color w:val="auto"/>
        </w:rPr>
        <w:t>Sales for the six-month period ended January 31, 2013, were down 1.3 percent to $661.8 million compared to $670.1 million in the same period last year. Organic sales were down 2.5 percent, the impact of foreign currency translation decreased sales by 1.0 percent, and acquisitions, net of divestitures added 2.2 percent.</w:t>
      </w:r>
    </w:p>
    <w:p>
      <w:pPr>
        <w:spacing w:after="0" w:line="2" w:lineRule="exact"/>
        <w:rPr>
          <w:sz w:val="20"/>
          <w:szCs w:val="20"/>
          <w:color w:val="auto"/>
        </w:rPr>
      </w:pPr>
    </w:p>
    <w:p>
      <w:pPr>
        <w:ind w:right="400" w:firstLine="579"/>
        <w:spacing w:after="0" w:line="419" w:lineRule="auto"/>
        <w:rPr>
          <w:sz w:val="20"/>
          <w:szCs w:val="20"/>
          <w:color w:val="auto"/>
        </w:rPr>
      </w:pPr>
      <w:r>
        <w:rPr>
          <w:rFonts w:ascii="Arial" w:cs="Arial" w:eastAsia="Arial" w:hAnsi="Arial"/>
          <w:sz w:val="15"/>
          <w:szCs w:val="15"/>
          <w:color w:val="auto"/>
        </w:rPr>
        <w:t>Net income (loss) for the six months ended January 31, 2013 was $18.5 million compared to $(57.2) million in the same period of fiscal 2012. Non-GAAP net income* was $49.9 million for the six months ended January 31, 2013, compared to $58.5 million in the same period of fiscal 2012.</w:t>
      </w:r>
    </w:p>
    <w:p>
      <w:pPr>
        <w:spacing w:after="0" w:line="1" w:lineRule="exact"/>
        <w:rPr>
          <w:sz w:val="20"/>
          <w:szCs w:val="20"/>
          <w:color w:val="auto"/>
        </w:rPr>
      </w:pPr>
    </w:p>
    <w:p>
      <w:pPr>
        <w:jc w:val="both"/>
        <w:ind w:right="40" w:firstLine="579"/>
        <w:spacing w:after="0" w:line="359" w:lineRule="auto"/>
        <w:rPr>
          <w:sz w:val="20"/>
          <w:szCs w:val="20"/>
          <w:color w:val="auto"/>
        </w:rPr>
      </w:pPr>
      <w:r>
        <w:rPr>
          <w:rFonts w:ascii="Arial" w:cs="Arial" w:eastAsia="Arial" w:hAnsi="Arial"/>
          <w:sz w:val="18"/>
          <w:szCs w:val="18"/>
          <w:color w:val="auto"/>
        </w:rPr>
        <w:t>Earnings (loss) per diluted Class A Common Share were $0.36 for the six-month period ended January 31, 2013 compared to $(1.09) in the same period of fiscal 2012. Non-GAAP Diluted Earnings per Class A Common Share* were $0.97 for the six months ended January 31, 2013, compared to $1.12 in the same period in fiscal 2012.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to Reorganize its Business:</w:t>
      </w:r>
    </w:p>
    <w:p>
      <w:pPr>
        <w:spacing w:after="0" w:line="101" w:lineRule="exact"/>
        <w:rPr>
          <w:sz w:val="20"/>
          <w:szCs w:val="20"/>
          <w:color w:val="auto"/>
        </w:rPr>
      </w:pPr>
    </w:p>
    <w:p>
      <w:pPr>
        <w:ind w:right="540" w:firstLine="579"/>
        <w:spacing w:after="0" w:line="419" w:lineRule="auto"/>
        <w:rPr>
          <w:sz w:val="20"/>
          <w:szCs w:val="20"/>
          <w:color w:val="auto"/>
        </w:rPr>
      </w:pPr>
      <w:r>
        <w:rPr>
          <w:rFonts w:ascii="Arial" w:cs="Arial" w:eastAsia="Arial" w:hAnsi="Arial"/>
          <w:sz w:val="15"/>
          <w:szCs w:val="15"/>
          <w:color w:val="auto"/>
        </w:rPr>
        <w:t>Brady also reported that as part of its strategy to improve organic growth and profitability that it will be changing its organizational structure from geographically-based to an organization structured around three global business platforms: Identification Solutions, Workplace Safety and Die-Cut.</w:t>
      </w:r>
    </w:p>
    <w:p>
      <w:pPr>
        <w:spacing w:after="0" w:line="1" w:lineRule="exact"/>
        <w:rPr>
          <w:sz w:val="20"/>
          <w:szCs w:val="20"/>
          <w:color w:val="auto"/>
        </w:rPr>
      </w:pPr>
    </w:p>
    <w:p>
      <w:pPr>
        <w:ind w:right="20" w:firstLine="579"/>
        <w:spacing w:after="0" w:line="427" w:lineRule="auto"/>
        <w:rPr>
          <w:sz w:val="20"/>
          <w:szCs w:val="20"/>
          <w:color w:val="auto"/>
        </w:rPr>
      </w:pPr>
      <w:r>
        <w:rPr>
          <w:rFonts w:ascii="Arial" w:cs="Arial" w:eastAsia="Arial" w:hAnsi="Arial"/>
          <w:sz w:val="15"/>
          <w:szCs w:val="15"/>
          <w:color w:val="auto"/>
        </w:rPr>
        <w:t>The Identification Solutions business will focus on innovative identification solutions for a broad range of applications including wire identification, product identification, safety and facility identification and healthcare identification. The Workplace Safety business will be expanding its multi-channel direct marketing model by providing a broader set of workplace safety products with an increased focus on e-business. The Die-Cut business will continue to provide precision solutions primarily to the global electronics industry. Mr. Matthew Williamson will lead the global Identification Solutions business. Mr. Williamson has been with Brady for 34 years and is currently serving as Vice President of the Company and President - Brady Americas. Mr. Scott Hoffman will lead the global Workplace Safety business. Mr. Hoffman has been with Brady for 27 years and is currently serving as Vice President - Corporate and Business Development of the Company. Mr. Stephen Millar will lead the Die-Cut business. Mr. Millar has been with Brady for 14 years and is currently serving as Vice President of the Company and President - Asia-Pacific. Peter Sephton, currently president of Brady's EMEA region, will be retiring from Brady effective July 31, 2013. Mr. Sephton will remain in his current role as Vice President of Brady and President - Brady EMEA through April 30, 2013 when he will resign these positions and will then assist with the transition to the new global business platforms through his retirement on July 31,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ind w:right="80" w:firstLine="579"/>
        <w:spacing w:after="0" w:line="356" w:lineRule="auto"/>
        <w:rPr>
          <w:sz w:val="20"/>
          <w:szCs w:val="20"/>
          <w:color w:val="auto"/>
        </w:rPr>
      </w:pPr>
      <w:r>
        <w:rPr>
          <w:rFonts w:ascii="Arial" w:cs="Arial" w:eastAsia="Arial" w:hAnsi="Arial"/>
          <w:sz w:val="18"/>
          <w:szCs w:val="18"/>
          <w:color w:val="auto"/>
        </w:rPr>
        <w:t>“In the second quarter of fiscal 2013, we experienced slight organic sales growth in the Americas and we experienced a 5.0 percent organic sales decline in EMEA due to a challenging European economy. Our performance in Asia-Pacific was weaker than expected due to challenges in both our Australian business and our Thailand hard-disk drive business,” stated Brady's President and Chief Executive Officer, Frank M. Jaehnert. “The acquisition of PDC, a leader in the U.S. healthcare identification space, is a significant step forward in our move</w:t>
      </w:r>
    </w:p>
    <w:p>
      <w:pPr>
        <w:sectPr>
          <w:pgSz w:w="11900" w:h="16838" w:orient="portrait"/>
          <w:cols w:equalWidth="0" w:num="1">
            <w:col w:w="11440"/>
          </w:cols>
          <w:pgMar w:left="240" w:top="577" w:right="219" w:bottom="1440" w:gutter="0" w:footer="0" w:header="0"/>
        </w:sectPr>
      </w:pPr>
    </w:p>
    <w:bookmarkStart w:id="7" w:name="page8"/>
    <w:bookmarkEnd w:id="7"/>
    <w:p>
      <w:pPr>
        <w:spacing w:after="0" w:line="349" w:lineRule="auto"/>
        <w:rPr>
          <w:sz w:val="20"/>
          <w:szCs w:val="20"/>
          <w:color w:val="auto"/>
        </w:rPr>
      </w:pPr>
      <w:r>
        <w:rPr>
          <w:rFonts w:ascii="Arial" w:cs="Arial" w:eastAsia="Arial" w:hAnsi="Arial"/>
          <w:sz w:val="18"/>
          <w:szCs w:val="18"/>
          <w:color w:val="auto"/>
        </w:rPr>
        <w:t>into faster-growing end businesses with less cyclicality. PDC provides an important anchor position for Brady in the attractive healthcare sector, which is a sector in which we plan continued investment.”</w:t>
      </w:r>
    </w:p>
    <w:p>
      <w:pPr>
        <w:spacing w:after="0" w:line="1" w:lineRule="exact"/>
        <w:rPr>
          <w:sz w:val="20"/>
          <w:szCs w:val="20"/>
          <w:color w:val="auto"/>
        </w:rPr>
      </w:pPr>
    </w:p>
    <w:p>
      <w:pPr>
        <w:ind w:firstLine="579"/>
        <w:spacing w:after="0" w:line="370" w:lineRule="auto"/>
        <w:rPr>
          <w:sz w:val="20"/>
          <w:szCs w:val="20"/>
          <w:color w:val="auto"/>
        </w:rPr>
      </w:pPr>
      <w:r>
        <w:rPr>
          <w:rFonts w:ascii="Arial" w:cs="Arial" w:eastAsia="Arial" w:hAnsi="Arial"/>
          <w:sz w:val="17"/>
          <w:szCs w:val="17"/>
          <w:color w:val="auto"/>
        </w:rPr>
        <w:t>Mr. Jaehnert continued, “We believe that our reorganization around global business platforms will create better alignment of resources required to deliver increasing levels of organic sales growth. We will also be able to create a leaner, flatter organization that is closer to the customer, allowing us to reduce costs by approximately $25 million to $30 million annually, some of which will be reinvested into growth initiatives. Costs to implement this reorganization are expected to range from $15 million to $18 million. The global business reorganization will be effective May 1, 2013 with most of the restructuring completed by the end of fiscal 2013. Looking forward, I am confident that the actions we are taking, including the acquisition of PDC and the reorganization around global businesses will accelerate future sales growth and increase future profitability.”</w:t>
      </w:r>
    </w:p>
    <w:p>
      <w:pPr>
        <w:spacing w:after="0" w:line="1" w:lineRule="exact"/>
        <w:rPr>
          <w:sz w:val="20"/>
          <w:szCs w:val="20"/>
          <w:color w:val="auto"/>
        </w:rPr>
      </w:pPr>
    </w:p>
    <w:p>
      <w:pPr>
        <w:ind w:firstLine="579"/>
        <w:spacing w:after="0" w:line="353" w:lineRule="auto"/>
        <w:rPr>
          <w:sz w:val="20"/>
          <w:szCs w:val="20"/>
          <w:color w:val="auto"/>
        </w:rPr>
      </w:pPr>
      <w:r>
        <w:rPr>
          <w:rFonts w:ascii="Arial" w:cs="Arial" w:eastAsia="Arial" w:hAnsi="Arial"/>
          <w:sz w:val="18"/>
          <w:szCs w:val="18"/>
          <w:color w:val="auto"/>
        </w:rPr>
        <w:t>“We anticipate continuing pressure on organic sales for the remainder of fiscal 2013 as the global macro-economy remains sluggish,” said Brady's Chief Financial Officer, Thomas J. Felmer. “Based on what we see for the remainder of the year, and including $0.05 to $0.07 of anticipated earnings from PDC as well as some savings from restructuring activities in the fourth quarter, we expect earnings per diluted Class A Common Share to be towards the lower end of our prior guidance of between $2.20 and $2.40, exclusive of non-routine items, restructuring charges, and other items, for our full-year fiscal 2013, with the fourth quarter being stronger than the third quarter. This is based on exchange rates as of January 31, 2013 and a full-year income tax rate, excluding the impact of non-routine items, in the mid-to-upper 20 percent range.”</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2013 second quarter financial results will be available at </w:t>
      </w:r>
      <w:r>
        <w:rPr>
          <w:rFonts w:ascii="Arial" w:cs="Arial" w:eastAsia="Arial" w:hAnsi="Arial"/>
          <w:sz w:val="15"/>
          <w:szCs w:val="15"/>
          <w:u w:val="single" w:color="auto"/>
          <w:color w:val="auto"/>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96" w:lineRule="exact"/>
        <w:rPr>
          <w:sz w:val="20"/>
          <w:szCs w:val="20"/>
          <w:color w:val="auto"/>
        </w:rPr>
      </w:pPr>
    </w:p>
    <w:p>
      <w:pPr>
        <w:ind w:right="20" w:firstLine="579"/>
        <w:spacing w:after="0" w:line="433" w:lineRule="auto"/>
        <w:rPr>
          <w:sz w:val="20"/>
          <w:szCs w:val="20"/>
          <w:color w:val="auto"/>
        </w:rPr>
      </w:pPr>
      <w:r>
        <w:rPr>
          <w:rFonts w:ascii="Arial" w:cs="Arial" w:eastAsia="Arial" w:hAnsi="Arial"/>
          <w:sz w:val="15"/>
          <w:szCs w:val="15"/>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January 31, 2013 employed approximately 8,200 people at operations in the Americas, EMEA and Asia-Pacific. Brady's fiscal 2012 sales were approximately $1.32 billion. Brady stock trades on the New York Stock Exchange under the symbol BRC. More information is available on the Internet at </w:t>
      </w:r>
      <w:r>
        <w:rPr>
          <w:rFonts w:ascii="Arial" w:cs="Arial" w:eastAsia="Arial" w:hAnsi="Arial"/>
          <w:sz w:val="15"/>
          <w:szCs w:val="15"/>
          <w:u w:val="single" w:color="auto"/>
          <w:color w:val="0000FF"/>
        </w:rPr>
        <w:t>www.bradycorp.com</w:t>
      </w:r>
      <w:r>
        <w:rPr>
          <w:rFonts w:ascii="Arial" w:cs="Arial" w:eastAsia="Arial" w:hAnsi="Arial"/>
          <w:sz w:val="15"/>
          <w:szCs w:val="15"/>
          <w:u w:val="single" w:color="auto"/>
          <w:color w:val="auto"/>
        </w:rPr>
        <w: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20"/>
          </w:cols>
          <w:pgMar w:left="240" w:top="58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 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increased usage of e-commerce allowing for ease of price transparency; future financial performance of major markets Brady serves, which include, without limitation, telecommunications, hard disk drive, manufacturing, electrical, construction, laboratory, education, governmental, public utility, computer,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difficulties in making and integrating acquisitions; risks associated with newly acquired businesses; risks associated with restructuring plans; environmental, health and safety compliance costs and liabilities;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2012.</w:t>
      </w:r>
    </w:p>
    <w:p>
      <w:pPr>
        <w:spacing w:after="0" w:line="16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86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left="568"/>
              <w:spacing w:after="0"/>
              <w:rPr>
                <w:sz w:val="20"/>
                <w:szCs w:val="20"/>
                <w:color w:val="auto"/>
              </w:rPr>
            </w:pPr>
            <w:r>
              <w:rPr>
                <w:rFonts w:ascii="Arial" w:cs="Arial" w:eastAsia="Arial" w:hAnsi="Arial"/>
                <w:sz w:val="14"/>
                <w:szCs w:val="14"/>
                <w:color w:val="auto"/>
                <w:w w:val="95"/>
              </w:rPr>
              <w:t>(Unaudited)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60" w:type="dxa"/>
            <w:vAlign w:val="bottom"/>
          </w:tcPr>
          <w:p>
            <w:pPr>
              <w:spacing w:after="0"/>
              <w:rPr>
                <w:sz w:val="15"/>
                <w:szCs w:val="15"/>
                <w:color w:val="auto"/>
              </w:rPr>
            </w:pPr>
          </w:p>
        </w:tc>
      </w:tr>
      <w:tr>
        <w:trPr>
          <w:trHeight w:val="30"/>
        </w:trPr>
        <w:tc>
          <w:tcPr>
            <w:tcW w:w="3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r>
      <w:tr>
        <w:trPr>
          <w:trHeight w:val="203"/>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color w:val="auto"/>
                <w:w w:val="92"/>
              </w:rPr>
              <w:t>Three Months Ended January 31,</w:t>
            </w:r>
          </w:p>
        </w:tc>
        <w:tc>
          <w:tcPr>
            <w:tcW w:w="200" w:type="dxa"/>
            <w:vAlign w:val="bottom"/>
          </w:tcPr>
          <w:p>
            <w:pPr>
              <w:spacing w:after="0"/>
              <w:rPr>
                <w:sz w:val="17"/>
                <w:szCs w:val="17"/>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color w:val="auto"/>
                <w:w w:val="98"/>
              </w:rPr>
              <w:t>Six Months Ended January 31,</w:t>
            </w:r>
          </w:p>
        </w:tc>
      </w:tr>
      <w:tr>
        <w:trPr>
          <w:trHeight w:val="241"/>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color w:val="auto"/>
              </w:rPr>
              <w:t>2012</w:t>
            </w:r>
          </w:p>
        </w:tc>
      </w:tr>
      <w:tr>
        <w:trPr>
          <w:trHeight w:val="30"/>
        </w:trPr>
        <w:tc>
          <w:tcPr>
            <w:tcW w:w="3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324,182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320,584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661,828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670,092</w:t>
            </w:r>
          </w:p>
        </w:tc>
      </w:tr>
      <w:tr>
        <w:trPr>
          <w:trHeight w:val="211"/>
        </w:trPr>
        <w:tc>
          <w:tcPr>
            <w:tcW w:w="38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174,130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167,279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348,956</w:t>
            </w:r>
          </w:p>
        </w:tc>
      </w:tr>
      <w:tr>
        <w:trPr>
          <w:trHeight w:val="30"/>
        </w:trPr>
        <w:tc>
          <w:tcPr>
            <w:tcW w:w="3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Gross margin</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150,052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153,305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314,672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321,136</w:t>
            </w:r>
          </w:p>
        </w:tc>
      </w:tr>
      <w:tr>
        <w:trPr>
          <w:trHeight w:val="199"/>
        </w:trPr>
        <w:tc>
          <w:tcPr>
            <w:tcW w:w="38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2"/>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19,781</w:t>
            </w: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117,240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104,843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225,501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213,775</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Impairment charge</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115,688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115,688</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Non-routine items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38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124,602</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230,503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244,786</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349,244</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3"/>
        </w:trPr>
        <w:tc>
          <w:tcPr>
            <w:tcW w:w="3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11"/>
        </w:trPr>
        <w:tc>
          <w:tcPr>
            <w:tcW w:w="38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25,450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69,886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(28,108)</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3"/>
        </w:trPr>
        <w:tc>
          <w:tcPr>
            <w:tcW w:w="3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199"/>
        </w:trPr>
        <w:tc>
          <w:tcPr>
            <w:tcW w:w="384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2"/>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income (expense)</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w:t>
            </w: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(9,980)</w:t>
            </w:r>
          </w:p>
        </w:tc>
      </w:tr>
      <w:tr>
        <w:trPr>
          <w:trHeight w:val="30"/>
        </w:trPr>
        <w:tc>
          <w:tcPr>
            <w:tcW w:w="3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5"/>
        </w:trPr>
        <w:tc>
          <w:tcPr>
            <w:tcW w:w="3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11"/>
        </w:trPr>
        <w:tc>
          <w:tcPr>
            <w:tcW w:w="38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21,941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62,611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(37,478)</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3"/>
        </w:trPr>
        <w:tc>
          <w:tcPr>
            <w:tcW w:w="3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11"/>
        </w:trPr>
        <w:tc>
          <w:tcPr>
            <w:tcW w:w="38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30,625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19,744</w:t>
            </w:r>
          </w:p>
        </w:tc>
      </w:tr>
      <w:tr>
        <w:trPr>
          <w:trHeight w:val="30"/>
        </w:trPr>
        <w:tc>
          <w:tcPr>
            <w:tcW w:w="3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5"/>
        </w:trPr>
        <w:tc>
          <w:tcPr>
            <w:tcW w:w="3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199"/>
        </w:trPr>
        <w:tc>
          <w:tcPr>
            <w:tcW w:w="38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(89,954)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18,504</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(57,222)</w:t>
            </w:r>
          </w:p>
        </w:tc>
      </w:tr>
      <w:tr>
        <w:trPr>
          <w:trHeight w:val="70"/>
        </w:trPr>
        <w:tc>
          <w:tcPr>
            <w:tcW w:w="38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29"/>
        </w:trPr>
        <w:tc>
          <w:tcPr>
            <w:tcW w:w="3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3"/>
        </w:trPr>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 Class A Nonvoting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Basic net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Diluted net income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Dividends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0.185</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0.37</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3"/>
        </w:trPr>
        <w:tc>
          <w:tcPr>
            <w:tcW w:w="3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199"/>
        </w:trPr>
        <w:tc>
          <w:tcPr>
            <w:tcW w:w="3840" w:type="dxa"/>
            <w:vAlign w:val="bottom"/>
          </w:tcPr>
          <w:p>
            <w:pPr>
              <w:ind w:left="20"/>
              <w:spacing w:after="0"/>
              <w:rPr>
                <w:sz w:val="20"/>
                <w:szCs w:val="20"/>
                <w:color w:val="auto"/>
              </w:rPr>
            </w:pPr>
            <w:r>
              <w:rPr>
                <w:rFonts w:ascii="Arial" w:cs="Arial" w:eastAsia="Arial" w:hAnsi="Arial"/>
                <w:sz w:val="14"/>
                <w:szCs w:val="14"/>
                <w:color w:val="auto"/>
              </w:rPr>
              <w:t>Per Class B Voting Common Share: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2"/>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 net income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Diluted net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1"/>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Dividends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253"/>
        </w:trPr>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Weighted average common shares outstanding (in thousands):</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11"/>
        </w:trPr>
        <w:tc>
          <w:tcPr>
            <w:tcW w:w="3840" w:type="dxa"/>
            <w:vAlign w:val="bottom"/>
          </w:tcPr>
          <w:p>
            <w:pPr>
              <w:ind w:left="340"/>
              <w:spacing w:after="0"/>
              <w:rPr>
                <w:sz w:val="20"/>
                <w:szCs w:val="20"/>
                <w:color w:val="auto"/>
              </w:rPr>
            </w:pPr>
            <w:r>
              <w:rPr>
                <w:rFonts w:ascii="Arial" w:cs="Arial" w:eastAsia="Arial" w:hAnsi="Arial"/>
                <w:sz w:val="14"/>
                <w:szCs w:val="14"/>
                <w:color w:val="auto"/>
              </w:rPr>
              <w:t>Basic</w:t>
            </w:r>
          </w:p>
        </w:tc>
        <w:tc>
          <w:tcPr>
            <w:tcW w:w="1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51,177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52,552</w:t>
            </w:r>
          </w:p>
        </w:tc>
      </w:tr>
      <w:tr>
        <w:trPr>
          <w:trHeight w:val="30"/>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1"/>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51,177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52,552</w:t>
            </w:r>
          </w:p>
        </w:tc>
      </w:tr>
      <w:tr>
        <w:trPr>
          <w:trHeight w:val="30"/>
        </w:trPr>
        <w:tc>
          <w:tcPr>
            <w:tcW w:w="3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1112"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233"/>
        </w:trPr>
        <w:tc>
          <w:tcPr>
            <w:tcW w:w="2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January 31, 2013</w:t>
            </w:r>
          </w:p>
        </w:tc>
        <w:tc>
          <w:tcPr>
            <w:tcW w:w="16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4"/>
                <w:szCs w:val="14"/>
                <w:color w:val="auto"/>
                <w:w w:val="93"/>
              </w:rPr>
              <w:t>July 31, 2012</w:t>
            </w:r>
          </w:p>
        </w:tc>
        <w:tc>
          <w:tcPr>
            <w:tcW w:w="0" w:type="dxa"/>
            <w:vAlign w:val="bottom"/>
          </w:tcPr>
          <w:p>
            <w:pPr>
              <w:spacing w:after="0"/>
              <w:rPr>
                <w:sz w:val="1"/>
                <w:szCs w:val="1"/>
                <w:color w:val="auto"/>
              </w:rPr>
            </w:pPr>
          </w:p>
        </w:tc>
      </w:tr>
      <w:tr>
        <w:trPr>
          <w:trHeight w:val="141"/>
        </w:trPr>
        <w:tc>
          <w:tcPr>
            <w:tcW w:w="2860" w:type="dxa"/>
            <w:vAlign w:val="bottom"/>
            <w:tcBorders>
              <w:top w:val="single" w:sz="8" w:color="CCEEFF"/>
            </w:tcBorders>
            <w:shd w:val="clear" w:color="auto" w:fill="CCEEFF"/>
          </w:tcPr>
          <w:p>
            <w:pPr>
              <w:spacing w:after="0"/>
              <w:rPr>
                <w:sz w:val="12"/>
                <w:szCs w:val="12"/>
                <w:color w:val="auto"/>
              </w:rPr>
            </w:pPr>
          </w:p>
        </w:tc>
        <w:tc>
          <w:tcPr>
            <w:tcW w:w="338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8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3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141,311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305,900</w:t>
            </w:r>
          </w:p>
        </w:tc>
        <w:tc>
          <w:tcPr>
            <w:tcW w:w="0" w:type="dxa"/>
            <w:vAlign w:val="bottom"/>
          </w:tcPr>
          <w:p>
            <w:pPr>
              <w:spacing w:after="0"/>
              <w:rPr>
                <w:sz w:val="1"/>
                <w:szCs w:val="1"/>
                <w:color w:val="auto"/>
              </w:rPr>
            </w:pPr>
          </w:p>
        </w:tc>
      </w:tr>
      <w:tr>
        <w:trPr>
          <w:trHeight w:val="185"/>
        </w:trPr>
        <w:tc>
          <w:tcPr>
            <w:tcW w:w="2860" w:type="dxa"/>
            <w:vAlign w:val="bottom"/>
          </w:tcPr>
          <w:p>
            <w:pPr>
              <w:ind w:left="340"/>
              <w:spacing w:after="0"/>
              <w:rPr>
                <w:sz w:val="20"/>
                <w:szCs w:val="20"/>
                <w:color w:val="auto"/>
              </w:rPr>
            </w:pPr>
            <w:r>
              <w:rPr>
                <w:rFonts w:ascii="Arial" w:cs="Arial" w:eastAsia="Arial" w:hAnsi="Arial"/>
                <w:sz w:val="14"/>
                <w:szCs w:val="14"/>
                <w:color w:val="auto"/>
              </w:rPr>
              <w:t>Accounts receivable—net</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229,219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199,006</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5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620"/>
              <w:spacing w:after="0"/>
              <w:rPr>
                <w:sz w:val="20"/>
                <w:szCs w:val="20"/>
                <w:color w:val="auto"/>
              </w:rPr>
            </w:pPr>
            <w:r>
              <w:rPr>
                <w:rFonts w:ascii="Arial" w:cs="Arial" w:eastAsia="Arial" w:hAnsi="Arial"/>
                <w:sz w:val="14"/>
                <w:szCs w:val="14"/>
                <w:color w:val="auto"/>
              </w:rPr>
              <w:t>Finished products</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75,040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64,740</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5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15,377</w:t>
            </w:r>
          </w:p>
        </w:tc>
        <w:tc>
          <w:tcPr>
            <w:tcW w:w="0" w:type="dxa"/>
            <w:vAlign w:val="bottom"/>
          </w:tcPr>
          <w:p>
            <w:pPr>
              <w:spacing w:after="0"/>
              <w:rPr>
                <w:sz w:val="1"/>
                <w:szCs w:val="1"/>
                <w:color w:val="auto"/>
              </w:rPr>
            </w:pPr>
          </w:p>
        </w:tc>
      </w:tr>
      <w:tr>
        <w:trPr>
          <w:trHeight w:val="185"/>
        </w:trPr>
        <w:tc>
          <w:tcPr>
            <w:tcW w:w="2860" w:type="dxa"/>
            <w:vAlign w:val="bottom"/>
          </w:tcPr>
          <w:p>
            <w:pPr>
              <w:ind w:left="620"/>
              <w:spacing w:after="0"/>
              <w:rPr>
                <w:sz w:val="20"/>
                <w:szCs w:val="20"/>
                <w:color w:val="auto"/>
              </w:rPr>
            </w:pPr>
            <w:r>
              <w:rPr>
                <w:rFonts w:ascii="Arial" w:cs="Arial" w:eastAsia="Arial" w:hAnsi="Arial"/>
                <w:sz w:val="14"/>
                <w:szCs w:val="14"/>
                <w:color w:val="auto"/>
              </w:rPr>
              <w:t>Raw materials and supplies</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32,242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25,407</w:t>
            </w:r>
          </w:p>
        </w:tc>
        <w:tc>
          <w:tcPr>
            <w:tcW w:w="0" w:type="dxa"/>
            <w:vAlign w:val="bottom"/>
          </w:tcPr>
          <w:p>
            <w:pPr>
              <w:spacing w:after="0"/>
              <w:rPr>
                <w:sz w:val="1"/>
                <w:szCs w:val="1"/>
                <w:color w:val="auto"/>
              </w:rPr>
            </w:pPr>
          </w:p>
        </w:tc>
      </w:tr>
      <w:tr>
        <w:trPr>
          <w:trHeight w:val="52"/>
        </w:trPr>
        <w:tc>
          <w:tcPr>
            <w:tcW w:w="28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50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105,524</w:t>
            </w:r>
          </w:p>
        </w:tc>
        <w:tc>
          <w:tcPr>
            <w:tcW w:w="0" w:type="dxa"/>
            <w:vAlign w:val="bottom"/>
          </w:tcPr>
          <w:p>
            <w:pPr>
              <w:spacing w:after="0"/>
              <w:rPr>
                <w:sz w:val="1"/>
                <w:szCs w:val="1"/>
                <w:color w:val="auto"/>
              </w:rPr>
            </w:pPr>
          </w:p>
        </w:tc>
      </w:tr>
      <w:tr>
        <w:trPr>
          <w:trHeight w:val="185"/>
        </w:trPr>
        <w:tc>
          <w:tcPr>
            <w:tcW w:w="2860" w:type="dxa"/>
            <w:vAlign w:val="bottom"/>
          </w:tcPr>
          <w:p>
            <w:pPr>
              <w:ind w:left="340"/>
              <w:spacing w:after="0"/>
              <w:rPr>
                <w:sz w:val="20"/>
                <w:szCs w:val="20"/>
                <w:color w:val="auto"/>
              </w:rPr>
            </w:pPr>
            <w:r>
              <w:rPr>
                <w:rFonts w:ascii="Arial" w:cs="Arial" w:eastAsia="Arial" w:hAnsi="Arial"/>
                <w:sz w:val="14"/>
                <w:szCs w:val="14"/>
                <w:color w:val="auto"/>
                <w:w w:val="93"/>
              </w:rPr>
              <w:t>Prepaid expenses and other current assets</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40,424</w:t>
            </w:r>
          </w:p>
        </w:tc>
        <w:tc>
          <w:tcPr>
            <w:tcW w:w="0" w:type="dxa"/>
            <w:vAlign w:val="bottom"/>
          </w:tcPr>
          <w:p>
            <w:pPr>
              <w:spacing w:after="0"/>
              <w:rPr>
                <w:sz w:val="1"/>
                <w:szCs w:val="1"/>
                <w:color w:val="auto"/>
              </w:rPr>
            </w:pPr>
          </w:p>
        </w:tc>
      </w:tr>
      <w:tr>
        <w:trPr>
          <w:trHeight w:val="52"/>
        </w:trPr>
        <w:tc>
          <w:tcPr>
            <w:tcW w:w="28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5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543,017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650,854</w:t>
            </w:r>
          </w:p>
        </w:tc>
        <w:tc>
          <w:tcPr>
            <w:tcW w:w="0" w:type="dxa"/>
            <w:vAlign w:val="bottom"/>
          </w:tcPr>
          <w:p>
            <w:pPr>
              <w:spacing w:after="0"/>
              <w:rPr>
                <w:sz w:val="1"/>
                <w:szCs w:val="1"/>
                <w:color w:val="auto"/>
              </w:rPr>
            </w:pPr>
          </w:p>
        </w:tc>
      </w:tr>
      <w:tr>
        <w:trPr>
          <w:trHeight w:val="56"/>
        </w:trPr>
        <w:tc>
          <w:tcPr>
            <w:tcW w:w="28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507355"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Goodwill</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Property, plant and equipment:</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Land</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Machinery and equipment</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Property, plant and equipment—net</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60" w:type="dxa"/>
            <w:vAlign w:val="bottom"/>
          </w:tcPr>
          <w:p>
            <w:pPr>
              <w:jc w:val="right"/>
              <w:ind w:right="992"/>
              <w:spacing w:after="0"/>
              <w:rPr>
                <w:sz w:val="20"/>
                <w:szCs w:val="20"/>
                <w:color w:val="auto"/>
              </w:rPr>
            </w:pPr>
            <w:r>
              <w:rPr>
                <w:rFonts w:ascii="Arial" w:cs="Arial" w:eastAsia="Arial" w:hAnsi="Arial"/>
                <w:sz w:val="14"/>
                <w:szCs w:val="14"/>
                <w:b w:val="1"/>
                <w:bCs w:val="1"/>
                <w:color w:val="auto"/>
                <w:w w:val="83"/>
              </w:rPr>
              <w:t>Total</w:t>
            </w:r>
          </w:p>
        </w:tc>
        <w:tc>
          <w:tcPr>
            <w:tcW w:w="49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494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rPr>
              <w:t>LIABILITIES AND STOCKHOLDERS’ INVESTMENT</w:t>
            </w:r>
          </w:p>
        </w:tc>
        <w:tc>
          <w:tcPr>
            <w:tcW w:w="0" w:type="dxa"/>
            <w:vAlign w:val="bottom"/>
          </w:tcPr>
          <w:p>
            <w:pPr>
              <w:spacing w:after="0"/>
              <w:rPr>
                <w:sz w:val="1"/>
                <w:szCs w:val="1"/>
                <w:color w:val="auto"/>
              </w:rPr>
            </w:pPr>
          </w:p>
        </w:tc>
      </w:tr>
      <w:tr>
        <w:trPr>
          <w:trHeight w:val="273"/>
        </w:trPr>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w w:val="89"/>
              </w:rPr>
              <w:t>Current liabilities:</w:t>
            </w:r>
          </w:p>
        </w:tc>
        <w:tc>
          <w:tcPr>
            <w:tcW w:w="60" w:type="dxa"/>
            <w:vAlign w:val="bottom"/>
          </w:tcPr>
          <w:p>
            <w:pPr>
              <w:spacing w:after="0"/>
              <w:rPr>
                <w:sz w:val="23"/>
                <w:szCs w:val="23"/>
                <w:color w:val="auto"/>
              </w:rPr>
            </w:pPr>
          </w:p>
        </w:tc>
        <w:tc>
          <w:tcPr>
            <w:tcW w:w="3340" w:type="dxa"/>
            <w:vAlign w:val="bottom"/>
            <w:tcBorders>
              <w:top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360" w:type="dxa"/>
            <w:vAlign w:val="bottom"/>
          </w:tcPr>
          <w:p>
            <w:pPr>
              <w:jc w:val="right"/>
              <w:ind w:right="192"/>
              <w:spacing w:after="0"/>
              <w:rPr>
                <w:sz w:val="20"/>
                <w:szCs w:val="20"/>
                <w:color w:val="auto"/>
              </w:rPr>
            </w:pPr>
            <w:r>
              <w:rPr>
                <w:rFonts w:ascii="Arial" w:cs="Arial" w:eastAsia="Arial" w:hAnsi="Arial"/>
                <w:sz w:val="14"/>
                <w:szCs w:val="14"/>
                <w:color w:val="auto"/>
              </w:rPr>
              <w:t>Notes payable</w:t>
            </w:r>
          </w:p>
        </w:tc>
        <w:tc>
          <w:tcPr>
            <w:tcW w:w="49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4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tcPr>
          <w:p>
            <w:pPr>
              <w:jc w:val="right"/>
              <w:ind w:right="12"/>
              <w:spacing w:after="0"/>
              <w:rPr>
                <w:sz w:val="20"/>
                <w:szCs w:val="20"/>
                <w:color w:val="auto"/>
              </w:rPr>
            </w:pPr>
            <w:r>
              <w:rPr>
                <w:rFonts w:ascii="Arial" w:cs="Arial" w:eastAsia="Arial" w:hAnsi="Arial"/>
                <w:sz w:val="14"/>
                <w:szCs w:val="14"/>
                <w:color w:val="auto"/>
              </w:rPr>
              <w:t>Accounts payable</w:t>
            </w:r>
          </w:p>
        </w:tc>
        <w:tc>
          <w:tcPr>
            <w:tcW w:w="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5507355"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35560</wp:posOffset>
            </wp:positionV>
            <wp:extent cx="5507355"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-591820</wp:posOffset>
            </wp:positionV>
            <wp:extent cx="5507355"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7355" cy="168275"/>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Wages and amounts withheld from employees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maturities on long-term debt</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507355" cy="153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obligations, less current maturities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507355" cy="153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550735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stock:</w:t>
      </w:r>
    </w:p>
    <w:p>
      <w:pPr>
        <w:spacing w:after="0" w:line="80" w:lineRule="exact"/>
        <w:rPr>
          <w:sz w:val="20"/>
          <w:szCs w:val="20"/>
          <w:color w:val="auto"/>
        </w:rPr>
      </w:pPr>
    </w:p>
    <w:p>
      <w:pPr>
        <w:ind w:left="620" w:right="500"/>
        <w:spacing w:after="0" w:line="237" w:lineRule="auto"/>
        <w:rPr>
          <w:sz w:val="20"/>
          <w:szCs w:val="20"/>
          <w:color w:val="auto"/>
        </w:rPr>
      </w:pPr>
      <w:r>
        <w:rPr>
          <w:rFonts w:ascii="Arial" w:cs="Arial" w:eastAsia="Arial" w:hAnsi="Arial"/>
          <w:sz w:val="14"/>
          <w:szCs w:val="14"/>
          <w:color w:val="auto"/>
        </w:rPr>
        <w:t>Class A nonvoting common stock—Issued 51,261,487 and 51,261,487 shares, respectively and outstanding 47,711,496 and 47,630,926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507355"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auto"/>
        </w:rPr>
        <w:t>Class B voting common stock—Issued and outstanding, 3,538,628 shares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Earnings retained in the business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1"/>
          <w:szCs w:val="11"/>
          <w:color w:val="auto"/>
        </w:rPr>
        <w:t>Treasury stock—3,234,991 and 3,245,561 shares, respectively of Class A nonvoting common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507355" cy="15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other comprehensive income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5507355" cy="153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Total stockholders’ investment</w:t>
      </w:r>
    </w:p>
    <w:p>
      <w:pPr>
        <w:spacing w:after="0" w:line="15" w:lineRule="exact"/>
        <w:rPr>
          <w:sz w:val="20"/>
          <w:szCs w:val="20"/>
          <w:color w:val="auto"/>
        </w:rPr>
      </w:pPr>
    </w:p>
    <w:p>
      <w:pPr>
        <w:ind w:left="20"/>
        <w:spacing w:after="0"/>
        <w:tabs>
          <w:tab w:leader="none" w:pos="6240" w:val="left"/>
        </w:tabs>
        <w:rPr>
          <w:sz w:val="20"/>
          <w:szCs w:val="20"/>
          <w:color w:val="auto"/>
        </w:rPr>
      </w:pPr>
      <w:r>
        <w:rPr>
          <w:rFonts w:ascii="Arial" w:cs="Arial" w:eastAsia="Arial" w:hAnsi="Arial"/>
          <w:sz w:val="9"/>
          <w:szCs w:val="9"/>
          <w:b w:val="1"/>
          <w:bCs w:val="1"/>
          <w:color w:val="auto"/>
        </w:rPr>
        <w:t>Total</w:t>
      </w:r>
      <w:r>
        <w:rPr>
          <w:sz w:val="20"/>
          <w:szCs w:val="20"/>
          <w:color w:val="auto"/>
        </w:rPr>
        <w:tab/>
      </w:r>
      <w:r>
        <w:rPr>
          <w:rFonts w:ascii="Arial" w:cs="Arial" w:eastAsia="Arial" w:hAnsi="Arial"/>
          <w:sz w:val="16"/>
          <w:szCs w:val="16"/>
          <w:color w:val="auto"/>
          <w:vertAlign w:val="subscript"/>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877,972</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676,791</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185,495</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84,119</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6,032</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45,356</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22,711</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20,584</w:t>
            </w:r>
          </w:p>
        </w:tc>
      </w:tr>
      <w:tr>
        <w:trPr>
          <w:trHeight w:val="724"/>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9,145</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8,651</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105,501</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101,962</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313,512</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292,130</w:t>
            </w:r>
          </w:p>
        </w:tc>
      </w:tr>
      <w:tr>
        <w:trPr>
          <w:trHeight w:val="245"/>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12,444</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10,417</w:t>
            </w:r>
          </w:p>
        </w:tc>
      </w:tr>
      <w:tr>
        <w:trPr>
          <w:trHeight w:val="217"/>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440,602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413,160</w:t>
            </w:r>
          </w:p>
        </w:tc>
      </w:tr>
      <w:tr>
        <w:trPr>
          <w:trHeight w:val="245"/>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289,860</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283,145</w:t>
            </w:r>
          </w:p>
        </w:tc>
      </w:tr>
      <w:tr>
        <w:trPr>
          <w:trHeight w:val="22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150,742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130,015</w:t>
            </w:r>
          </w:p>
        </w:tc>
      </w:tr>
      <w:tr>
        <w:trPr>
          <w:trHeight w:val="209"/>
        </w:trPr>
        <w:tc>
          <w:tcPr>
            <w:tcW w:w="720" w:type="dxa"/>
            <w:vAlign w:val="bottom"/>
          </w:tcPr>
          <w:p>
            <w:pPr>
              <w:jc w:val="right"/>
              <w:ind w:right="92"/>
              <w:spacing w:after="0"/>
              <w:rPr>
                <w:sz w:val="20"/>
                <w:szCs w:val="20"/>
                <w:color w:val="auto"/>
              </w:rPr>
            </w:pPr>
            <w:r>
              <w:rPr>
                <w:rFonts w:ascii="Arial" w:cs="Arial" w:eastAsia="Arial" w:hAnsi="Arial"/>
                <w:sz w:val="14"/>
                <w:szCs w:val="14"/>
                <w:color w:val="auto"/>
                <w:w w:val="86"/>
              </w:rPr>
              <w:t>1,785,969</w:t>
            </w: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1,607,719</w:t>
            </w:r>
          </w:p>
        </w:tc>
      </w:tr>
      <w:tr>
        <w:trPr>
          <w:trHeight w:val="20"/>
        </w:trPr>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96"/>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112,340</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103,197</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86,646</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40,564</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54,629</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8,313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9,307</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8,869</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14,357</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46,930</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40,815</w:t>
            </w:r>
          </w:p>
        </w:tc>
      </w:tr>
      <w:tr>
        <w:trPr>
          <w:trHeight w:val="245"/>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61,264</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61,264</w:t>
            </w:r>
          </w:p>
        </w:tc>
      </w:tr>
      <w:tr>
        <w:trPr>
          <w:trHeight w:val="217"/>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381,477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267,018</w:t>
            </w:r>
          </w:p>
        </w:tc>
      </w:tr>
      <w:tr>
        <w:trPr>
          <w:trHeight w:val="241"/>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264,417</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254,944</w:t>
            </w:r>
          </w:p>
        </w:tc>
      </w:tr>
      <w:tr>
        <w:trPr>
          <w:trHeight w:val="245"/>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102,225</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76,404</w:t>
            </w:r>
          </w:p>
        </w:tc>
      </w:tr>
      <w:tr>
        <w:trPr>
          <w:trHeight w:val="217"/>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748,119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598,366</w:t>
            </w:r>
          </w:p>
        </w:tc>
      </w:tr>
      <w:tr>
        <w:trPr>
          <w:trHeight w:val="820"/>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513</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-1127760</wp:posOffset>
            </wp:positionV>
            <wp:extent cx="7429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2950" cy="762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-2529205</wp:posOffset>
            </wp:positionV>
            <wp:extent cx="7429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2950" cy="762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-2675255</wp:posOffset>
            </wp:positionV>
            <wp:extent cx="7429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2950" cy="7620"/>
                    </a:xfrm>
                    <a:prstGeom prst="rect">
                      <a:avLst/>
                    </a:prstGeom>
                    <a:noFill/>
                  </pic:spPr>
                </pic:pic>
              </a:graphicData>
            </a:graphic>
          </wp:anchor>
        </w:drawing>
      </w:r>
    </w:p>
    <w:p>
      <w:pPr>
        <w:spacing w:after="0" w:line="47" w:lineRule="exact"/>
        <w:rPr>
          <w:sz w:val="20"/>
          <w:szCs w:val="20"/>
          <w:color w:val="auto"/>
        </w:rPr>
      </w:pPr>
    </w:p>
    <w:p>
      <w:pPr>
        <w:ind w:left="1680" w:hanging="1266"/>
        <w:spacing w:after="0"/>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315,425</w:t>
      </w:r>
      <w:r>
        <w:rPr>
          <w:rFonts w:ascii="Arial" w:cs="Arial" w:eastAsia="Arial" w:hAnsi="Arial"/>
          <w:sz w:val="11"/>
          <w:szCs w:val="11"/>
          <w:color w:val="auto"/>
        </w:rPr>
        <w:t>313,008</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731,294</w:t>
      </w:r>
      <w:r>
        <w:rPr>
          <w:rFonts w:ascii="Arial" w:cs="Arial" w:eastAsia="Arial" w:hAnsi="Arial"/>
          <w:sz w:val="11"/>
          <w:szCs w:val="11"/>
          <w:color w:val="auto"/>
        </w:rPr>
        <w:t>732,290</w:t>
      </w:r>
    </w:p>
    <w:p>
      <w:pPr>
        <w:spacing w:after="0" w:line="80"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(88,354)</w:t>
      </w:r>
      <w:r>
        <w:rPr>
          <w:rFonts w:ascii="Arial" w:cs="Arial" w:eastAsia="Arial" w:hAnsi="Arial"/>
          <w:sz w:val="11"/>
          <w:szCs w:val="11"/>
          <w:color w:val="auto"/>
        </w:rPr>
        <w:t>(92,600)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0" w:type="dxa"/>
            <w:vAlign w:val="bottom"/>
          </w:tcPr>
          <w:p>
            <w:pPr>
              <w:jc w:val="right"/>
              <w:ind w:right="92"/>
              <w:spacing w:after="0"/>
              <w:rPr>
                <w:sz w:val="20"/>
                <w:szCs w:val="20"/>
                <w:color w:val="auto"/>
              </w:rPr>
            </w:pPr>
            <w:r>
              <w:rPr>
                <w:rFonts w:ascii="Arial" w:cs="Arial" w:eastAsia="Arial" w:hAnsi="Arial"/>
                <w:sz w:val="14"/>
                <w:szCs w:val="14"/>
                <w:color w:val="auto"/>
              </w:rPr>
              <w:t>81,475</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59,411</w:t>
            </w:r>
          </w:p>
        </w:tc>
      </w:tr>
      <w:tr>
        <w:trPr>
          <w:trHeight w:val="245"/>
        </w:trPr>
        <w:tc>
          <w:tcPr>
            <w:tcW w:w="720" w:type="dxa"/>
            <w:vAlign w:val="bottom"/>
          </w:tcPr>
          <w:p>
            <w:pPr>
              <w:jc w:val="right"/>
              <w:ind w:right="52"/>
              <w:spacing w:after="0"/>
              <w:rPr>
                <w:sz w:val="20"/>
                <w:szCs w:val="20"/>
                <w:color w:val="auto"/>
              </w:rPr>
            </w:pPr>
            <w:r>
              <w:rPr>
                <w:rFonts w:ascii="Arial" w:cs="Arial" w:eastAsia="Arial" w:hAnsi="Arial"/>
                <w:sz w:val="14"/>
                <w:szCs w:val="14"/>
                <w:color w:val="auto"/>
              </w:rPr>
              <w:t>(2,538)</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w:t>
            </w:r>
          </w:p>
        </w:tc>
      </w:tr>
      <w:tr>
        <w:trPr>
          <w:trHeight w:val="221"/>
        </w:trPr>
        <w:tc>
          <w:tcPr>
            <w:tcW w:w="720" w:type="dxa"/>
            <w:vAlign w:val="bottom"/>
          </w:tcPr>
          <w:p>
            <w:pPr>
              <w:jc w:val="right"/>
              <w:ind w:right="92"/>
              <w:spacing w:after="0"/>
              <w:rPr>
                <w:sz w:val="20"/>
                <w:szCs w:val="20"/>
                <w:color w:val="auto"/>
              </w:rPr>
            </w:pPr>
            <w:r>
              <w:rPr>
                <w:rFonts w:ascii="Arial" w:cs="Arial" w:eastAsia="Arial" w:hAnsi="Arial"/>
                <w:sz w:val="14"/>
                <w:szCs w:val="14"/>
                <w:color w:val="auto"/>
                <w:w w:val="86"/>
              </w:rPr>
              <w:t>1,037,850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1,009,353</w:t>
            </w:r>
          </w:p>
        </w:tc>
      </w:tr>
      <w:tr>
        <w:trPr>
          <w:trHeight w:val="209"/>
        </w:trPr>
        <w:tc>
          <w:tcPr>
            <w:tcW w:w="720" w:type="dxa"/>
            <w:vAlign w:val="bottom"/>
          </w:tcPr>
          <w:p>
            <w:pPr>
              <w:jc w:val="right"/>
              <w:ind w:right="92"/>
              <w:spacing w:after="0"/>
              <w:rPr>
                <w:sz w:val="20"/>
                <w:szCs w:val="20"/>
                <w:color w:val="auto"/>
              </w:rPr>
            </w:pPr>
            <w:r>
              <w:rPr>
                <w:rFonts w:ascii="Arial" w:cs="Arial" w:eastAsia="Arial" w:hAnsi="Arial"/>
                <w:sz w:val="14"/>
                <w:szCs w:val="14"/>
                <w:color w:val="auto"/>
                <w:w w:val="86"/>
              </w:rPr>
              <w:t>1,785,969</w:t>
            </w: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1,607,719</w:t>
            </w:r>
          </w:p>
        </w:tc>
      </w:tr>
      <w:tr>
        <w:trPr>
          <w:trHeight w:val="20"/>
        </w:trPr>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-22225</wp:posOffset>
            </wp:positionV>
            <wp:extent cx="7429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2950" cy="762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-6985</wp:posOffset>
            </wp:positionV>
            <wp:extent cx="7429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2950" cy="762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-167640</wp:posOffset>
            </wp:positionV>
            <wp:extent cx="7429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2950" cy="7620"/>
                    </a:xfrm>
                    <a:prstGeom prst="rect">
                      <a:avLst/>
                    </a:prstGeom>
                    <a:noFill/>
                  </pic:spPr>
                </pic:pic>
              </a:graphicData>
            </a:graphic>
          </wp:anchor>
        </w:drawing>
      </w:r>
    </w:p>
    <w:p>
      <w:pPr>
        <w:sectPr>
          <w:pgSz w:w="11900" w:h="16838" w:orient="portrait"/>
          <w:cols w:equalWidth="0" w:num="2">
            <w:col w:w="6320" w:space="460"/>
            <w:col w:w="3439"/>
          </w:cols>
          <w:pgMar w:left="240" w:top="537"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65" w:lineRule="exact"/>
        <w:rPr>
          <w:sz w:val="20"/>
          <w:szCs w:val="20"/>
          <w:color w:val="auto"/>
        </w:rPr>
      </w:pPr>
    </w:p>
    <w:p>
      <w:pPr>
        <w:jc w:val="center"/>
        <w:ind w:left="3580"/>
        <w:spacing w:after="0"/>
        <w:rPr>
          <w:sz w:val="20"/>
          <w:szCs w:val="20"/>
          <w:color w:val="auto"/>
        </w:rPr>
      </w:pPr>
      <w:r>
        <w:rPr>
          <w:rFonts w:ascii="Arial" w:cs="Arial" w:eastAsia="Arial" w:hAnsi="Arial"/>
          <w:sz w:val="14"/>
          <w:szCs w:val="14"/>
          <w:color w:val="auto"/>
        </w:rPr>
        <w:t>(Unaudited)</w:t>
      </w:r>
    </w:p>
    <w:p>
      <w:pPr>
        <w:spacing w:after="0" w:line="22" w:lineRule="exact"/>
        <w:rPr>
          <w:sz w:val="20"/>
          <w:szCs w:val="20"/>
          <w:color w:val="auto"/>
        </w:rPr>
      </w:pPr>
    </w:p>
    <w:p>
      <w:pPr>
        <w:jc w:val="center"/>
        <w:ind w:left="3580"/>
        <w:spacing w:after="0"/>
        <w:rPr>
          <w:sz w:val="20"/>
          <w:szCs w:val="20"/>
          <w:color w:val="auto"/>
        </w:rPr>
      </w:pPr>
      <w:r>
        <w:rPr>
          <w:rFonts w:ascii="Arial" w:cs="Arial" w:eastAsia="Arial" w:hAnsi="Arial"/>
          <w:sz w:val="14"/>
          <w:szCs w:val="14"/>
          <w:color w:val="auto"/>
        </w:rPr>
        <w:t>Six Months Ended January 31,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2012</w:t>
            </w:r>
          </w:p>
        </w:tc>
      </w:tr>
      <w:tr>
        <w:trPr>
          <w:trHeight w:val="30"/>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18,504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(57,222)</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22,176</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Non-cash portion of restructuring charges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Non-cash portion of stock-based compensation expense</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5,506</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Impairment charge</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115,688</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Loss (gain) on sales of businesses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(4,831)</w:t>
            </w:r>
          </w:p>
        </w:tc>
      </w:tr>
      <w:tr>
        <w:trPr>
          <w:trHeight w:val="211"/>
        </w:trPr>
        <w:tc>
          <w:tcPr>
            <w:tcW w:w="62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Accounts receivable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6,029</w:t>
            </w:r>
          </w:p>
        </w:tc>
      </w:tr>
      <w:tr>
        <w:trPr>
          <w:trHeight w:val="211"/>
        </w:trPr>
        <w:tc>
          <w:tcPr>
            <w:tcW w:w="6280" w:type="dxa"/>
            <w:vAlign w:val="bottom"/>
          </w:tcPr>
          <w:p>
            <w:pPr>
              <w:ind w:left="6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(11,814)</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(5,155)</w:t>
            </w:r>
          </w:p>
        </w:tc>
      </w:tr>
      <w:tr>
        <w:trPr>
          <w:trHeight w:val="211"/>
        </w:trPr>
        <w:tc>
          <w:tcPr>
            <w:tcW w:w="6280" w:type="dxa"/>
            <w:vAlign w:val="bottom"/>
          </w:tcPr>
          <w:p>
            <w:pPr>
              <w:ind w:left="62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(36,297)</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9,221</w:t>
            </w:r>
          </w:p>
        </w:tc>
      </w:tr>
      <w:tr>
        <w:trPr>
          <w:trHeight w:val="191"/>
        </w:trPr>
        <w:tc>
          <w:tcPr>
            <w:tcW w:w="6280" w:type="dxa"/>
            <w:vAlign w:val="bottom"/>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44,194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43,301</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(11,100)</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Payments of contingent consideration</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(2,580)</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Settlement of net investment hedges</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 of business, net of cash acquired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(300,757)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Sales of businesses, net of cash retained</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91"/>
        </w:trPr>
        <w:tc>
          <w:tcPr>
            <w:tcW w:w="6280" w:type="dxa"/>
            <w:vAlign w:val="bottom"/>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(306,795)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(14,605)</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Payment of dividends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(19,452)</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2,301</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Purchase of treasury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(12,309)</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borrowings on credit revolver</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Repayment of borrowings on credit revolver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(112,472)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7"/>
        </w:trPr>
        <w:tc>
          <w:tcPr>
            <w:tcW w:w="62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8"/>
              </w:rPr>
              <w:t>Income tax benefit from the exercise of stock options and deferred compensation distribution, and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566</w:t>
            </w:r>
          </w:p>
        </w:tc>
      </w:tr>
      <w:tr>
        <w:trPr>
          <w:trHeight w:val="191"/>
        </w:trPr>
        <w:tc>
          <w:tcPr>
            <w:tcW w:w="6280" w:type="dxa"/>
            <w:vAlign w:val="bottom"/>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88,590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(28,894)</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(9,442)</w:t>
            </w:r>
          </w:p>
        </w:tc>
      </w:tr>
      <w:tr>
        <w:trPr>
          <w:trHeight w:val="211"/>
        </w:trPr>
        <w:tc>
          <w:tcPr>
            <w:tcW w:w="62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(9,640)</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305,900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389,971</w:t>
            </w:r>
          </w:p>
        </w:tc>
      </w:tr>
      <w:tr>
        <w:trPr>
          <w:trHeight w:val="191"/>
        </w:trPr>
        <w:tc>
          <w:tcPr>
            <w:tcW w:w="628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141,311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380,331</w:t>
            </w:r>
          </w:p>
        </w:tc>
      </w:tr>
      <w:tr>
        <w:trPr>
          <w:trHeight w:val="70"/>
        </w:trPr>
        <w:tc>
          <w:tcPr>
            <w:tcW w:w="62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51"/>
        </w:trPr>
        <w:tc>
          <w:tcPr>
            <w:tcW w:w="62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Supplemental disclosures: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67"/>
        </w:trPr>
        <w:tc>
          <w:tcPr>
            <w:tcW w:w="62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199"/>
        </w:trPr>
        <w:tc>
          <w:tcPr>
            <w:tcW w:w="6280" w:type="dxa"/>
            <w:vAlign w:val="bottom"/>
          </w:tcPr>
          <w:p>
            <w:pPr>
              <w:ind w:left="20"/>
              <w:spacing w:after="0"/>
              <w:rPr>
                <w:sz w:val="20"/>
                <w:szCs w:val="20"/>
                <w:color w:val="auto"/>
              </w:rPr>
            </w:pPr>
            <w:r>
              <w:rPr>
                <w:rFonts w:ascii="Arial" w:cs="Arial" w:eastAsia="Arial" w:hAnsi="Arial"/>
                <w:sz w:val="14"/>
                <w:szCs w:val="14"/>
                <w:color w:val="auto"/>
              </w:rPr>
              <w:t>Cash paid during the period for:</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2"/>
        </w:trPr>
        <w:tc>
          <w:tcPr>
            <w:tcW w:w="6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 net of capitalized interest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9,521</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Income taxes, net of refunds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16,189</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Fair value of assets acquired, net of cash</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168,675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Liabilities assumed</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280" w:type="dxa"/>
            <w:vAlign w:val="bottom"/>
          </w:tcPr>
          <w:p>
            <w:pPr>
              <w:ind w:left="3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189,942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62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paid for acquisitions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300,757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color w:val="auto"/>
        </w:rPr>
        <w:t>Information by regional segment for the three and six months ended January 31, 2013 and 2012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w w:val="96"/>
              </w:rPr>
              <w:t>Corporate and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18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5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Americas</w:t>
            </w:r>
          </w:p>
        </w:tc>
        <w:tc>
          <w:tcPr>
            <w:tcW w:w="30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EMEA</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Asia-Pacific</w:t>
            </w: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Total Region</w:t>
            </w: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r>
      <w:tr>
        <w:trPr>
          <w:trHeight w:val="30"/>
        </w:trPr>
        <w:tc>
          <w:tcPr>
            <w:tcW w:w="31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6"/>
        </w:trPr>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191"/>
        </w:trPr>
        <w:tc>
          <w:tcPr>
            <w:tcW w:w="1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Three months ended:</w:t>
            </w:r>
          </w:p>
        </w:tc>
        <w:tc>
          <w:tcPr>
            <w:tcW w:w="5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30"/>
        </w:trPr>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31, 2013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147,716</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94,395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82,071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324,182</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324,182</w:t>
            </w:r>
          </w:p>
        </w:tc>
      </w:tr>
      <w:tr>
        <w:trPr>
          <w:trHeight w:val="199"/>
        </w:trPr>
        <w:tc>
          <w:tcPr>
            <w:tcW w:w="1800" w:type="dxa"/>
            <w:vAlign w:val="bottom"/>
          </w:tcPr>
          <w:p>
            <w:pPr>
              <w:ind w:left="20"/>
              <w:spacing w:after="0"/>
              <w:rPr>
                <w:sz w:val="20"/>
                <w:szCs w:val="20"/>
                <w:color w:val="auto"/>
              </w:rPr>
            </w:pPr>
            <w:r>
              <w:rPr>
                <w:rFonts w:ascii="Arial" w:cs="Arial" w:eastAsia="Arial" w:hAnsi="Arial"/>
                <w:sz w:val="14"/>
                <w:szCs w:val="14"/>
                <w:color w:val="auto"/>
              </w:rPr>
              <w:t>January 31, 2012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138,405</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95,593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86,586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320,584</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120"/>
              <w:spacing w:after="0"/>
              <w:rPr>
                <w:sz w:val="20"/>
                <w:szCs w:val="20"/>
                <w:color w:val="auto"/>
              </w:rPr>
            </w:pPr>
            <w:r>
              <w:rPr>
                <w:rFonts w:ascii="Arial" w:cs="Arial" w:eastAsia="Arial" w:hAnsi="Arial"/>
                <w:sz w:val="14"/>
                <w:szCs w:val="14"/>
                <w:color w:val="auto"/>
              </w:rPr>
              <w:t>320,584</w:t>
            </w:r>
          </w:p>
        </w:tc>
      </w:tr>
      <w:tr>
        <w:trPr>
          <w:trHeight w:val="30"/>
        </w:trPr>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3"/>
        </w:trPr>
        <w:tc>
          <w:tcPr>
            <w:tcW w:w="18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199"/>
        </w:trPr>
        <w:tc>
          <w:tcPr>
            <w:tcW w:w="1800" w:type="dxa"/>
            <w:vAlign w:val="bottom"/>
          </w:tcPr>
          <w:p>
            <w:pPr>
              <w:ind w:left="20"/>
              <w:spacing w:after="0"/>
              <w:rPr>
                <w:sz w:val="20"/>
                <w:szCs w:val="20"/>
                <w:color w:val="auto"/>
              </w:rPr>
            </w:pPr>
            <w:r>
              <w:rPr>
                <w:rFonts w:ascii="Arial" w:cs="Arial" w:eastAsia="Arial" w:hAnsi="Arial"/>
                <w:sz w:val="14"/>
                <w:szCs w:val="14"/>
                <w:color w:val="auto"/>
              </w:rPr>
              <w:t>Six months ended:</w:t>
            </w: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
        </w:trPr>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31, 2013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296,408</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187,628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177,792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661,828</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661,828</w:t>
            </w:r>
          </w:p>
        </w:tc>
      </w:tr>
      <w:tr>
        <w:trPr>
          <w:trHeight w:val="199"/>
        </w:trPr>
        <w:tc>
          <w:tcPr>
            <w:tcW w:w="1800" w:type="dxa"/>
            <w:vAlign w:val="bottom"/>
          </w:tcPr>
          <w:p>
            <w:pPr>
              <w:ind w:left="20"/>
              <w:spacing w:after="0"/>
              <w:rPr>
                <w:sz w:val="20"/>
                <w:szCs w:val="20"/>
                <w:color w:val="auto"/>
              </w:rPr>
            </w:pPr>
            <w:r>
              <w:rPr>
                <w:rFonts w:ascii="Arial" w:cs="Arial" w:eastAsia="Arial" w:hAnsi="Arial"/>
                <w:sz w:val="14"/>
                <w:szCs w:val="14"/>
                <w:color w:val="auto"/>
              </w:rPr>
              <w:t>January 31, 2012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292,267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192,949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184,876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670,092</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ind w:left="120"/>
              <w:spacing w:after="0"/>
              <w:rPr>
                <w:sz w:val="20"/>
                <w:szCs w:val="20"/>
                <w:color w:val="auto"/>
              </w:rPr>
            </w:pPr>
            <w:r>
              <w:rPr>
                <w:rFonts w:ascii="Arial" w:cs="Arial" w:eastAsia="Arial" w:hAnsi="Arial"/>
                <w:sz w:val="14"/>
                <w:szCs w:val="14"/>
                <w:color w:val="auto"/>
              </w:rPr>
              <w:t>670,092</w:t>
            </w:r>
          </w:p>
        </w:tc>
      </w:tr>
      <w:tr>
        <w:trPr>
          <w:trHeight w:val="30"/>
        </w:trPr>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3"/>
        </w:trPr>
        <w:tc>
          <w:tcPr>
            <w:tcW w:w="18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5231765" cy="153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31765" cy="1530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Three months ended January 31,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0" w:type="dxa"/>
            <w:vAlign w:val="bottom"/>
          </w:tcPr>
          <w:p>
            <w:pPr>
              <w:ind w:left="160"/>
              <w:spacing w:after="0"/>
              <w:rPr>
                <w:sz w:val="20"/>
                <w:szCs w:val="20"/>
                <w:color w:val="auto"/>
              </w:rPr>
            </w:pPr>
            <w:r>
              <w:rPr>
                <w:rFonts w:ascii="Arial" w:cs="Arial" w:eastAsia="Arial" w:hAnsi="Arial"/>
                <w:sz w:val="14"/>
                <w:szCs w:val="14"/>
                <w:color w:val="auto"/>
              </w:rPr>
              <w:t>Organic</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0.6 %</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15"/>
                <w:szCs w:val="15"/>
                <w:color w:val="auto"/>
              </w:rPr>
            </w:pPr>
          </w:p>
        </w:tc>
        <w:tc>
          <w:tcPr>
            <w:tcW w:w="72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0"/>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Currency</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199"/>
        </w:trPr>
        <w:tc>
          <w:tcPr>
            <w:tcW w:w="2200" w:type="dxa"/>
            <w:vAlign w:val="bottom"/>
          </w:tcPr>
          <w:p>
            <w:pPr>
              <w:ind w:left="160"/>
              <w:spacing w:after="0"/>
              <w:rPr>
                <w:sz w:val="20"/>
                <w:szCs w:val="20"/>
                <w:color w:val="auto"/>
              </w:rPr>
            </w:pPr>
            <w:r>
              <w:rPr>
                <w:rFonts w:ascii="Arial" w:cs="Arial" w:eastAsia="Arial" w:hAnsi="Arial"/>
                <w:sz w:val="14"/>
                <w:szCs w:val="14"/>
                <w:color w:val="auto"/>
              </w:rPr>
              <w:t>Acquisitions/Divestitures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6.5 %</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4.0 %</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4.0 %</w:t>
            </w:r>
          </w:p>
        </w:tc>
        <w:tc>
          <w:tcPr>
            <w:tcW w:w="280" w:type="dxa"/>
            <w:vAlign w:val="bottom"/>
          </w:tcPr>
          <w:p>
            <w:pPr>
              <w:spacing w:after="0"/>
              <w:rPr>
                <w:sz w:val="17"/>
                <w:szCs w:val="17"/>
                <w:color w:val="auto"/>
              </w:rPr>
            </w:pPr>
          </w:p>
        </w:tc>
        <w:tc>
          <w:tcPr>
            <w:tcW w:w="72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30"/>
        </w:trPr>
        <w:tc>
          <w:tcPr>
            <w:tcW w:w="2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253"/>
        </w:trPr>
        <w:tc>
          <w:tcPr>
            <w:tcW w:w="2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Six months ended January 31, 2013:</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199"/>
        </w:trPr>
        <w:tc>
          <w:tcPr>
            <w:tcW w:w="2200" w:type="dxa"/>
            <w:vAlign w:val="bottom"/>
          </w:tcPr>
          <w:p>
            <w:pPr>
              <w:ind w:left="160"/>
              <w:spacing w:after="0"/>
              <w:rPr>
                <w:sz w:val="20"/>
                <w:szCs w:val="20"/>
                <w:color w:val="auto"/>
              </w:rPr>
            </w:pPr>
            <w:r>
              <w:rPr>
                <w:rFonts w:ascii="Arial" w:cs="Arial" w:eastAsia="Arial" w:hAnsi="Arial"/>
                <w:sz w:val="14"/>
                <w:szCs w:val="14"/>
                <w:color w:val="auto"/>
              </w:rPr>
              <w:t>Organic</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7"/>
                <w:szCs w:val="17"/>
                <w:color w:val="auto"/>
              </w:rPr>
            </w:pPr>
          </w:p>
        </w:tc>
        <w:tc>
          <w:tcPr>
            <w:tcW w:w="72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0"/>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Currency</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2200" w:type="dxa"/>
            <w:vAlign w:val="bottom"/>
          </w:tcPr>
          <w:p>
            <w:pPr>
              <w:ind w:left="160"/>
              <w:spacing w:after="0"/>
              <w:rPr>
                <w:sz w:val="20"/>
                <w:szCs w:val="20"/>
                <w:color w:val="auto"/>
              </w:rPr>
            </w:pPr>
            <w:r>
              <w:rPr>
                <w:rFonts w:ascii="Arial" w:cs="Arial" w:eastAsia="Arial" w:hAnsi="Arial"/>
                <w:sz w:val="14"/>
                <w:szCs w:val="14"/>
                <w:color w:val="auto"/>
              </w:rPr>
              <w:t>Acquisitions/Divestitures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2.3 %</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4.3 %</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0.0 %</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2.2 %</w:t>
            </w:r>
          </w:p>
        </w:tc>
        <w:tc>
          <w:tcPr>
            <w:tcW w:w="280" w:type="dxa"/>
            <w:vAlign w:val="bottom"/>
          </w:tcPr>
          <w:p>
            <w:pPr>
              <w:spacing w:after="0"/>
              <w:rPr>
                <w:sz w:val="17"/>
                <w:szCs w:val="17"/>
                <w:color w:val="auto"/>
              </w:rPr>
            </w:pPr>
          </w:p>
        </w:tc>
        <w:tc>
          <w:tcPr>
            <w:tcW w:w="720" w:type="dxa"/>
            <w:vAlign w:val="bottom"/>
          </w:tcPr>
          <w:p>
            <w:pPr>
              <w:ind w:left="4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30"/>
        </w:trPr>
        <w:tc>
          <w:tcPr>
            <w:tcW w:w="2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3"/>
        </w:trPr>
        <w:tc>
          <w:tcPr>
            <w:tcW w:w="2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34"/>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191"/>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Three months ended:</w:t>
            </w: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30"/>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31, 2013</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32,336</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23,723</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5,514</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61,573</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(1,794)</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59,779</w:t>
            </w:r>
          </w:p>
        </w:tc>
      </w:tr>
      <w:tr>
        <w:trPr>
          <w:trHeight w:val="199"/>
        </w:trPr>
        <w:tc>
          <w:tcPr>
            <w:tcW w:w="2200" w:type="dxa"/>
            <w:vAlign w:val="bottom"/>
          </w:tcPr>
          <w:p>
            <w:pPr>
              <w:ind w:left="20"/>
              <w:spacing w:after="0"/>
              <w:rPr>
                <w:sz w:val="20"/>
                <w:szCs w:val="20"/>
                <w:color w:val="auto"/>
              </w:rPr>
            </w:pPr>
            <w:r>
              <w:rPr>
                <w:rFonts w:ascii="Arial" w:cs="Arial" w:eastAsia="Arial" w:hAnsi="Arial"/>
                <w:sz w:val="14"/>
                <w:szCs w:val="14"/>
                <w:color w:val="auto"/>
              </w:rPr>
              <w:t>January 31, 2012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35,798</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26,562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7,733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70,093</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ind w:left="200"/>
              <w:spacing w:after="0"/>
              <w:rPr>
                <w:sz w:val="20"/>
                <w:szCs w:val="20"/>
                <w:color w:val="auto"/>
              </w:rPr>
            </w:pPr>
            <w:r>
              <w:rPr>
                <w:rFonts w:ascii="Arial" w:cs="Arial" w:eastAsia="Arial" w:hAnsi="Arial"/>
                <w:sz w:val="14"/>
                <w:szCs w:val="14"/>
                <w:color w:val="auto"/>
              </w:rPr>
              <w:t>(2,359)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67,734</w:t>
            </w:r>
          </w:p>
        </w:tc>
      </w:tr>
      <w:tr>
        <w:trPr>
          <w:trHeight w:val="30"/>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i w:val="1"/>
                <w:iCs w:val="1"/>
                <w:color w:val="auto"/>
              </w:rPr>
              <w:t>Percentage change</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53"/>
        </w:trPr>
        <w:tc>
          <w:tcPr>
            <w:tcW w:w="2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Six months ended:</w:t>
            </w: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199"/>
        </w:trPr>
        <w:tc>
          <w:tcPr>
            <w:tcW w:w="2200" w:type="dxa"/>
            <w:vAlign w:val="bottom"/>
          </w:tcPr>
          <w:p>
            <w:pPr>
              <w:ind w:left="20"/>
              <w:spacing w:after="0"/>
              <w:rPr>
                <w:sz w:val="20"/>
                <w:szCs w:val="20"/>
                <w:color w:val="auto"/>
              </w:rPr>
            </w:pPr>
            <w:r>
              <w:rPr>
                <w:rFonts w:ascii="Arial" w:cs="Arial" w:eastAsia="Arial" w:hAnsi="Arial"/>
                <w:sz w:val="14"/>
                <w:szCs w:val="14"/>
                <w:color w:val="auto"/>
              </w:rPr>
              <w:t>January 31, 2013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76,969</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47,290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17,569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141,828</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ind w:left="200"/>
              <w:spacing w:after="0"/>
              <w:rPr>
                <w:sz w:val="20"/>
                <w:szCs w:val="20"/>
                <w:color w:val="auto"/>
              </w:rPr>
            </w:pPr>
            <w:r>
              <w:rPr>
                <w:rFonts w:ascii="Arial" w:cs="Arial" w:eastAsia="Arial" w:hAnsi="Arial"/>
                <w:sz w:val="14"/>
                <w:szCs w:val="14"/>
                <w:color w:val="auto"/>
              </w:rPr>
              <w:t>(3,767)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138,061</w:t>
            </w:r>
          </w:p>
        </w:tc>
      </w:tr>
      <w:tr>
        <w:trPr>
          <w:trHeight w:val="30"/>
        </w:trPr>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31, 2012</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79,028</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52,861</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21,037</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152,926</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(5,622)</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147,304</w:t>
            </w:r>
          </w:p>
        </w:tc>
      </w:tr>
      <w:tr>
        <w:trPr>
          <w:trHeight w:val="211"/>
        </w:trPr>
        <w:tc>
          <w:tcPr>
            <w:tcW w:w="2200" w:type="dxa"/>
            <w:vAlign w:val="bottom"/>
          </w:tcPr>
          <w:p>
            <w:pPr>
              <w:ind w:left="240"/>
              <w:spacing w:after="0"/>
              <w:rPr>
                <w:sz w:val="20"/>
                <w:szCs w:val="20"/>
                <w:color w:val="auto"/>
              </w:rPr>
            </w:pPr>
            <w:r>
              <w:rPr>
                <w:rFonts w:ascii="Arial" w:cs="Arial" w:eastAsia="Arial" w:hAnsi="Arial"/>
                <w:sz w:val="14"/>
                <w:szCs w:val="14"/>
                <w:i w:val="1"/>
                <w:iCs w:val="1"/>
                <w:color w:val="auto"/>
              </w:rPr>
              <w:t>Percentage change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r>
    </w:tbl>
    <w:p>
      <w:pPr>
        <w:sectPr>
          <w:pgSz w:w="11900" w:h="16838" w:orient="portrait"/>
          <w:cols w:equalWidth="0" w:num="1">
            <w:col w:w="10219"/>
          </w:cols>
          <w:pgMar w:left="240" w:top="939" w:right="1440" w:bottom="1440" w:gutter="0" w:footer="0" w:header="0"/>
        </w:sectPr>
      </w:pPr>
    </w:p>
    <w:bookmarkStart w:id="13" w:name="page14"/>
    <w:bookmarkEnd w:id="13"/>
    <w:p>
      <w:pPr>
        <w:ind w:left="2300"/>
        <w:spacing w:after="0"/>
        <w:rPr>
          <w:sz w:val="20"/>
          <w:szCs w:val="20"/>
          <w:color w:val="auto"/>
        </w:rPr>
      </w:pPr>
      <w:r>
        <w:rPr>
          <w:rFonts w:ascii="Arial" w:cs="Arial" w:eastAsia="Arial" w:hAnsi="Arial"/>
          <w:sz w:val="14"/>
          <w:szCs w:val="14"/>
          <w:b w:val="1"/>
          <w:bCs w:val="1"/>
          <w:color w:val="auto"/>
        </w:rPr>
        <w:t>NET INCOME RECONCILIATION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5239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39385" cy="762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1960" w:type="dxa"/>
            <w:vAlign w:val="bottom"/>
            <w:gridSpan w:val="4"/>
          </w:tcPr>
          <w:p>
            <w:pPr>
              <w:jc w:val="right"/>
              <w:ind w:right="68"/>
              <w:spacing w:after="0"/>
              <w:rPr>
                <w:sz w:val="20"/>
                <w:szCs w:val="20"/>
                <w:color w:val="auto"/>
              </w:rPr>
            </w:pPr>
            <w:r>
              <w:rPr>
                <w:rFonts w:ascii="Arial" w:cs="Arial" w:eastAsia="Arial" w:hAnsi="Arial"/>
                <w:sz w:val="14"/>
                <w:szCs w:val="14"/>
                <w:color w:val="auto"/>
                <w:w w:val="94"/>
              </w:rPr>
              <w:t>Six Months Ended January 31,</w:t>
            </w:r>
          </w:p>
        </w:tc>
      </w:tr>
      <w:tr>
        <w:trPr>
          <w:trHeight w:val="30"/>
        </w:trPr>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2012</w:t>
            </w:r>
          </w:p>
        </w:tc>
      </w:tr>
      <w:tr>
        <w:trPr>
          <w:trHeight w:val="30"/>
        </w:trPr>
        <w:tc>
          <w:tcPr>
            <w:tcW w:w="3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profit for reportable segments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61,573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70,093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141,828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152,926</w:t>
            </w:r>
          </w:p>
        </w:tc>
      </w:tr>
      <w:tr>
        <w:trPr>
          <w:trHeight w:val="211"/>
        </w:trPr>
        <w:tc>
          <w:tcPr>
            <w:tcW w:w="3940" w:type="dxa"/>
            <w:vAlign w:val="bottom"/>
          </w:tcPr>
          <w:p>
            <w:pPr>
              <w:ind w:left="20"/>
              <w:spacing w:after="0"/>
              <w:rPr>
                <w:sz w:val="20"/>
                <w:szCs w:val="20"/>
                <w:color w:val="auto"/>
              </w:rPr>
            </w:pPr>
            <w:r>
              <w:rPr>
                <w:rFonts w:ascii="Arial" w:cs="Arial" w:eastAsia="Arial" w:hAnsi="Arial"/>
                <w:sz w:val="14"/>
                <w:szCs w:val="14"/>
                <w:color w:val="auto"/>
              </w:rPr>
              <w:t>Corporate and eliminations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(5,622)</w:t>
            </w:r>
          </w:p>
        </w:tc>
      </w:tr>
      <w:tr>
        <w:trPr>
          <w:trHeight w:val="30"/>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Unallocated amounts:</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11"/>
        </w:trPr>
        <w:tc>
          <w:tcPr>
            <w:tcW w:w="3940" w:type="dxa"/>
            <w:vAlign w:val="bottom"/>
          </w:tcPr>
          <w:p>
            <w:pPr>
              <w:ind w:left="160"/>
              <w:spacing w:after="0"/>
              <w:rPr>
                <w:sz w:val="20"/>
                <w:szCs w:val="20"/>
                <w:color w:val="auto"/>
              </w:rPr>
            </w:pPr>
            <w:r>
              <w:rPr>
                <w:rFonts w:ascii="Arial" w:cs="Arial" w:eastAsia="Arial" w:hAnsi="Arial"/>
                <w:sz w:val="14"/>
                <w:szCs w:val="14"/>
                <w:color w:val="auto"/>
              </w:rPr>
              <w:t>Administrative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(65,926)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(59,724)</w:t>
            </w:r>
          </w:p>
        </w:tc>
      </w:tr>
      <w:tr>
        <w:trPr>
          <w:trHeight w:val="30"/>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3940" w:type="dxa"/>
            <w:vAlign w:val="bottom"/>
          </w:tcPr>
          <w:p>
            <w:pPr>
              <w:ind w:left="160"/>
              <w:spacing w:after="0"/>
              <w:rPr>
                <w:sz w:val="20"/>
                <w:szCs w:val="20"/>
                <w:color w:val="auto"/>
              </w:rPr>
            </w:pPr>
            <w:r>
              <w:rPr>
                <w:rFonts w:ascii="Arial" w:cs="Arial" w:eastAsia="Arial" w:hAnsi="Arial"/>
                <w:sz w:val="14"/>
                <w:szCs w:val="14"/>
                <w:color w:val="auto"/>
              </w:rPr>
              <w:t>Impairment charge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(115,688)</w:t>
            </w:r>
          </w:p>
        </w:tc>
      </w:tr>
      <w:tr>
        <w:trPr>
          <w:trHeight w:val="30"/>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Non-routine items</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3940" w:type="dxa"/>
            <w:vAlign w:val="bottom"/>
          </w:tcPr>
          <w:p>
            <w:pPr>
              <w:ind w:left="160"/>
              <w:spacing w:after="0"/>
              <w:rPr>
                <w:sz w:val="20"/>
                <w:szCs w:val="20"/>
                <w:color w:val="auto"/>
              </w:rPr>
            </w:pPr>
            <w:r>
              <w:rPr>
                <w:rFonts w:ascii="Arial" w:cs="Arial" w:eastAsia="Arial" w:hAnsi="Arial"/>
                <w:sz w:val="14"/>
                <w:szCs w:val="14"/>
                <w:color w:val="auto"/>
              </w:rPr>
              <w:t>Investment and other income</w:t>
            </w:r>
          </w:p>
        </w:tc>
        <w:tc>
          <w:tcPr>
            <w:tcW w:w="10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610</w:t>
            </w:r>
          </w:p>
        </w:tc>
      </w:tr>
      <w:tr>
        <w:trPr>
          <w:trHeight w:val="30"/>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(9,980)</w:t>
            </w: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21,941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(81,319)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62,611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(37,478)</w:t>
            </w:r>
          </w:p>
        </w:tc>
      </w:tr>
      <w:tr>
        <w:trPr>
          <w:trHeight w:val="30"/>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30,625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44,107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19,744</w:t>
            </w:r>
          </w:p>
        </w:tc>
      </w:tr>
      <w:tr>
        <w:trPr>
          <w:trHeight w:val="213"/>
        </w:trPr>
        <w:tc>
          <w:tcPr>
            <w:tcW w:w="3940" w:type="dxa"/>
            <w:vAlign w:val="bottom"/>
          </w:tcPr>
          <w:p>
            <w:pPr>
              <w:ind w:left="280"/>
              <w:spacing w:after="0"/>
              <w:rPr>
                <w:sz w:val="20"/>
                <w:szCs w:val="20"/>
                <w:color w:val="auto"/>
              </w:rPr>
            </w:pPr>
            <w:r>
              <w:rPr>
                <w:rFonts w:ascii="Arial" w:cs="Arial" w:eastAsia="Arial" w:hAnsi="Arial"/>
                <w:sz w:val="14"/>
                <w:szCs w:val="14"/>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(89,954)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18,504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(57,222)</w:t>
            </w: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68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EBITDA:</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Brady is presenting EBITDA because it is used by many of our investors and lenders, and is presented as a convenience to them. EBITDA represents net income before interest expense, income taxes,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2"/>
              </w:rPr>
              <w:t>Fiscal 2013</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1"/>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rPr>
              <w:t>Q1</w:t>
            </w:r>
          </w:p>
        </w:tc>
        <w:tc>
          <w:tcPr>
            <w:tcW w:w="260" w:type="dxa"/>
            <w:vAlign w:val="bottom"/>
          </w:tcPr>
          <w:p>
            <w:pPr>
              <w:spacing w:after="0"/>
              <w:rPr>
                <w:sz w:val="16"/>
                <w:szCs w:val="16"/>
                <w:color w:val="auto"/>
              </w:rPr>
            </w:pP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Q2</w:t>
            </w:r>
          </w:p>
        </w:tc>
        <w:tc>
          <w:tcPr>
            <w:tcW w:w="140" w:type="dxa"/>
            <w:vAlign w:val="bottom"/>
          </w:tcPr>
          <w:p>
            <w:pPr>
              <w:spacing w:after="0"/>
              <w:rPr>
                <w:sz w:val="16"/>
                <w:szCs w:val="16"/>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Q3</w:t>
            </w:r>
          </w:p>
        </w:tc>
        <w:tc>
          <w:tcPr>
            <w:tcW w:w="260" w:type="dxa"/>
            <w:vAlign w:val="bottom"/>
          </w:tcPr>
          <w:p>
            <w:pPr>
              <w:spacing w:after="0"/>
              <w:rPr>
                <w:sz w:val="16"/>
                <w:szCs w:val="16"/>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color w:val="auto"/>
              </w:rPr>
              <w:t>Q4</w:t>
            </w:r>
          </w:p>
        </w:tc>
        <w:tc>
          <w:tcPr>
            <w:tcW w:w="24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Total</w:t>
            </w:r>
          </w:p>
        </w:tc>
      </w:tr>
      <w:tr>
        <w:trPr>
          <w:trHeight w:val="30"/>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11"/>
        </w:trPr>
        <w:tc>
          <w:tcPr>
            <w:tcW w:w="404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27,188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(8,684)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18,504</w:t>
            </w:r>
          </w:p>
        </w:tc>
      </w:tr>
      <w:tr>
        <w:trPr>
          <w:trHeight w:val="30"/>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4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8,569</w:t>
            </w:r>
          </w:p>
        </w:tc>
      </w:tr>
      <w:tr>
        <w:trPr>
          <w:trHeight w:val="211"/>
        </w:trPr>
        <w:tc>
          <w:tcPr>
            <w:tcW w:w="4040" w:type="dxa"/>
            <w:vAlign w:val="bottom"/>
          </w:tcPr>
          <w:p>
            <w:pPr>
              <w:ind w:left="54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13,482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30,625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44,107</w:t>
            </w:r>
          </w:p>
        </w:tc>
      </w:tr>
      <w:tr>
        <w:trPr>
          <w:trHeight w:val="30"/>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4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10,675</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11,371</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22,046</w:t>
            </w:r>
          </w:p>
        </w:tc>
      </w:tr>
      <w:tr>
        <w:trPr>
          <w:trHeight w:val="245"/>
        </w:trPr>
        <w:tc>
          <w:tcPr>
            <w:tcW w:w="40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1"/>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EBITDA (non-GAAP measure)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55,508</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37,718</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93,226</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48"/>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2"/>
              </w:rPr>
              <w:t>Fiscal 2012</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1"/>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rPr>
              <w:t>Q1</w:t>
            </w:r>
          </w:p>
        </w:tc>
        <w:tc>
          <w:tcPr>
            <w:tcW w:w="260" w:type="dxa"/>
            <w:vAlign w:val="bottom"/>
          </w:tcPr>
          <w:p>
            <w:pPr>
              <w:spacing w:after="0"/>
              <w:rPr>
                <w:sz w:val="16"/>
                <w:szCs w:val="16"/>
                <w:color w:val="auto"/>
              </w:rPr>
            </w:pP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Q2</w:t>
            </w:r>
          </w:p>
        </w:tc>
        <w:tc>
          <w:tcPr>
            <w:tcW w:w="140" w:type="dxa"/>
            <w:vAlign w:val="bottom"/>
          </w:tcPr>
          <w:p>
            <w:pPr>
              <w:spacing w:after="0"/>
              <w:rPr>
                <w:sz w:val="16"/>
                <w:szCs w:val="16"/>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color w:val="auto"/>
                <w:w w:val="96"/>
              </w:rPr>
              <w:t>Q3</w:t>
            </w:r>
          </w:p>
        </w:tc>
        <w:tc>
          <w:tcPr>
            <w:tcW w:w="260" w:type="dxa"/>
            <w:vAlign w:val="bottom"/>
          </w:tcPr>
          <w:p>
            <w:pPr>
              <w:spacing w:after="0"/>
              <w:rPr>
                <w:sz w:val="16"/>
                <w:szCs w:val="16"/>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color w:val="auto"/>
              </w:rPr>
              <w:t>Q4</w:t>
            </w:r>
          </w:p>
        </w:tc>
        <w:tc>
          <w:tcPr>
            <w:tcW w:w="24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Total</w:t>
            </w:r>
          </w:p>
        </w:tc>
      </w:tr>
      <w:tr>
        <w:trPr>
          <w:trHeight w:val="30"/>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11"/>
        </w:trPr>
        <w:tc>
          <w:tcPr>
            <w:tcW w:w="404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32,732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(89,954)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27,652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11,659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(17,911)</w:t>
            </w:r>
          </w:p>
        </w:tc>
      </w:tr>
      <w:tr>
        <w:trPr>
          <w:trHeight w:val="30"/>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4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5,047</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4,735</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19,090</w:t>
            </w:r>
          </w:p>
        </w:tc>
      </w:tr>
      <w:tr>
        <w:trPr>
          <w:trHeight w:val="211"/>
        </w:trPr>
        <w:tc>
          <w:tcPr>
            <w:tcW w:w="4040" w:type="dxa"/>
            <w:vAlign w:val="bottom"/>
          </w:tcPr>
          <w:p>
            <w:pPr>
              <w:ind w:left="54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11,109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8,635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9,676</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11,241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40,661</w:t>
            </w:r>
          </w:p>
        </w:tc>
      </w:tr>
      <w:tr>
        <w:trPr>
          <w:trHeight w:val="30"/>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1"/>
        </w:trPr>
        <w:tc>
          <w:tcPr>
            <w:tcW w:w="4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11,241</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10,935</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10,745</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11,066</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43,987</w:t>
            </w:r>
          </w:p>
        </w:tc>
      </w:tr>
      <w:tr>
        <w:trPr>
          <w:trHeight w:val="211"/>
        </w:trPr>
        <w:tc>
          <w:tcPr>
            <w:tcW w:w="4040" w:type="dxa"/>
            <w:vAlign w:val="bottom"/>
          </w:tcPr>
          <w:p>
            <w:pPr>
              <w:ind w:left="540"/>
              <w:spacing w:after="0"/>
              <w:rPr>
                <w:sz w:val="20"/>
                <w:szCs w:val="20"/>
                <w:color w:val="auto"/>
              </w:rPr>
            </w:pPr>
            <w:r>
              <w:rPr>
                <w:rFonts w:ascii="Arial" w:cs="Arial" w:eastAsia="Arial" w:hAnsi="Arial"/>
                <w:sz w:val="14"/>
                <w:szCs w:val="14"/>
                <w:color w:val="auto"/>
              </w:rPr>
              <w:t>Impairment charge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115,688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115,688</w:t>
            </w:r>
          </w:p>
        </w:tc>
      </w:tr>
      <w:tr>
        <w:trPr>
          <w:trHeight w:val="30"/>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5"/>
        </w:trPr>
        <w:tc>
          <w:tcPr>
            <w:tcW w:w="4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1"/>
        </w:trPr>
        <w:tc>
          <w:tcPr>
            <w:tcW w:w="4040" w:type="dxa"/>
            <w:vAlign w:val="bottom"/>
          </w:tcPr>
          <w:p>
            <w:pPr>
              <w:ind w:left="280"/>
              <w:spacing w:after="0"/>
              <w:rPr>
                <w:sz w:val="20"/>
                <w:szCs w:val="20"/>
                <w:color w:val="auto"/>
              </w:rPr>
            </w:pPr>
            <w:r>
              <w:rPr>
                <w:rFonts w:ascii="Arial" w:cs="Arial" w:eastAsia="Arial" w:hAnsi="Arial"/>
                <w:sz w:val="14"/>
                <w:szCs w:val="14"/>
                <w:color w:val="auto"/>
              </w:rPr>
              <w:t>EBITDA (non-GAAP measure)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60,129</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50,237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52,808</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38,341</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201,515</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37"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Before Taxes Excluding Restructuring Charges, Non-Routine Items, and Other:</w:t>
      </w:r>
    </w:p>
    <w:p>
      <w:pPr>
        <w:spacing w:after="0" w:line="26"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Brady is presenting the Non-GAAP measure "Income Before Taxes Excluding Restructuring Charges, Non-Routine Items, and Other." This is not a calculation based upon GAAP. The amounts included in this Non-GAAP measure are derived from amounts included in the Condensed Consolidated Statements of Income data. We do not view these items to be part of our sustainable results. We believe this profit measure provides an important perspective of underlying business trends and results and provides a more comparable measure from year to year. The table below provides a reconciliation of Income (Loss) Before Taxes to Income Before Taxes Excluding Restructuring Charges, Non-Routine Items, and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Arial" w:cs="Arial" w:eastAsia="Arial" w:hAnsi="Arial"/>
                <w:sz w:val="14"/>
                <w:szCs w:val="14"/>
                <w:color w:val="auto"/>
              </w:rPr>
              <w:t>Three Months Ended January 31,</w:t>
            </w:r>
          </w:p>
        </w:tc>
        <w:tc>
          <w:tcPr>
            <w:tcW w:w="180" w:type="dxa"/>
            <w:vAlign w:val="bottom"/>
          </w:tcPr>
          <w:p>
            <w:pPr>
              <w:spacing w:after="0"/>
              <w:rPr>
                <w:sz w:val="15"/>
                <w:szCs w:val="15"/>
                <w:color w:val="auto"/>
              </w:rPr>
            </w:pPr>
          </w:p>
        </w:tc>
        <w:tc>
          <w:tcPr>
            <w:tcW w:w="2160" w:type="dxa"/>
            <w:vAlign w:val="bottom"/>
            <w:gridSpan w:val="4"/>
          </w:tcPr>
          <w:p>
            <w:pPr>
              <w:jc w:val="right"/>
              <w:ind w:right="20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2012</w:t>
            </w:r>
          </w:p>
        </w:tc>
      </w:tr>
      <w:tr>
        <w:trPr>
          <w:trHeight w:val="30"/>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taxes (GAAP measure)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(37,478)</w:t>
            </w:r>
          </w:p>
        </w:tc>
      </w:tr>
      <w:tr>
        <w:trPr>
          <w:trHeight w:val="211"/>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Non-routine items - pre-tax</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Gain on Thailand insurance recovery</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240" w:type="dxa"/>
            <w:vAlign w:val="bottom"/>
          </w:tcPr>
          <w:p>
            <w:pPr>
              <w:ind w:left="460"/>
              <w:spacing w:after="0"/>
              <w:rPr>
                <w:sz w:val="20"/>
                <w:szCs w:val="20"/>
                <w:color w:val="auto"/>
              </w:rPr>
            </w:pPr>
            <w:r>
              <w:rPr>
                <w:rFonts w:ascii="Arial" w:cs="Arial" w:eastAsia="Arial" w:hAnsi="Arial"/>
                <w:sz w:val="14"/>
                <w:szCs w:val="14"/>
                <w:color w:val="auto"/>
              </w:rPr>
              <w:t>Loss on the sale of Brady Medical</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Gain on the sale of Varitronics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4240" w:type="dxa"/>
            <w:vAlign w:val="bottom"/>
          </w:tcPr>
          <w:p>
            <w:pPr>
              <w:ind w:left="680"/>
              <w:spacing w:after="0"/>
              <w:rPr>
                <w:sz w:val="20"/>
                <w:szCs w:val="20"/>
                <w:color w:val="auto"/>
              </w:rPr>
            </w:pPr>
            <w:r>
              <w:rPr>
                <w:rFonts w:ascii="Arial" w:cs="Arial" w:eastAsia="Arial" w:hAnsi="Arial"/>
                <w:sz w:val="14"/>
                <w:szCs w:val="14"/>
                <w:b w:val="1"/>
                <w:bCs w:val="1"/>
                <w:color w:val="auto"/>
              </w:rPr>
              <w:t>Non-routine items - pre-tax</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items - pre-tax</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Cost of goods sold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Purchase accounting expense related to inventory</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PDC acquisition-related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charge</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115,688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115,688</w:t>
            </w: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Non-cash tax charge</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4240" w:type="dxa"/>
            <w:vAlign w:val="bottom"/>
          </w:tcPr>
          <w:p>
            <w:pPr>
              <w:ind w:left="680"/>
              <w:spacing w:after="0"/>
              <w:rPr>
                <w:sz w:val="20"/>
                <w:szCs w:val="20"/>
                <w:color w:val="auto"/>
              </w:rPr>
            </w:pPr>
            <w:r>
              <w:rPr>
                <w:rFonts w:ascii="Arial" w:cs="Arial" w:eastAsia="Arial" w:hAnsi="Arial"/>
                <w:sz w:val="14"/>
                <w:szCs w:val="14"/>
                <w:b w:val="1"/>
                <w:bCs w:val="1"/>
                <w:color w:val="auto"/>
              </w:rPr>
              <w:t>Other items - pre-tax</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9,161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115,688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9,161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115,688</w:t>
            </w: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Taxes Excluding Restructuring Charges,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2"/>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Non-Routine Items, and Other (Non-GAAP measure)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78,210</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 Excluding Restructuring Charges, Non-Routine Items, and Other:</w:t>
      </w:r>
    </w:p>
    <w:p>
      <w:pPr>
        <w:spacing w:after="0" w:line="26"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Brady is presenting the Non-GAAP measure "Income Taxes Excluding Restructuring Charges, Non-Routine Items, and Other." This is not a calculation based upon GAAP. The amounts included in this Non-GAAP measure are derived from amounts included in the Condensed Consolidated Statements of Income data.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to Income Taxes Excluding Restructuring Charges, Non-Routine Items, and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color w:val="auto"/>
              </w:rPr>
              <w:t>Three Months Ended January 31,</w:t>
            </w:r>
          </w:p>
        </w:tc>
        <w:tc>
          <w:tcPr>
            <w:tcW w:w="180" w:type="dxa"/>
            <w:vAlign w:val="bottom"/>
          </w:tcPr>
          <w:p>
            <w:pPr>
              <w:spacing w:after="0"/>
              <w:rPr>
                <w:sz w:val="15"/>
                <w:szCs w:val="15"/>
                <w:color w:val="auto"/>
              </w:rPr>
            </w:pPr>
          </w:p>
        </w:tc>
        <w:tc>
          <w:tcPr>
            <w:tcW w:w="2140" w:type="dxa"/>
            <w:vAlign w:val="bottom"/>
            <w:gridSpan w:val="4"/>
          </w:tcPr>
          <w:p>
            <w:pPr>
              <w:jc w:val="right"/>
              <w:ind w:right="18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2012</w:t>
            </w:r>
          </w:p>
        </w:tc>
      </w:tr>
      <w:tr>
        <w:trPr>
          <w:trHeight w:val="30"/>
        </w:trPr>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(GAAP measure)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30,625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44,107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19,744</w:t>
            </w:r>
          </w:p>
        </w:tc>
      </w:tr>
      <w:tr>
        <w:trPr>
          <w:trHeight w:val="211"/>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Non-routine items - tax effect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Gain on Thailand insurance recovery</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300" w:type="dxa"/>
            <w:vAlign w:val="bottom"/>
          </w:tcPr>
          <w:p>
            <w:pPr>
              <w:ind w:left="460"/>
              <w:spacing w:after="0"/>
              <w:rPr>
                <w:sz w:val="20"/>
                <w:szCs w:val="20"/>
                <w:color w:val="auto"/>
              </w:rPr>
            </w:pPr>
            <w:r>
              <w:rPr>
                <w:rFonts w:ascii="Arial" w:cs="Arial" w:eastAsia="Arial" w:hAnsi="Arial"/>
                <w:sz w:val="14"/>
                <w:szCs w:val="14"/>
                <w:color w:val="auto"/>
              </w:rPr>
              <w:t>Loss on the sale of Brady Medical</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Gain on the sale of Varitronics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300" w:type="dxa"/>
            <w:vAlign w:val="bottom"/>
          </w:tcPr>
          <w:p>
            <w:pPr>
              <w:ind w:left="680"/>
              <w:spacing w:after="0"/>
              <w:rPr>
                <w:sz w:val="20"/>
                <w:szCs w:val="20"/>
                <w:color w:val="auto"/>
              </w:rPr>
            </w:pPr>
            <w:r>
              <w:rPr>
                <w:rFonts w:ascii="Arial" w:cs="Arial" w:eastAsia="Arial" w:hAnsi="Arial"/>
                <w:sz w:val="14"/>
                <w:szCs w:val="14"/>
                <w:b w:val="1"/>
                <w:bCs w:val="1"/>
                <w:color w:val="auto"/>
              </w:rPr>
              <w:t>Non-routine items - tax effect</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items - tax effect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1"/>
        </w:trPr>
        <w:tc>
          <w:tcPr>
            <w:tcW w:w="4300" w:type="dxa"/>
            <w:vAlign w:val="bottom"/>
          </w:tcPr>
          <w:p>
            <w:pPr>
              <w:ind w:left="220"/>
              <w:spacing w:after="0"/>
              <w:rPr>
                <w:sz w:val="20"/>
                <w:szCs w:val="20"/>
                <w:color w:val="auto"/>
              </w:rPr>
            </w:pPr>
            <w:r>
              <w:rPr>
                <w:rFonts w:ascii="Arial" w:cs="Arial" w:eastAsia="Arial" w:hAnsi="Arial"/>
                <w:sz w:val="14"/>
                <w:szCs w:val="14"/>
                <w:color w:val="auto"/>
              </w:rPr>
              <w:t>Cost of goods sold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Purchase accounting expense related to inventory</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300" w:type="dxa"/>
            <w:vAlign w:val="bottom"/>
          </w:tcPr>
          <w:p>
            <w:pPr>
              <w:ind w:left="2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PDC acquisition-related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300" w:type="dxa"/>
            <w:vAlign w:val="bottom"/>
          </w:tcPr>
          <w:p>
            <w:pPr>
              <w:ind w:left="22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0"/>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charge</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300" w:type="dxa"/>
            <w:vAlign w:val="bottom"/>
          </w:tcPr>
          <w:p>
            <w:pPr>
              <w:ind w:left="2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4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Non-cash tax charge</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4300" w:type="dxa"/>
            <w:vAlign w:val="bottom"/>
          </w:tcPr>
          <w:p>
            <w:pPr>
              <w:ind w:left="680"/>
              <w:spacing w:after="0"/>
              <w:rPr>
                <w:sz w:val="20"/>
                <w:szCs w:val="20"/>
                <w:color w:val="auto"/>
              </w:rPr>
            </w:pPr>
            <w:r>
              <w:rPr>
                <w:rFonts w:ascii="Arial" w:cs="Arial" w:eastAsia="Arial" w:hAnsi="Arial"/>
                <w:sz w:val="14"/>
                <w:szCs w:val="14"/>
                <w:b w:val="1"/>
                <w:bCs w:val="1"/>
                <w:color w:val="auto"/>
              </w:rPr>
              <w:t>Other items - tax effect</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(23,028)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(23,028)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Excluding Restructuring Charges,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2"/>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Non-Routine Items, and Other (Non-GAAP measure)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20,101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19,744</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682" w:right="25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GAAP TO 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Excluding Restructuring Charges, Non-Routine Items, and Other:</w:t>
      </w:r>
    </w:p>
    <w:p>
      <w:pPr>
        <w:spacing w:after="0" w:line="26"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Brady is presenting the Non-GAAP measure "Net Income Excluding Restructuring Charges, Non-Routine Items, and Other." This is not a calculation based upon GAAP. The amounts included in this Non-GAAP measure are derived from amounts included in the Condensed Consolidated Statements of Income data. We do not view these items to be part of our sustainable results. We believe this measure provides an important perspective of underlying business trends and results and provides a more comparable measure from year to year. The table below provides a reconciliation of Net (Loss) Income to Net Income Excluding Restructuring Charges, Non-Routine Items, and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Arial" w:cs="Arial" w:eastAsia="Arial" w:hAnsi="Arial"/>
                <w:sz w:val="14"/>
                <w:szCs w:val="14"/>
                <w:color w:val="auto"/>
              </w:rPr>
              <w:t>Three Months Ended January 31,</w:t>
            </w:r>
          </w:p>
        </w:tc>
        <w:tc>
          <w:tcPr>
            <w:tcW w:w="180" w:type="dxa"/>
            <w:vAlign w:val="bottom"/>
          </w:tcPr>
          <w:p>
            <w:pPr>
              <w:spacing w:after="0"/>
              <w:rPr>
                <w:sz w:val="15"/>
                <w:szCs w:val="15"/>
                <w:color w:val="auto"/>
              </w:rPr>
            </w:pPr>
          </w:p>
        </w:tc>
        <w:tc>
          <w:tcPr>
            <w:tcW w:w="2160" w:type="dxa"/>
            <w:vAlign w:val="bottom"/>
            <w:gridSpan w:val="4"/>
          </w:tcPr>
          <w:p>
            <w:pPr>
              <w:jc w:val="right"/>
              <w:ind w:right="20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2012</w:t>
            </w:r>
          </w:p>
        </w:tc>
      </w:tr>
      <w:tr>
        <w:trPr>
          <w:trHeight w:val="30"/>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 (GAAP measure)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(89,954)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18,504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(57,222)</w:t>
            </w:r>
          </w:p>
        </w:tc>
      </w:tr>
      <w:tr>
        <w:trPr>
          <w:trHeight w:val="211"/>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Non-routine items - net of tax</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Gain on Thailand insurance recovery</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240" w:type="dxa"/>
            <w:vAlign w:val="bottom"/>
          </w:tcPr>
          <w:p>
            <w:pPr>
              <w:ind w:left="460"/>
              <w:spacing w:after="0"/>
              <w:rPr>
                <w:sz w:val="20"/>
                <w:szCs w:val="20"/>
                <w:color w:val="auto"/>
              </w:rPr>
            </w:pPr>
            <w:r>
              <w:rPr>
                <w:rFonts w:ascii="Arial" w:cs="Arial" w:eastAsia="Arial" w:hAnsi="Arial"/>
                <w:sz w:val="14"/>
                <w:szCs w:val="14"/>
                <w:color w:val="auto"/>
              </w:rPr>
              <w:t>Loss on the sale of Brady Medical</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Gain on the sale of Varitronics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4240" w:type="dxa"/>
            <w:vAlign w:val="bottom"/>
          </w:tcPr>
          <w:p>
            <w:pPr>
              <w:ind w:left="680"/>
              <w:spacing w:after="0"/>
              <w:rPr>
                <w:sz w:val="20"/>
                <w:szCs w:val="20"/>
                <w:color w:val="auto"/>
              </w:rPr>
            </w:pPr>
            <w:r>
              <w:rPr>
                <w:rFonts w:ascii="Arial" w:cs="Arial" w:eastAsia="Arial" w:hAnsi="Arial"/>
                <w:sz w:val="14"/>
                <w:szCs w:val="14"/>
                <w:b w:val="1"/>
                <w:bCs w:val="1"/>
                <w:color w:val="auto"/>
              </w:rPr>
              <w:t>Non-routine items - net of tax</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items - net of tax</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Cost of goods sold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Purchase accounting expense related to inventory</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PDC acquisition-related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charge</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115,688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115,688</w:t>
            </w:r>
          </w:p>
        </w:tc>
      </w:tr>
      <w:tr>
        <w:trPr>
          <w:trHeight w:val="211"/>
        </w:trPr>
        <w:tc>
          <w:tcPr>
            <w:tcW w:w="4240" w:type="dxa"/>
            <w:vAlign w:val="bottom"/>
          </w:tcPr>
          <w:p>
            <w:pPr>
              <w:ind w:left="2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Non-cash tax charge</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4240" w:type="dxa"/>
            <w:vAlign w:val="bottom"/>
          </w:tcPr>
          <w:p>
            <w:pPr>
              <w:ind w:left="680"/>
              <w:spacing w:after="0"/>
              <w:rPr>
                <w:sz w:val="20"/>
                <w:szCs w:val="20"/>
                <w:color w:val="auto"/>
              </w:rPr>
            </w:pPr>
            <w:r>
              <w:rPr>
                <w:rFonts w:ascii="Arial" w:cs="Arial" w:eastAsia="Arial" w:hAnsi="Arial"/>
                <w:sz w:val="14"/>
                <w:szCs w:val="14"/>
                <w:b w:val="1"/>
                <w:bCs w:val="1"/>
                <w:color w:val="auto"/>
              </w:rPr>
              <w:t>Other items - net of tax</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32,189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115,688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32,189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115,688</w:t>
            </w: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Excluding Restructuring Charges,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2"/>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Non-Routine Items, and Other (Non-GAAP measure)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58,466</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Diluted Net Income Per Class A Nonvoting Common Share Excluding Restructuring Charges, Non-Routine Items, and Other:</w:t>
      </w:r>
    </w:p>
    <w:p>
      <w:pPr>
        <w:spacing w:after="0" w:line="26"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Brady is presenting the Non-GAAP measure "Diluted Net Income Per Class A Nonvoting Common Share Excluding Restructuring Charges, Non-Routine Items, and Other." This is not a calculation based upon GAAP. The amounts included in this Non-GAAP measure are derived from amounts included in the Condensed Consolidated Statements of Income data. We do not view these items to be part of our sustainable results. We believe this measure provides an important perspective of underlying business trends and results and provides a more comparable measure from year to year. The table below provides a reconciliation of Diluted Net (Loss) Income Per Class A Nonvoting Common Share to Diluted Net Income Per Class A Nonvoting Common Share Excluding Restructuring Charges, Non-Routine Items, and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380" w:type="dxa"/>
            <w:vAlign w:val="bottom"/>
            <w:gridSpan w:val="6"/>
          </w:tcPr>
          <w:p>
            <w:pPr>
              <w:ind w:left="200"/>
              <w:spacing w:after="0"/>
              <w:rPr>
                <w:sz w:val="20"/>
                <w:szCs w:val="20"/>
                <w:color w:val="auto"/>
              </w:rPr>
            </w:pPr>
            <w:r>
              <w:rPr>
                <w:rFonts w:ascii="Arial" w:cs="Arial" w:eastAsia="Arial" w:hAnsi="Arial"/>
                <w:sz w:val="14"/>
                <w:szCs w:val="14"/>
                <w:color w:val="auto"/>
              </w:rPr>
              <w:t>Three Months Ended January 31,</w:t>
            </w:r>
          </w:p>
        </w:tc>
        <w:tc>
          <w:tcPr>
            <w:tcW w:w="200" w:type="dxa"/>
            <w:vAlign w:val="bottom"/>
          </w:tcPr>
          <w:p>
            <w:pPr>
              <w:spacing w:after="0"/>
              <w:rPr>
                <w:sz w:val="15"/>
                <w:szCs w:val="15"/>
                <w:color w:val="auto"/>
              </w:rPr>
            </w:pPr>
          </w:p>
        </w:tc>
        <w:tc>
          <w:tcPr>
            <w:tcW w:w="2140" w:type="dxa"/>
            <w:vAlign w:val="bottom"/>
            <w:gridSpan w:val="4"/>
          </w:tcPr>
          <w:p>
            <w:pPr>
              <w:jc w:val="right"/>
              <w:ind w:right="208"/>
              <w:spacing w:after="0"/>
              <w:rPr>
                <w:sz w:val="20"/>
                <w:szCs w:val="20"/>
                <w:color w:val="auto"/>
              </w:rPr>
            </w:pPr>
            <w:r>
              <w:rPr>
                <w:rFonts w:ascii="Arial" w:cs="Arial" w:eastAsia="Arial" w:hAnsi="Arial"/>
                <w:sz w:val="14"/>
                <w:szCs w:val="14"/>
                <w:color w:val="auto"/>
                <w:w w:val="96"/>
              </w:rPr>
              <w:t>Six Months Ended January 31,</w:t>
            </w: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1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2012</w:t>
            </w:r>
          </w:p>
        </w:tc>
      </w:tr>
      <w:tr>
        <w:trPr>
          <w:trHeight w:val="30"/>
        </w:trPr>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(Loss) Income Per Class A Nonvoting Share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(0.17)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52"/>
        </w:trPr>
        <w:tc>
          <w:tcPr>
            <w:tcW w:w="1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(GAAP measure)</w:t>
            </w: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11"/>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Non-routine items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18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Gain on Thailand insurance recovery</w:t>
            </w: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180" w:type="dxa"/>
            <w:vAlign w:val="bottom"/>
          </w:tcPr>
          <w:p>
            <w:pPr>
              <w:spacing w:after="0"/>
              <w:rPr>
                <w:sz w:val="18"/>
                <w:szCs w:val="18"/>
                <w:color w:val="auto"/>
              </w:rPr>
            </w:pPr>
          </w:p>
        </w:tc>
        <w:tc>
          <w:tcPr>
            <w:tcW w:w="4080" w:type="dxa"/>
            <w:vAlign w:val="bottom"/>
          </w:tcPr>
          <w:p>
            <w:pPr>
              <w:ind w:left="280"/>
              <w:spacing w:after="0"/>
              <w:rPr>
                <w:sz w:val="20"/>
                <w:szCs w:val="20"/>
                <w:color w:val="auto"/>
              </w:rPr>
            </w:pPr>
            <w:r>
              <w:rPr>
                <w:rFonts w:ascii="Arial" w:cs="Arial" w:eastAsia="Arial" w:hAnsi="Arial"/>
                <w:sz w:val="14"/>
                <w:szCs w:val="14"/>
                <w:color w:val="auto"/>
              </w:rPr>
              <w:t>Loss on the sale of Brady Medical</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18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Gain on the sale of Varitronics</w:t>
            </w:r>
          </w:p>
        </w:tc>
        <w:tc>
          <w:tcPr>
            <w:tcW w:w="7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180" w:type="dxa"/>
            <w:vAlign w:val="bottom"/>
          </w:tcPr>
          <w:p>
            <w:pPr>
              <w:spacing w:after="0"/>
              <w:rPr>
                <w:sz w:val="16"/>
                <w:szCs w:val="16"/>
                <w:color w:val="auto"/>
              </w:rPr>
            </w:pPr>
          </w:p>
        </w:tc>
        <w:tc>
          <w:tcPr>
            <w:tcW w:w="4080" w:type="dxa"/>
            <w:vAlign w:val="bottom"/>
          </w:tcPr>
          <w:p>
            <w:pPr>
              <w:ind w:left="500"/>
              <w:spacing w:after="0"/>
              <w:rPr>
                <w:sz w:val="20"/>
                <w:szCs w:val="20"/>
                <w:color w:val="auto"/>
              </w:rPr>
            </w:pPr>
            <w:r>
              <w:rPr>
                <w:rFonts w:ascii="Arial" w:cs="Arial" w:eastAsia="Arial" w:hAnsi="Arial"/>
                <w:sz w:val="14"/>
                <w:szCs w:val="14"/>
                <w:b w:val="1"/>
                <w:bCs w:val="1"/>
                <w:color w:val="auto"/>
              </w:rPr>
              <w:t>Non-routine items</w:t>
            </w: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2"/>
              </w:rPr>
              <w:t>(0.08)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1"/>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items</w:t>
            </w: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18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Cost of goods sold</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18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Purchase accounting expense related to inventory</w:t>
            </w: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18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18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PDC acquisition-related expenses</w:t>
            </w: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18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Restructuring charges</w:t>
            </w:r>
          </w:p>
        </w:tc>
        <w:tc>
          <w:tcPr>
            <w:tcW w:w="700" w:type="dxa"/>
            <w:vAlign w:val="bottom"/>
          </w:tcPr>
          <w:p>
            <w:pPr>
              <w:spacing w:after="0"/>
              <w:rPr>
                <w:sz w:val="18"/>
                <w:szCs w:val="18"/>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18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Impairment charge</w:t>
            </w:r>
          </w:p>
        </w:tc>
        <w:tc>
          <w:tcPr>
            <w:tcW w:w="7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r>
      <w:tr>
        <w:trPr>
          <w:trHeight w:val="211"/>
        </w:trPr>
        <w:tc>
          <w:tcPr>
            <w:tcW w:w="18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4"/>
                <w:szCs w:val="14"/>
                <w:color w:val="auto"/>
              </w:rPr>
              <w:t>Income taxes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18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Non-cash tax charge</w:t>
            </w:r>
          </w:p>
        </w:tc>
        <w:tc>
          <w:tcPr>
            <w:tcW w:w="7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180" w:type="dxa"/>
            <w:vAlign w:val="bottom"/>
          </w:tcPr>
          <w:p>
            <w:pPr>
              <w:spacing w:after="0"/>
              <w:rPr>
                <w:sz w:val="16"/>
                <w:szCs w:val="16"/>
                <w:color w:val="auto"/>
              </w:rPr>
            </w:pPr>
          </w:p>
        </w:tc>
        <w:tc>
          <w:tcPr>
            <w:tcW w:w="4080" w:type="dxa"/>
            <w:vAlign w:val="bottom"/>
          </w:tcPr>
          <w:p>
            <w:pPr>
              <w:ind w:left="500"/>
              <w:spacing w:after="0"/>
              <w:rPr>
                <w:sz w:val="20"/>
                <w:szCs w:val="20"/>
                <w:color w:val="auto"/>
              </w:rPr>
            </w:pPr>
            <w:r>
              <w:rPr>
                <w:rFonts w:ascii="Arial" w:cs="Arial" w:eastAsia="Arial" w:hAnsi="Arial"/>
                <w:sz w:val="14"/>
                <w:szCs w:val="14"/>
                <w:b w:val="1"/>
                <w:bCs w:val="1"/>
                <w:color w:val="auto"/>
              </w:rPr>
              <w:t>Other items</w:t>
            </w:r>
          </w:p>
        </w:tc>
        <w:tc>
          <w:tcPr>
            <w:tcW w:w="7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2.21</w:t>
            </w:r>
          </w:p>
        </w:tc>
      </w:tr>
      <w:tr>
        <w:trPr>
          <w:trHeight w:val="175"/>
        </w:trPr>
        <w:tc>
          <w:tcPr>
            <w:tcW w:w="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1"/>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Diluted Net Income Per Class A Nonvoting Share Excluding</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1"/>
        </w:trPr>
        <w:tc>
          <w:tcPr>
            <w:tcW w:w="180" w:type="dxa"/>
            <w:vAlign w:val="bottom"/>
            <w:shd w:val="clear" w:color="auto" w:fill="CCEEFF"/>
          </w:tcPr>
          <w:p>
            <w:pPr>
              <w:spacing w:after="0"/>
              <w:rPr>
                <w:sz w:val="20"/>
                <w:szCs w:val="20"/>
                <w:color w:val="auto"/>
              </w:rPr>
            </w:pPr>
          </w:p>
        </w:tc>
        <w:tc>
          <w:tcPr>
            <w:tcW w:w="4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Restructuring Charges, Non-Routine Items, and Other</w:t>
            </w: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2"/>
        </w:trPr>
        <w:tc>
          <w:tcPr>
            <w:tcW w:w="1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(Non-GAAP measure)</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w:t>
            </w:r>
          </w:p>
        </w:tc>
      </w:tr>
      <w:tr>
        <w:trPr>
          <w:trHeight w:val="20"/>
        </w:trPr>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40" w:top="537" w:right="27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2019-12-05T21:16:26Z</dcterms:created>
  <dcterms:modified xsi:type="dcterms:W3CDTF">2019-12-05T21:16:26Z</dcterms:modified>
</cp:coreProperties>
</file>