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351599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515995" cy="2489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29, 2013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Station Place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207"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Brady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10-K</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September 27, 2012</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1-14959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is in response to your letter of March 21, 2013, commenting on Brady Corporation's response dated March 11, 2013, to your initial comment letter dated February 19, 2013, commenting on the Form 10-K for the year ended July 31, 2012, Form 10-Q for the quarter ended October 31, 2012, and Form 8-K filed on December 31, 2012. We have repeated the comments from your letter below, followed by our responses.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July 31, 2012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16</w:t>
      </w:r>
    </w:p>
    <w:p>
      <w:pPr>
        <w:spacing w:after="0" w:line="225" w:lineRule="exact"/>
        <w:rPr>
          <w:sz w:val="24"/>
          <w:szCs w:val="24"/>
          <w:color w:val="auto"/>
        </w:rPr>
      </w:pPr>
    </w:p>
    <w:p>
      <w:pPr>
        <w:ind w:left="660" w:right="40" w:hanging="328"/>
        <w:spacing w:after="0" w:line="272"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the improvements to the discussion of results of operations in your Form 10-Q and discussed in your response to prior comment 3. Where material, please quantify the impact of the events and trends described throughout MD&amp;A in future filings. For example, in your discussion of the operations of your Asia-Pacific segment, you attribute the significant decline in organic sales and segment profit to multiple factors: weakness in the Australian economy, the discontinuation of some large projects, the loss of a major customer, one-time costs associated with moving into a new facility in Australia, etc. Quantifying the impact of these factors will provide investors with information on the relative importance of the events discussed, as well as the potential significance of continuing effects. For additional guidance, please refer to SEC Release 33-8350, available on the SEC website at www.sec.gov./rules/interp/33-8350.htm.</w:t>
      </w:r>
    </w:p>
    <w:p>
      <w:pPr>
        <w:spacing w:after="0" w:line="178" w:lineRule="exact"/>
        <w:rPr>
          <w:sz w:val="24"/>
          <w:szCs w:val="24"/>
          <w:color w:val="auto"/>
        </w:rPr>
      </w:pPr>
    </w:p>
    <w:p>
      <w:pPr>
        <w:spacing w:after="0"/>
        <w:rPr>
          <w:sz w:val="20"/>
          <w:szCs w:val="20"/>
          <w:color w:val="auto"/>
        </w:rPr>
      </w:pPr>
      <w:r>
        <w:rPr>
          <w:rFonts w:ascii="Arial" w:cs="Arial" w:eastAsia="Arial" w:hAnsi="Arial"/>
          <w:sz w:val="17"/>
          <w:szCs w:val="17"/>
          <w:color w:val="auto"/>
        </w:rPr>
        <w:t>In our future filings on Forms 10-Q and 10-K, we will quantify the impact of the events and trends described throughout the MD&amp;A to the extent material.</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Critical Accounting Estimates, page 24</w:t>
      </w:r>
    </w:p>
    <w:p>
      <w:pPr>
        <w:spacing w:after="0" w:line="225" w:lineRule="exact"/>
        <w:rPr>
          <w:sz w:val="24"/>
          <w:szCs w:val="24"/>
          <w:color w:val="auto"/>
        </w:rPr>
      </w:pPr>
    </w:p>
    <w:p>
      <w:pPr>
        <w:ind w:left="660" w:right="10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the proposed future disclosure in response to prior comment 7 regarding impairment testing of goodwill. In future filings, if the results of your impairment test of a particular reporting unit rely on the assumption of a substantial improvement in the operating performance of the reporting unit, including improvements in gross margin, sales growth rates and other amounts, please disclose this clearly and provide a discussion of your basis for the assumptions. For example, in the proposed discussion of the Die-Cut Asia reporting unit, you provide a sensitivity analysis and additional disclosure about the factors considered, but you do not clearly state whether you have assumed a substantial improvement in sales and profitability from recent historical experience.</w:t>
      </w:r>
    </w:p>
    <w:p>
      <w:pPr>
        <w:spacing w:after="0" w:line="19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 future filings on Form 10-K, or other filings reporting on the results of an interim test for impairment, we will disclose any assumptions that represent a substantial improvement in the operating performance of the reporting unit, along with the basis for the assumptions.</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 addition to our responses above, we acknowledge that:</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 Corporation is responsible for the adequacy and accuracy of the disclosure in its filings;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Brady Corporation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If you have any further comments or questions regarding this response, please contact the undersigned at (414) 358-6620. Thank you for your attention to this matter.</w:t>
      </w:r>
    </w:p>
    <w:p>
      <w:pPr>
        <w:spacing w:after="0" w:line="387"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 THOMAS J. FELMER</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Mr. Thomas J. Felmer</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2019-12-05T21:27:16Z</dcterms:created>
  <dcterms:modified xsi:type="dcterms:W3CDTF">2019-12-05T21:27:16Z</dcterms:modified>
</cp:coreProperties>
</file>