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5910.xml.htm"/>
      <w:bookmarkStart w:id="1" w:name="kswkform4_1785865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Gorman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Counsel&amp;Corp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15,206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one year subsequent to the grant date. Upon vesting, each restricted stock unit will be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903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3244</Characters>
  <CharactersWithSpaces>3774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