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60" w:type="dxa"/>
            <w:vAlign w:val="bottom"/>
          </w:tcPr>
          <w:p>
            <w:pPr>
              <w:jc w:val="center"/>
              <w:ind w:right="2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55"/>
              <w:spacing w:after="0" w:line="191"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60" w:type="dxa"/>
            <w:vAlign w:val="bottom"/>
            <w:vMerge w:val="restart"/>
          </w:tcPr>
          <w:p>
            <w:pPr>
              <w:jc w:val="center"/>
              <w:ind w:right="2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-633095</wp:posOffset>
            </wp:positionV>
            <wp:extent cx="58420" cy="646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6430"/>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-633095</wp:posOffset>
            </wp:positionV>
            <wp:extent cx="58420" cy="646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643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17145</wp:posOffset>
            </wp:positionV>
            <wp:extent cx="7325360" cy="423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423862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80" w:space="460"/>
            <w:col w:w="8780"/>
          </w:cols>
          <w:pgMar w:left="240" w:top="222"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RICHARDSON BRADLEY C</w:t>
        </w:r>
      </w:hyperlink>
    </w:p>
    <w:p>
      <w:pPr>
        <w:spacing w:after="0" w:line="30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3329 MICHIGAN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08/30/2010</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6" w:right="740" w:hanging="6"/>
        <w:spacing w:after="0"/>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6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7" w:lineRule="exact"/>
        <w:rPr>
          <w:sz w:val="24"/>
          <w:szCs w:val="24"/>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6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98" w:lineRule="exact"/>
        <w:rPr>
          <w:sz w:val="24"/>
          <w:szCs w:val="24"/>
          <w:color w:val="auto"/>
        </w:rPr>
      </w:pPr>
    </w:p>
    <w:p>
      <w:pPr>
        <w:sectPr>
          <w:pgSz w:w="11900" w:h="16838" w:orient="portrait"/>
          <w:cols w:equalWidth="0" w:num="3">
            <w:col w:w="3340" w:space="720"/>
            <w:col w:w="3254" w:space="720"/>
            <w:col w:w="3486"/>
          </w:cols>
          <w:pgMar w:left="240" w:top="222" w:right="1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0000FF"/>
              </w:rPr>
              <w:t>RACINE</w:t>
            </w:r>
          </w:p>
        </w:tc>
        <w:tc>
          <w:tcPr>
            <w:tcW w:w="1160" w:type="dxa"/>
            <w:vAlign w:val="bottom"/>
          </w:tcPr>
          <w:p>
            <w:pPr>
              <w:ind w:left="320"/>
              <w:spacing w:after="0"/>
              <w:rPr>
                <w:sz w:val="20"/>
                <w:szCs w:val="20"/>
                <w:color w:val="auto"/>
              </w:rPr>
            </w:pPr>
            <w:r>
              <w:rPr>
                <w:rFonts w:ascii="Arial" w:cs="Arial" w:eastAsia="Arial" w:hAnsi="Arial"/>
                <w:sz w:val="17"/>
                <w:szCs w:val="17"/>
                <w:color w:val="0000FF"/>
              </w:rPr>
              <w:t>WI</w:t>
            </w:r>
          </w:p>
        </w:tc>
        <w:tc>
          <w:tcPr>
            <w:tcW w:w="1680" w:type="dxa"/>
            <w:vAlign w:val="bottom"/>
          </w:tcPr>
          <w:p>
            <w:pPr>
              <w:ind w:left="440"/>
              <w:spacing w:after="0"/>
              <w:rPr>
                <w:sz w:val="20"/>
                <w:szCs w:val="20"/>
                <w:color w:val="auto"/>
              </w:rPr>
            </w:pPr>
            <w:r>
              <w:rPr>
                <w:rFonts w:ascii="Arial" w:cs="Arial" w:eastAsia="Arial" w:hAnsi="Arial"/>
                <w:sz w:val="17"/>
                <w:szCs w:val="17"/>
                <w:color w:val="0000FF"/>
              </w:rPr>
              <w:t>53402</w:t>
            </w:r>
          </w:p>
        </w:tc>
      </w:tr>
      <w:tr>
        <w:trPr>
          <w:trHeight w:val="152"/>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3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2"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jc w:val="right"/>
        <w:ind w:right="220"/>
        <w:spacing w:after="0"/>
        <w:rPr>
          <w:sz w:val="20"/>
          <w:szCs w:val="20"/>
          <w:color w:val="auto"/>
        </w:rPr>
      </w:pPr>
      <w:r>
        <w:rPr>
          <w:rFonts w:ascii="Arial" w:cs="Arial" w:eastAsia="Arial" w:hAnsi="Arial"/>
          <w:sz w:val="13"/>
          <w:szCs w:val="13"/>
          <w:color w:val="auto"/>
        </w:rPr>
        <w:t>Form filed by More than One Reporting Person</w:t>
      </w:r>
    </w:p>
    <w:p>
      <w:pPr>
        <w:spacing w:after="0" w:line="421" w:lineRule="exact"/>
        <w:rPr>
          <w:sz w:val="24"/>
          <w:szCs w:val="24"/>
          <w:color w:val="auto"/>
        </w:rPr>
      </w:pPr>
    </w:p>
    <w:p>
      <w:pPr>
        <w:sectPr>
          <w:pgSz w:w="11900" w:h="16838" w:orient="portrait"/>
          <w:cols w:equalWidth="0" w:num="2">
            <w:col w:w="3900" w:space="160"/>
            <w:col w:w="7460"/>
          </w:cols>
          <w:pgMar w:left="240" w:top="222"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tcPr>
          <w:p>
            <w:pPr>
              <w:ind w:left="8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20" w:type="dxa"/>
            <w:vAlign w:val="bottom"/>
          </w:tcPr>
          <w:p>
            <w:pPr>
              <w:ind w:left="88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20" w:type="dxa"/>
            <w:vAlign w:val="bottom"/>
          </w:tcPr>
          <w:p>
            <w:pPr>
              <w:ind w:left="88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6"/>
                <w:szCs w:val="6"/>
                <w:color w:val="auto"/>
              </w:rPr>
            </w:pPr>
          </w:p>
        </w:tc>
        <w:tc>
          <w:tcPr>
            <w:tcW w:w="840" w:type="dxa"/>
            <w:vAlign w:val="bottom"/>
            <w:vMerge w:val="restart"/>
          </w:tcPr>
          <w:p>
            <w:pPr>
              <w:ind w:left="100"/>
              <w:spacing w:after="0" w:line="130"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62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9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 (Instr. 3,</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4 and 5)</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Amount or</w:t>
            </w:r>
          </w:p>
        </w:tc>
        <w:tc>
          <w:tcPr>
            <w:tcW w:w="7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Number of</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0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(1)</w:t>
            </w:r>
          </w:p>
        </w:tc>
        <w:tc>
          <w:tcPr>
            <w:tcW w:w="64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w w:val="95"/>
              </w:rPr>
              <w:t>160.4187</w:t>
            </w:r>
          </w:p>
        </w:tc>
        <w:tc>
          <w:tcPr>
            <w:tcW w:w="700" w:type="dxa"/>
            <w:vAlign w:val="bottom"/>
          </w:tcPr>
          <w:p>
            <w:pPr>
              <w:spacing w:after="0"/>
              <w:rPr>
                <w:sz w:val="16"/>
                <w:szCs w:val="16"/>
                <w:color w:val="auto"/>
              </w:rPr>
            </w:pPr>
          </w:p>
        </w:tc>
        <w:tc>
          <w:tcPr>
            <w:tcW w:w="980" w:type="dxa"/>
            <w:vAlign w:val="bottom"/>
            <w:vMerge w:val="restart"/>
          </w:tcPr>
          <w:p>
            <w:pPr>
              <w:ind w:left="80"/>
              <w:spacing w:after="0"/>
              <w:rPr>
                <w:sz w:val="20"/>
                <w:szCs w:val="20"/>
                <w:color w:val="auto"/>
              </w:rPr>
            </w:pPr>
            <w:r>
              <w:rPr>
                <w:rFonts w:ascii="Arial" w:cs="Arial" w:eastAsia="Arial" w:hAnsi="Arial"/>
                <w:sz w:val="13"/>
                <w:szCs w:val="13"/>
                <w:color w:val="0000FF"/>
                <w:w w:val="88"/>
              </w:rPr>
              <w:t>2,096.4686</w:t>
            </w:r>
            <w:r>
              <w:rPr>
                <w:rFonts w:ascii="Arial" w:cs="Arial" w:eastAsia="Arial" w:hAnsi="Arial"/>
                <w:sz w:val="21"/>
                <w:szCs w:val="21"/>
                <w:color w:val="008000"/>
                <w:w w:val="88"/>
                <w:vertAlign w:val="superscript"/>
              </w:rPr>
              <w:t>(2)(3)</w:t>
            </w: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Comp.</w:t>
            </w:r>
          </w:p>
        </w:tc>
        <w:tc>
          <w:tcPr>
            <w:tcW w:w="780" w:type="dxa"/>
            <w:vAlign w:val="bottom"/>
            <w:vMerge w:val="continue"/>
          </w:tcPr>
          <w:p>
            <w:pPr>
              <w:spacing w:after="0"/>
              <w:rPr>
                <w:sz w:val="12"/>
                <w:szCs w:val="12"/>
                <w:color w:val="auto"/>
              </w:rPr>
            </w:pPr>
          </w:p>
        </w:tc>
        <w:tc>
          <w:tcPr>
            <w:tcW w:w="1100" w:type="dxa"/>
            <w:vAlign w:val="bottom"/>
          </w:tcPr>
          <w:p>
            <w:pPr>
              <w:jc w:val="right"/>
              <w:ind w:right="200"/>
              <w:spacing w:after="0" w:line="144" w:lineRule="exact"/>
              <w:rPr>
                <w:sz w:val="20"/>
                <w:szCs w:val="20"/>
                <w:color w:val="auto"/>
              </w:rPr>
            </w:pPr>
            <w:r>
              <w:rPr>
                <w:rFonts w:ascii="Arial" w:cs="Arial" w:eastAsia="Arial" w:hAnsi="Arial"/>
                <w:sz w:val="13"/>
                <w:szCs w:val="13"/>
                <w:color w:val="0000FF"/>
              </w:rPr>
              <w:t>08/30/2010</w:t>
            </w:r>
          </w:p>
        </w:tc>
        <w:tc>
          <w:tcPr>
            <w:tcW w:w="1100" w:type="dxa"/>
            <w:vAlign w:val="bottom"/>
          </w:tcPr>
          <w:p>
            <w:pPr>
              <w:spacing w:after="0"/>
              <w:rPr>
                <w:sz w:val="12"/>
                <w:szCs w:val="12"/>
                <w:color w:val="auto"/>
              </w:rPr>
            </w:pPr>
          </w:p>
        </w:tc>
        <w:tc>
          <w:tcPr>
            <w:tcW w:w="800" w:type="dxa"/>
            <w:vAlign w:val="bottom"/>
          </w:tcPr>
          <w:p>
            <w:pPr>
              <w:ind w:left="160"/>
              <w:spacing w:after="0" w:line="144" w:lineRule="exact"/>
              <w:rPr>
                <w:sz w:val="20"/>
                <w:szCs w:val="20"/>
                <w:color w:val="auto"/>
              </w:rPr>
            </w:pPr>
            <w:r>
              <w:rPr>
                <w:rFonts w:ascii="Arial" w:cs="Arial" w:eastAsia="Arial" w:hAnsi="Arial"/>
                <w:sz w:val="13"/>
                <w:szCs w:val="13"/>
                <w:color w:val="0000FF"/>
              </w:rPr>
              <w:t>A</w:t>
            </w:r>
          </w:p>
        </w:tc>
        <w:tc>
          <w:tcPr>
            <w:tcW w:w="680" w:type="dxa"/>
            <w:vAlign w:val="bottom"/>
          </w:tcPr>
          <w:p>
            <w:pPr>
              <w:ind w:left="80"/>
              <w:spacing w:after="0" w:line="144" w:lineRule="exact"/>
              <w:rPr>
                <w:sz w:val="20"/>
                <w:szCs w:val="20"/>
                <w:color w:val="auto"/>
              </w:rPr>
            </w:pPr>
            <w:r>
              <w:rPr>
                <w:rFonts w:ascii="Arial" w:cs="Arial" w:eastAsia="Arial" w:hAnsi="Arial"/>
                <w:sz w:val="13"/>
                <w:szCs w:val="13"/>
                <w:color w:val="0000FF"/>
              </w:rPr>
              <w:t>160.4187</w:t>
            </w:r>
          </w:p>
        </w:tc>
        <w:tc>
          <w:tcPr>
            <w:tcW w:w="2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40" w:type="dxa"/>
            <w:vAlign w:val="bottom"/>
          </w:tcPr>
          <w:p>
            <w:pPr>
              <w:ind w:left="80"/>
              <w:spacing w:after="0" w:line="144"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700" w:type="dxa"/>
            <w:vAlign w:val="bottom"/>
          </w:tcPr>
          <w:p>
            <w:pPr>
              <w:ind w:left="1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26.14</w:t>
            </w:r>
          </w:p>
        </w:tc>
        <w:tc>
          <w:tcPr>
            <w:tcW w:w="980" w:type="dxa"/>
            <w:vAlign w:val="bottom"/>
            <w:vMerge w:val="continue"/>
          </w:tcPr>
          <w:p>
            <w:pPr>
              <w:spacing w:after="0"/>
              <w:rPr>
                <w:sz w:val="12"/>
                <w:szCs w:val="12"/>
                <w:color w:val="auto"/>
              </w:rPr>
            </w:pPr>
          </w:p>
        </w:tc>
        <w:tc>
          <w:tcPr>
            <w:tcW w:w="740" w:type="dxa"/>
            <w:vAlign w:val="bottom"/>
          </w:tcPr>
          <w:p>
            <w:pPr>
              <w:ind w:left="340"/>
              <w:spacing w:after="0" w:line="144"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640" w:firstLine="3"/>
        <w:spacing w:after="0" w:line="294"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deferred compensation stock units were acquired under the Brady Corporation director deferred compensation plan. Each deferred compensation unit is the economic equivalent of one share of Class A Common Stock. The deferred compensation units become payable in shares of Brady's Class A Common Stock upon the reporting persons cessation of service as a director.</w:t>
      </w: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11.4513 shares acquired on August 4, 2010 pursuant to a dividend reinvestment.</w:t>
      </w:r>
    </w:p>
    <w:p>
      <w:pPr>
        <w:spacing w:after="0" w:line="46"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total shares listed represent the corrected total of the derivative securities held by the individual as of August 30, 2010, which has been adjusted to reflect an increase due to rounding of 0.0091.</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w w:val="95"/>
              </w:rPr>
              <w:t>Krista Ebbens, as Attorney-In-</w:t>
            </w:r>
          </w:p>
        </w:tc>
        <w:tc>
          <w:tcPr>
            <w:tcW w:w="88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6"/>
              </w:rPr>
              <w:t>09/02/2010</w:t>
            </w:r>
          </w:p>
        </w:tc>
        <w:tc>
          <w:tcPr>
            <w:tcW w:w="0" w:type="dxa"/>
            <w:vAlign w:val="bottom"/>
          </w:tcPr>
          <w:p>
            <w:pPr>
              <w:spacing w:after="0"/>
              <w:rPr>
                <w:sz w:val="1"/>
                <w:szCs w:val="1"/>
                <w:color w:val="auto"/>
              </w:rPr>
            </w:pPr>
          </w:p>
        </w:tc>
      </w:tr>
      <w:tr>
        <w:trPr>
          <w:trHeight w:val="84"/>
        </w:trPr>
        <w:tc>
          <w:tcPr>
            <w:tcW w:w="300" w:type="dxa"/>
            <w:vAlign w:val="bottom"/>
            <w:tcBorders>
              <w:top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84"/>
              </w:rPr>
              <w:t>Fact</w:t>
            </w:r>
          </w:p>
        </w:tc>
        <w:tc>
          <w:tcPr>
            <w:tcW w:w="178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top w:val="single" w:sz="8" w:color="auto"/>
              <w:bottom w:val="single" w:sz="8" w:color="auto"/>
            </w:tcBorders>
            <w:vMerge w:val="continue"/>
          </w:tcPr>
          <w:p>
            <w:pPr>
              <w:spacing w:after="0"/>
              <w:rPr>
                <w:sz w:val="7"/>
                <w:szCs w:val="7"/>
                <w:color w:val="auto"/>
              </w:rPr>
            </w:pPr>
          </w:p>
        </w:tc>
        <w:tc>
          <w:tcPr>
            <w:tcW w:w="178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96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2523"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2019-12-18T15:52:01Z</dcterms:created>
  <dcterms:modified xsi:type="dcterms:W3CDTF">2019-12-18T15:52:01Z</dcterms:modified>
</cp:coreProperties>
</file>