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 O R M 11 - K</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2005</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5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2381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890"/>
                    </a:xfrm>
                    <a:prstGeom prst="rect">
                      <a:avLst/>
                    </a:prstGeom>
                    <a:noFill/>
                  </pic:spPr>
                </pic:pic>
              </a:graphicData>
            </a:graphic>
          </wp:anchor>
        </w:drawing>
      </w:r>
    </w:p>
    <w:p>
      <w:pPr>
        <w:spacing w:after="0" w:line="205" w:lineRule="exact"/>
        <w:rPr>
          <w:sz w:val="20"/>
          <w:szCs w:val="20"/>
          <w:color w:val="auto"/>
        </w:rPr>
      </w:pPr>
    </w:p>
    <w:p>
      <w:pPr>
        <w:ind w:right="3560" w:firstLine="3673"/>
        <w:spacing w:after="0" w:line="476"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43"/>
          <w:szCs w:val="43"/>
          <w:b w:val="1"/>
          <w:bCs w:val="1"/>
          <w:color w:val="auto"/>
        </w:rPr>
        <w:t>EMED CO INC., 401(k)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EMED Co., Inc. 401(k) Plan</w:t>
      </w:r>
    </w:p>
    <w:p>
      <w:pPr>
        <w:spacing w:after="0" w:line="117" w:lineRule="exact"/>
        <w:rPr>
          <w:sz w:val="20"/>
          <w:szCs w:val="20"/>
          <w:color w:val="auto"/>
        </w:rPr>
      </w:pPr>
    </w:p>
    <w:p>
      <w:pPr>
        <w:ind w:left="240" w:right="519"/>
        <w:spacing w:after="0" w:line="277" w:lineRule="auto"/>
        <w:rPr>
          <w:sz w:val="20"/>
          <w:szCs w:val="20"/>
          <w:color w:val="auto"/>
        </w:rPr>
      </w:pPr>
      <w:r>
        <w:rPr>
          <w:rFonts w:ascii="Arial" w:cs="Arial" w:eastAsia="Arial" w:hAnsi="Arial"/>
          <w:sz w:val="18"/>
          <w:szCs w:val="18"/>
          <w:i w:val="1"/>
          <w:iCs w:val="1"/>
          <w:color w:val="auto"/>
        </w:rPr>
        <w:t>Financial Statements as of December 31, 2005 and 2004, and for the Year Ended December 31, 2005, Supplemental Schedule as of December 31, 2005,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EMED CO., INC.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80" w:type="dxa"/>
            <w:vAlign w:val="bottom"/>
            <w:gridSpan w:val="1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80" w:type="dxa"/>
            <w:vAlign w:val="bottom"/>
            <w:gridSpan w:val="10"/>
            <w:vMerge w:val="continue"/>
          </w:tcPr>
          <w:p>
            <w:pPr>
              <w:spacing w:after="0"/>
              <w:rPr>
                <w:sz w:val="14"/>
                <w:szCs w:val="14"/>
                <w:color w:val="auto"/>
              </w:rPr>
            </w:pPr>
          </w:p>
        </w:tc>
        <w:tc>
          <w:tcPr>
            <w:tcW w:w="340" w:type="dxa"/>
            <w:vAlign w:val="bottom"/>
          </w:tcPr>
          <w:p>
            <w:pPr>
              <w:jc w:val="center"/>
              <w:spacing w:after="0" w:line="170"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53"/>
        </w:trPr>
        <w:tc>
          <w:tcPr>
            <w:tcW w:w="58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52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6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2005 and 2004</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6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 of Changes in Net Assets Available for Benefits for the Year Ended December 31, 2005</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top w:val="single" w:sz="8" w:color="0000EE"/>
            </w:tcBorders>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800" w:type="dxa"/>
            <w:vAlign w:val="bottom"/>
            <w:gridSpan w:val="2"/>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SUPPLEMENTAL SCHEDULE—</w:t>
              </w:r>
            </w:hyperlink>
          </w:p>
        </w:tc>
        <w:tc>
          <w:tcPr>
            <w:tcW w:w="8520" w:type="dxa"/>
            <w:vAlign w:val="bottom"/>
            <w:gridSpan w:val="5"/>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6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Form 5500, Schedule H, Part IV, Line 4i—Schedule of Assets (Held at End of Year) as of December 31, 2005</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5600" w:type="dxa"/>
            <w:vAlign w:val="bottom"/>
            <w:gridSpan w:val="5"/>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020" w:type="dxa"/>
            <w:vAlign w:val="bottom"/>
            <w:gridSpan w:val="9"/>
          </w:tcPr>
          <w:p>
            <w:pPr>
              <w:spacing w:after="0" w:line="196" w:lineRule="exact"/>
              <w:rPr>
                <w:sz w:val="20"/>
                <w:szCs w:val="20"/>
                <w:color w:val="auto"/>
              </w:rPr>
            </w:pPr>
            <w:r>
              <w:rPr>
                <w:rFonts w:ascii="Arial" w:cs="Arial" w:eastAsia="Arial" w:hAnsi="Arial"/>
                <w:sz w:val="18"/>
                <w:szCs w:val="18"/>
                <w:color w:val="0000EE"/>
              </w:rPr>
              <w:t>Consent of Deloitte &amp; Touche LLP</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EMED Co., Inc. 401(k) Plan:</w:t>
      </w:r>
    </w:p>
    <w:p>
      <w:pPr>
        <w:spacing w:after="0" w:line="10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EMED Co., Inc. 401(k) Plan (the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5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such financial statements referred to above present fairly, in all material respects, the net assets available for benefits of the Plan as of December 31, 2005 and 2004, and the changes in net assets available for benefits for the year ended December 31, 2005, in conformity with accounting principles generally accepted in the United States of America.</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2005,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our audit of the basic 2005 financial statements and, in our opinion, is fairly stated in all material respects when considered in relation to the basic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54368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8859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2005 AND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$ 4,005,798</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$ 3,445,224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Common collective trust fund</w:t>
            </w:r>
          </w:p>
        </w:tc>
        <w:tc>
          <w:tcPr>
            <w:tcW w:w="6020" w:type="dxa"/>
            <w:vAlign w:val="bottom"/>
            <w:gridSpan w:val="3"/>
          </w:tcPr>
          <w:p>
            <w:pPr>
              <w:jc w:val="right"/>
              <w:ind w:right="660"/>
              <w:spacing w:after="0"/>
              <w:rPr>
                <w:sz w:val="20"/>
                <w:szCs w:val="20"/>
                <w:color w:val="auto"/>
              </w:rPr>
            </w:pPr>
            <w:r>
              <w:rPr>
                <w:rFonts w:ascii="Arial" w:cs="Arial" w:eastAsia="Arial" w:hAnsi="Arial"/>
                <w:sz w:val="18"/>
                <w:szCs w:val="18"/>
                <w:color w:val="auto"/>
              </w:rPr>
              <w:t>24,718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 Corporation common stock</w:t>
            </w:r>
          </w:p>
        </w:tc>
        <w:tc>
          <w:tcPr>
            <w:tcW w:w="6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Participant loans</w:t>
            </w:r>
          </w:p>
        </w:tc>
        <w:tc>
          <w:tcPr>
            <w:tcW w:w="6020" w:type="dxa"/>
            <w:vAlign w:val="bottom"/>
            <w:gridSpan w:val="3"/>
          </w:tcPr>
          <w:p>
            <w:pPr>
              <w:jc w:val="right"/>
              <w:ind w:right="660"/>
              <w:spacing w:after="0"/>
              <w:rPr>
                <w:sz w:val="20"/>
                <w:szCs w:val="20"/>
                <w:color w:val="auto"/>
              </w:rPr>
            </w:pPr>
            <w:r>
              <w:rPr>
                <w:rFonts w:ascii="Arial" w:cs="Arial" w:eastAsia="Arial" w:hAnsi="Arial"/>
                <w:sz w:val="18"/>
                <w:szCs w:val="18"/>
                <w:color w:val="auto"/>
              </w:rPr>
              <w:t>110,489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4,141,619</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3,552,246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Employer contributions receivable</w:t>
            </w:r>
          </w:p>
        </w:tc>
        <w:tc>
          <w:tcPr>
            <w:tcW w:w="6020" w:type="dxa"/>
            <w:vAlign w:val="bottom"/>
            <w:gridSpan w:val="3"/>
          </w:tcPr>
          <w:p>
            <w:pPr>
              <w:jc w:val="right"/>
              <w:ind w:right="660"/>
              <w:spacing w:after="0"/>
              <w:rPr>
                <w:sz w:val="20"/>
                <w:szCs w:val="20"/>
                <w:color w:val="auto"/>
              </w:rPr>
            </w:pPr>
            <w:r>
              <w:rPr>
                <w:rFonts w:ascii="Arial" w:cs="Arial" w:eastAsia="Arial" w:hAnsi="Arial"/>
                <w:sz w:val="18"/>
                <w:szCs w:val="18"/>
                <w:color w:val="auto"/>
              </w:rPr>
              <w:t>236,508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246,700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$ 4,378,127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$ 3,798,946</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60" w:type="dxa"/>
            <w:vAlign w:val="bottom"/>
            <w:gridSpan w:val="2"/>
            <w:vMerge w:val="continue"/>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520" w:type="dxa"/>
            <w:vAlign w:val="bottom"/>
          </w:tcPr>
          <w:p>
            <w:pPr>
              <w:jc w:val="right"/>
              <w:ind w:right="3032"/>
              <w:spacing w:after="0"/>
              <w:rPr>
                <w:sz w:val="20"/>
                <w:szCs w:val="20"/>
                <w:color w:val="auto"/>
              </w:rPr>
            </w:pPr>
            <w:r>
              <w:rPr>
                <w:rFonts w:ascii="Arial" w:cs="Arial" w:eastAsia="Arial" w:hAnsi="Arial"/>
                <w:sz w:val="18"/>
                <w:szCs w:val="18"/>
                <w:color w:val="auto"/>
              </w:rPr>
              <w:t>- 2 -</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w:t>
            </w:r>
          </w:p>
        </w:tc>
        <w:tc>
          <w:tcPr>
            <w:tcW w:w="5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Employer</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Rollover</w:t>
            </w:r>
          </w:p>
        </w:tc>
        <w:tc>
          <w:tcPr>
            <w:tcW w:w="5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Pr>
          <w:p>
            <w:pPr>
              <w:ind w:left="600"/>
              <w:spacing w:after="0"/>
              <w:rPr>
                <w:sz w:val="20"/>
                <w:szCs w:val="20"/>
                <w:color w:val="auto"/>
              </w:rPr>
            </w:pPr>
            <w:r>
              <w:rPr>
                <w:rFonts w:ascii="Arial" w:cs="Arial" w:eastAsia="Arial" w:hAnsi="Arial"/>
                <w:sz w:val="18"/>
                <w:szCs w:val="18"/>
                <w:color w:val="auto"/>
              </w:rPr>
              <w:t>Total contributions</w:t>
            </w: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Net appreciation in fair value of investments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and dividends</w:t>
            </w:r>
          </w:p>
        </w:tc>
        <w:tc>
          <w:tcPr>
            <w:tcW w:w="5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Pr>
          <w:p>
            <w:pPr>
              <w:ind w:left="600"/>
              <w:spacing w:after="0"/>
              <w:rPr>
                <w:sz w:val="20"/>
                <w:szCs w:val="20"/>
                <w:color w:val="auto"/>
              </w:rPr>
            </w:pPr>
            <w:r>
              <w:rPr>
                <w:rFonts w:ascii="Arial" w:cs="Arial" w:eastAsia="Arial" w:hAnsi="Arial"/>
                <w:sz w:val="18"/>
                <w:szCs w:val="18"/>
                <w:color w:val="auto"/>
              </w:rPr>
              <w:t>Net investment income</w:t>
            </w: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848,187</w:t>
            </w:r>
          </w:p>
        </w:tc>
        <w:tc>
          <w:tcPr>
            <w:tcW w:w="0" w:type="dxa"/>
            <w:vAlign w:val="bottom"/>
          </w:tcPr>
          <w:p>
            <w:pPr>
              <w:spacing w:after="0"/>
              <w:rPr>
                <w:sz w:val="1"/>
                <w:szCs w:val="1"/>
                <w:color w:val="auto"/>
              </w:rPr>
            </w:pPr>
          </w:p>
        </w:tc>
      </w:tr>
      <w:tr>
        <w:trPr>
          <w:trHeight w:val="439"/>
        </w:trPr>
        <w:tc>
          <w:tcPr>
            <w:tcW w:w="5040" w:type="dxa"/>
            <w:vAlign w:val="bottom"/>
            <w:gridSpan w:val="2"/>
          </w:tcPr>
          <w:p>
            <w:pPr>
              <w:spacing w:after="0"/>
              <w:rPr>
                <w:sz w:val="20"/>
                <w:szCs w:val="20"/>
                <w:color w:val="auto"/>
              </w:rPr>
            </w:pPr>
            <w:r>
              <w:rPr>
                <w:rFonts w:ascii="Arial" w:cs="Arial" w:eastAsia="Arial" w:hAnsi="Arial"/>
                <w:sz w:val="18"/>
                <w:szCs w:val="18"/>
                <w:color w:val="auto"/>
              </w:rPr>
              <w:t>DEDUCTIONS:</w:t>
            </w:r>
          </w:p>
        </w:tc>
        <w:tc>
          <w:tcPr>
            <w:tcW w:w="5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5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40" w:type="dxa"/>
            <w:vAlign w:val="bottom"/>
            <w:gridSpan w:val="2"/>
          </w:tcPr>
          <w:p>
            <w:pPr>
              <w:spacing w:after="0"/>
              <w:rPr>
                <w:sz w:val="20"/>
                <w:szCs w:val="20"/>
                <w:color w:val="auto"/>
              </w:rPr>
            </w:pPr>
            <w:r>
              <w:rPr>
                <w:rFonts w:ascii="Arial" w:cs="Arial" w:eastAsia="Arial" w:hAnsi="Arial"/>
                <w:sz w:val="18"/>
                <w:szCs w:val="18"/>
                <w:color w:val="auto"/>
              </w:rPr>
              <w:t>INCREASE IN NET ASSETS AVAILABLE FOR BENEFITS</w:t>
            </w: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579,181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3,798,946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5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4,378,127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40" w:type="dxa"/>
            <w:vAlign w:val="bottom"/>
            <w:gridSpan w:val="2"/>
            <w:vMerge w:val="continue"/>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440" w:type="dxa"/>
            <w:vAlign w:val="bottom"/>
          </w:tcPr>
          <w:p>
            <w:pPr>
              <w:jc w:val="right"/>
              <w:ind w:right="4530"/>
              <w:spacing w:after="0"/>
              <w:rPr>
                <w:sz w:val="20"/>
                <w:szCs w:val="20"/>
                <w:color w:val="auto"/>
              </w:rPr>
            </w:pPr>
            <w:r>
              <w:rPr>
                <w:rFonts w:ascii="Arial" w:cs="Arial" w:eastAsia="Arial" w:hAnsi="Arial"/>
                <w:sz w:val="18"/>
                <w:szCs w:val="18"/>
                <w:color w:val="auto"/>
              </w:rPr>
              <w:t>- 3 -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2005 AND 2004, AND FOR THE YEAR ENDED DECEMBER 31, 2005</w:t>
      </w:r>
    </w:p>
    <w:p>
      <w:pPr>
        <w:spacing w:after="0" w:line="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34"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EMED Co., Inc. 401(k) Plan (the “Plan”) is provided for general information purposes only. Participants should refer to the Plan document for more complete information.</w:t>
      </w:r>
    </w:p>
    <w:p>
      <w:pPr>
        <w:spacing w:after="0" w:line="71" w:lineRule="exact"/>
        <w:rPr>
          <w:rFonts w:ascii="Arial" w:cs="Arial" w:eastAsia="Arial" w:hAnsi="Arial"/>
          <w:sz w:val="18"/>
          <w:szCs w:val="18"/>
          <w:b w:val="1"/>
          <w:bCs w:val="1"/>
          <w:color w:val="auto"/>
        </w:rPr>
      </w:pPr>
    </w:p>
    <w:p>
      <w:pPr>
        <w:ind w:left="460" w:right="38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b w:val="1"/>
          <w:bCs w:val="1"/>
          <w:color w:val="auto"/>
        </w:rPr>
        <w:t>—</w:t>
      </w:r>
      <w:r>
        <w:rPr>
          <w:rFonts w:ascii="Arial" w:cs="Arial" w:eastAsia="Arial" w:hAnsi="Arial"/>
          <w:sz w:val="18"/>
          <w:szCs w:val="18"/>
          <w:color w:val="auto"/>
        </w:rPr>
        <w:t>The Plan is a defined contribution plan covering all full-time employees of EMED Co., Inc. (the “Company”) who have three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are age twenty-one or older. The Company controls and manages the operation and administration of the Plan. On July 8, 2005, the Company replaced Expert Plan, the former recordkeeper, and Matrix Capital Bank Trust, the former custodian, with PNC Bank, N.A. As of December 31, 2005, PNC Bank, N.A. serves as the recordkeeper and custodian of the Plan. The Plan is subject to the provisions of the Employee Retirement Income Security Act of 1974 (“ERISA”), as amended.</w:t>
      </w:r>
    </w:p>
    <w:p>
      <w:pPr>
        <w:spacing w:after="0" w:line="89"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b w:val="1"/>
          <w:bCs w:val="1"/>
          <w:color w:val="auto"/>
        </w:rPr>
        <w:t>—</w:t>
      </w:r>
      <w:r>
        <w:rPr>
          <w:rFonts w:ascii="Arial" w:cs="Arial" w:eastAsia="Arial" w:hAnsi="Arial"/>
          <w:sz w:val="18"/>
          <w:szCs w:val="18"/>
          <w:color w:val="auto"/>
        </w:rPr>
        <w:t>Each year, participants may contribute up to 100% of their pretax annual compensation, as defined in the Plan, subject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(“IRC”) limitations. Additional amounts may be contributed at the discretion of the Company’s board of directors. Discretionary contributions of $236,508 were made for the year ended December 31, 2005. Participants may also contribute amounts representing distributions from other qualified defined benefit or defined contribution plans.</w:t>
      </w:r>
    </w:p>
    <w:p>
      <w:pPr>
        <w:spacing w:after="0" w:line="85" w:lineRule="exact"/>
        <w:rPr>
          <w:rFonts w:ascii="Arial" w:cs="Arial" w:eastAsia="Arial" w:hAnsi="Arial"/>
          <w:sz w:val="18"/>
          <w:szCs w:val="18"/>
          <w:b w:val="1"/>
          <w:bCs w:val="1"/>
          <w:color w:val="auto"/>
        </w:rPr>
      </w:pPr>
    </w:p>
    <w:p>
      <w:pPr>
        <w:ind w:left="460" w:right="28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Participant Accounts</w:t>
      </w:r>
      <w:r>
        <w:rPr>
          <w:rFonts w:ascii="Arial" w:cs="Arial" w:eastAsia="Arial" w:hAnsi="Arial"/>
          <w:sz w:val="16"/>
          <w:szCs w:val="16"/>
          <w:b w:val="1"/>
          <w:bCs w:val="1"/>
          <w:color w:val="auto"/>
        </w:rPr>
        <w:t>—</w:t>
      </w:r>
      <w:r>
        <w:rPr>
          <w:rFonts w:ascii="Arial" w:cs="Arial" w:eastAsia="Arial" w:hAnsi="Arial"/>
          <w:sz w:val="16"/>
          <w:szCs w:val="16"/>
          <w:color w:val="auto"/>
        </w:rPr>
        <w:t>Individual accounts are maintained for each Plan participant. Each participant’s account is credited with the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 and allocations of Company discretionary contributions, participant forfeitures and Plan earnings, and charged with withdrawals and an allocation of Plan losses and administrative expenses. Allocations are based on participant earnings or account balances, as defined in the Plan Document. The benefit to which a participant is entitled is the benefit that can be provided from the participant’s vested account.</w:t>
      </w:r>
    </w:p>
    <w:p>
      <w:pPr>
        <w:spacing w:after="0" w:line="56" w:lineRule="exact"/>
        <w:rPr>
          <w:rFonts w:ascii="Arial" w:cs="Arial" w:eastAsia="Arial" w:hAnsi="Arial"/>
          <w:sz w:val="18"/>
          <w:szCs w:val="18"/>
          <w:b w:val="1"/>
          <w:bCs w:val="1"/>
          <w:color w:val="auto"/>
        </w:rPr>
      </w:pPr>
    </w:p>
    <w:p>
      <w:pPr>
        <w:ind w:left="460" w:right="18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Investments</w:t>
      </w:r>
      <w:r>
        <w:rPr>
          <w:rFonts w:ascii="Arial" w:cs="Arial" w:eastAsia="Arial" w:hAnsi="Arial"/>
          <w:sz w:val="16"/>
          <w:szCs w:val="16"/>
          <w:b w:val="1"/>
          <w:bCs w:val="1"/>
          <w:color w:val="auto"/>
        </w:rPr>
        <w:t>—</w:t>
      </w:r>
      <w:r>
        <w:rPr>
          <w:rFonts w:ascii="Arial" w:cs="Arial" w:eastAsia="Arial" w:hAnsi="Arial"/>
          <w:sz w:val="16"/>
          <w:szCs w:val="16"/>
          <w:color w:val="auto"/>
        </w:rPr>
        <w:t>Participants direct the investment of their contributions into various investment options offered by the Plan. The Plan currently offers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investment options including equity funds, a common collective trust fund, one bond fund, a money market fund, and Brady Corporation common stock. Effective July 8, 2005, participants were first offered the option to invest in Brady Corporation Class A non-voting common stock.</w:t>
      </w:r>
    </w:p>
    <w:p>
      <w:pPr>
        <w:spacing w:after="0" w:line="47" w:lineRule="exact"/>
        <w:rPr>
          <w:rFonts w:ascii="Arial" w:cs="Arial" w:eastAsia="Arial" w:hAnsi="Arial"/>
          <w:sz w:val="18"/>
          <w:szCs w:val="18"/>
          <w:b w:val="1"/>
          <w:bCs w:val="1"/>
          <w:color w:val="auto"/>
        </w:rPr>
      </w:pPr>
    </w:p>
    <w:p>
      <w:pPr>
        <w:jc w:val="both"/>
        <w:ind w:left="460"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Vesting</w:t>
      </w:r>
      <w:r>
        <w:rPr>
          <w:rFonts w:ascii="Arial" w:cs="Arial" w:eastAsia="Arial" w:hAnsi="Arial"/>
          <w:sz w:val="18"/>
          <w:szCs w:val="18"/>
          <w:b w:val="1"/>
          <w:bCs w:val="1"/>
          <w:color w:val="auto"/>
        </w:rPr>
        <w:t>—</w:t>
      </w:r>
      <w:r>
        <w:rPr>
          <w:rFonts w:ascii="Arial" w:cs="Arial" w:eastAsia="Arial" w:hAnsi="Arial"/>
          <w:sz w:val="18"/>
          <w:szCs w:val="18"/>
          <w:color w:val="auto"/>
        </w:rPr>
        <w:t>Participants are vested immediately in their contributions plus actual earnings thereon. Vesting in the Company’s contribution portion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is based on years of continuous service. A participant is vested based on the following vesting schedule: 10% at 1 year, 20% at 2 years, 40% at 3 years, 60% at 4 years, 80% at 5 years, and 100% at 6 years of service.</w:t>
      </w:r>
    </w:p>
    <w:p>
      <w:pPr>
        <w:spacing w:after="0" w:line="81" w:lineRule="exact"/>
        <w:rPr>
          <w:rFonts w:ascii="Arial" w:cs="Arial" w:eastAsia="Arial" w:hAnsi="Arial"/>
          <w:sz w:val="18"/>
          <w:szCs w:val="18"/>
          <w:b w:val="1"/>
          <w:bCs w:val="1"/>
          <w:color w:val="auto"/>
        </w:rPr>
      </w:pPr>
    </w:p>
    <w:p>
      <w:pPr>
        <w:jc w:val="both"/>
        <w:ind w:left="46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Participant Loans</w:t>
      </w:r>
      <w:r>
        <w:rPr>
          <w:rFonts w:ascii="Arial" w:cs="Arial" w:eastAsia="Arial" w:hAnsi="Arial"/>
          <w:sz w:val="16"/>
          <w:szCs w:val="16"/>
          <w:b w:val="1"/>
          <w:bCs w:val="1"/>
          <w:color w:val="auto"/>
        </w:rPr>
        <w:t>—</w:t>
      </w:r>
      <w:r>
        <w:rPr>
          <w:rFonts w:ascii="Arial" w:cs="Arial" w:eastAsia="Arial" w:hAnsi="Arial"/>
          <w:sz w:val="16"/>
          <w:szCs w:val="16"/>
          <w:color w:val="auto"/>
        </w:rPr>
        <w:t>Participants may borrow from their fund accounts up to a maximum of $50,000 or 50% of their account balance, whichever is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loans are secured by the balance in the participant’s account and bear interest at rates commensurate with local prevailing rates at the time funds are borrowed as determined quarterly by the Plan administrator. Interest rates range from 6% to 8% for outstanding loans as of December 31, 2005.</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Principal and interest is paid ratably through payroll deductions.</w:t>
      </w:r>
    </w:p>
    <w:p>
      <w:pPr>
        <w:spacing w:after="0" w:line="183"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240"/>
        <w:spacing w:after="0" w:line="282" w:lineRule="auto"/>
        <w:rPr>
          <w:sz w:val="20"/>
          <w:szCs w:val="20"/>
          <w:color w:val="auto"/>
        </w:rPr>
      </w:pPr>
      <w:r>
        <w:rPr>
          <w:rFonts w:ascii="Arial" w:cs="Arial" w:eastAsia="Arial" w:hAnsi="Arial"/>
          <w:sz w:val="18"/>
          <w:szCs w:val="18"/>
          <w:b w:val="1"/>
          <w:bCs w:val="1"/>
          <w:i w:val="1"/>
          <w:iCs w:val="1"/>
          <w:color w:val="auto"/>
        </w:rPr>
        <w:t>Payment of Benefits</w:t>
      </w:r>
      <w:r>
        <w:rPr>
          <w:rFonts w:ascii="Arial" w:cs="Arial" w:eastAsia="Arial" w:hAnsi="Arial"/>
          <w:sz w:val="18"/>
          <w:szCs w:val="18"/>
          <w:b w:val="1"/>
          <w:bCs w:val="1"/>
          <w:color w:val="auto"/>
        </w:rPr>
        <w:t>—</w:t>
      </w:r>
      <w:r>
        <w:rPr>
          <w:rFonts w:ascii="Arial" w:cs="Arial" w:eastAsia="Arial" w:hAnsi="Arial"/>
          <w:sz w:val="18"/>
          <w:szCs w:val="18"/>
          <w:color w:val="auto"/>
        </w:rPr>
        <w:t>On termination of service, a participant may elect to receive a lump-sum amount equal to the value of the participant’s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his or her account.</w:t>
      </w:r>
    </w:p>
    <w:p>
      <w:pPr>
        <w:spacing w:after="0" w:line="67" w:lineRule="exact"/>
        <w:rPr>
          <w:sz w:val="20"/>
          <w:szCs w:val="20"/>
          <w:color w:val="auto"/>
        </w:rPr>
      </w:pPr>
    </w:p>
    <w:p>
      <w:pPr>
        <w:ind w:left="460" w:right="200"/>
        <w:spacing w:after="0" w:line="282" w:lineRule="auto"/>
        <w:rPr>
          <w:sz w:val="20"/>
          <w:szCs w:val="20"/>
          <w:color w:val="auto"/>
        </w:rPr>
      </w:pPr>
      <w:r>
        <w:rPr>
          <w:rFonts w:ascii="Arial" w:cs="Arial" w:eastAsia="Arial" w:hAnsi="Arial"/>
          <w:sz w:val="18"/>
          <w:szCs w:val="18"/>
          <w:b w:val="1"/>
          <w:bCs w:val="1"/>
          <w:i w:val="1"/>
          <w:iCs w:val="1"/>
          <w:color w:val="auto"/>
        </w:rPr>
        <w:t>Forfeited Accounts</w:t>
      </w:r>
      <w:r>
        <w:rPr>
          <w:rFonts w:ascii="Arial" w:cs="Arial" w:eastAsia="Arial" w:hAnsi="Arial"/>
          <w:sz w:val="18"/>
          <w:szCs w:val="18"/>
          <w:b w:val="1"/>
          <w:bCs w:val="1"/>
          <w:color w:val="auto"/>
        </w:rPr>
        <w:t>—</w:t>
      </w:r>
      <w:r>
        <w:rPr>
          <w:rFonts w:ascii="Arial" w:cs="Arial" w:eastAsia="Arial" w:hAnsi="Arial"/>
          <w:sz w:val="18"/>
          <w:szCs w:val="18"/>
          <w:color w:val="auto"/>
        </w:rPr>
        <w:t>At December 31, 2005 and 2004, forfeited nonvested accounts totaled $30,520 and $9,282, respectively. Amounts forfeited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allocated amongst eligible participants on a pro rata basis determined by the participants’ accounts.</w:t>
      </w:r>
    </w:p>
    <w:p>
      <w:pPr>
        <w:spacing w:after="0" w:line="6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460" w:right="1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Accounting</w:t>
      </w:r>
      <w:r>
        <w:rPr>
          <w:rFonts w:ascii="Arial" w:cs="Arial" w:eastAsia="Arial" w:hAnsi="Arial"/>
          <w:sz w:val="18"/>
          <w:szCs w:val="18"/>
          <w:b w:val="1"/>
          <w:bCs w:val="1"/>
          <w:color w:val="auto"/>
        </w:rPr>
        <w:t>—</w:t>
      </w:r>
      <w:r>
        <w:rPr>
          <w:rFonts w:ascii="Arial" w:cs="Arial" w:eastAsia="Arial" w:hAnsi="Arial"/>
          <w:sz w:val="18"/>
          <w:szCs w:val="18"/>
          <w:color w:val="auto"/>
        </w:rPr>
        <w:t>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67" w:lineRule="exact"/>
        <w:rPr>
          <w:rFonts w:ascii="Arial" w:cs="Arial" w:eastAsia="Arial" w:hAnsi="Arial"/>
          <w:sz w:val="18"/>
          <w:szCs w:val="18"/>
          <w:b w:val="1"/>
          <w:bCs w:val="1"/>
          <w:color w:val="auto"/>
        </w:rPr>
      </w:pPr>
    </w:p>
    <w:p>
      <w:pPr>
        <w:ind w:left="460"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Plan management to make estimates and assumptions that affect the reported amounts of net assets available for benefits and changes therein. Actual results could differ from those estimates.</w:t>
      </w:r>
    </w:p>
    <w:p>
      <w:pPr>
        <w:spacing w:after="0" w:line="81" w:lineRule="exact"/>
        <w:rPr>
          <w:rFonts w:ascii="Arial" w:cs="Arial" w:eastAsia="Arial" w:hAnsi="Arial"/>
          <w:sz w:val="18"/>
          <w:szCs w:val="18"/>
          <w:b w:val="1"/>
          <w:bCs w:val="1"/>
          <w:color w:val="auto"/>
        </w:rPr>
      </w:pPr>
    </w:p>
    <w:p>
      <w:pPr>
        <w:ind w:left="460" w:right="3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and Uncertainties</w:t>
      </w:r>
      <w:r>
        <w:rPr>
          <w:rFonts w:ascii="Arial" w:cs="Arial" w:eastAsia="Arial" w:hAnsi="Arial"/>
          <w:sz w:val="18"/>
          <w:szCs w:val="18"/>
          <w:b w:val="1"/>
          <w:bCs w:val="1"/>
          <w:color w:val="auto"/>
        </w:rPr>
        <w:t>—</w:t>
      </w:r>
      <w:r>
        <w:rPr>
          <w:rFonts w:ascii="Arial" w:cs="Arial" w:eastAsia="Arial" w:hAnsi="Arial"/>
          <w:sz w:val="18"/>
          <w:szCs w:val="18"/>
          <w:color w:val="auto"/>
        </w:rPr>
        <w:t>The Plan utilizes investment instruments such as mutual funds. Investment securities, in general, are exposed to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such as interest rate risk, credit risk,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85" w:lineRule="exact"/>
        <w:rPr>
          <w:rFonts w:ascii="Arial" w:cs="Arial" w:eastAsia="Arial" w:hAnsi="Arial"/>
          <w:sz w:val="18"/>
          <w:szCs w:val="18"/>
          <w:b w:val="1"/>
          <w:bCs w:val="1"/>
          <w:color w:val="auto"/>
        </w:rPr>
      </w:pPr>
    </w:p>
    <w:p>
      <w:pPr>
        <w:ind w:left="460" w:right="2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Investment Valuation and Income Recognition</w:t>
      </w:r>
      <w:r>
        <w:rPr>
          <w:rFonts w:ascii="Arial" w:cs="Arial" w:eastAsia="Arial" w:hAnsi="Arial"/>
          <w:sz w:val="16"/>
          <w:szCs w:val="16"/>
          <w:b w:val="1"/>
          <w:bCs w:val="1"/>
          <w:color w:val="auto"/>
        </w:rPr>
        <w:t>—</w:t>
      </w:r>
      <w:r>
        <w:rPr>
          <w:rFonts w:ascii="Arial" w:cs="Arial" w:eastAsia="Arial" w:hAnsi="Arial"/>
          <w:sz w:val="16"/>
          <w:szCs w:val="16"/>
          <w:color w:val="auto"/>
        </w:rPr>
        <w:t>The Plan’s investments are stated at fair value. Shares of mutual funds are valued at quoted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which represent the net asset value of shares held by the Plan at year end. Participant loans are valued at the outstanding loan balances.</w:t>
      </w:r>
    </w:p>
    <w:p>
      <w:pPr>
        <w:spacing w:after="0" w:line="25" w:lineRule="exact"/>
        <w:rPr>
          <w:rFonts w:ascii="Arial" w:cs="Arial" w:eastAsia="Arial" w:hAnsi="Arial"/>
          <w:sz w:val="18"/>
          <w:szCs w:val="18"/>
          <w:b w:val="1"/>
          <w:bCs w:val="1"/>
          <w:color w:val="auto"/>
        </w:rPr>
      </w:pPr>
    </w:p>
    <w:p>
      <w:pPr>
        <w:ind w:left="460" w:right="2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invests in the PNC EMED Stable Asset Fund. The PNC EMED Stable Asset Fund is made up of the PNC Investment Contract Fund and Blackrock Money Market Fund. The PNC Investment Contract Fund is a common collective trust that invests in fully benefit responsive guaranteed investment contracts (“GICs”) and synthetic guaranteed investment contracts (“SGICs”). The GICs and SGICs are recorded at contract value, which approximates fair value. The average yields were approximately 4.08% and 3.44% as of December 31, 2005 and 2004, respectively.</w:t>
      </w:r>
    </w:p>
    <w:p>
      <w:pPr>
        <w:spacing w:after="0" w:line="59"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75"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net appreciation in the fair value for such investments.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Administrative Expenses</w:t>
      </w:r>
      <w:r>
        <w:rPr>
          <w:rFonts w:ascii="Arial" w:cs="Arial" w:eastAsia="Arial" w:hAnsi="Arial"/>
          <w:sz w:val="18"/>
          <w:szCs w:val="18"/>
          <w:b w:val="1"/>
          <w:bCs w:val="1"/>
          <w:color w:val="auto"/>
        </w:rPr>
        <w:t>—</w:t>
      </w:r>
      <w:r>
        <w:rPr>
          <w:rFonts w:ascii="Arial" w:cs="Arial" w:eastAsia="Arial" w:hAnsi="Arial"/>
          <w:sz w:val="18"/>
          <w:szCs w:val="18"/>
          <w:color w:val="auto"/>
        </w:rPr>
        <w:t>Administrative expenses of the Plan are paid by the Plan as provided in the Plan Document.</w:t>
      </w:r>
    </w:p>
    <w:p>
      <w:pPr>
        <w:spacing w:after="0" w:line="130" w:lineRule="exact"/>
        <w:rPr>
          <w:rFonts w:ascii="Arial" w:cs="Arial" w:eastAsia="Arial" w:hAnsi="Arial"/>
          <w:sz w:val="18"/>
          <w:szCs w:val="18"/>
          <w:b w:val="1"/>
          <w:bCs w:val="1"/>
          <w:color w:val="auto"/>
        </w:rPr>
      </w:pPr>
    </w:p>
    <w:p>
      <w:pPr>
        <w:ind w:left="46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of Benefits</w:t>
      </w:r>
      <w:r>
        <w:rPr>
          <w:rFonts w:ascii="Arial" w:cs="Arial" w:eastAsia="Arial" w:hAnsi="Arial"/>
          <w:sz w:val="18"/>
          <w:szCs w:val="18"/>
          <w:b w:val="1"/>
          <w:bCs w:val="1"/>
          <w:color w:val="auto"/>
        </w:rPr>
        <w:t>—</w:t>
      </w:r>
      <w:r>
        <w:rPr>
          <w:rFonts w:ascii="Arial" w:cs="Arial" w:eastAsia="Arial" w:hAnsi="Arial"/>
          <w:sz w:val="18"/>
          <w:szCs w:val="18"/>
          <w:color w:val="auto"/>
        </w:rPr>
        <w:t>Benefit payments to participants are recorded upon distribution. There were no amounts allocated to accounts of persons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elected to withdraw from the Plan but have not yet been paid as of December 31, 2005 and 2004.</w:t>
      </w:r>
    </w:p>
    <w:p>
      <w:pPr>
        <w:spacing w:after="0" w:line="138" w:lineRule="exact"/>
        <w:rPr>
          <w:rFonts w:ascii="Arial" w:cs="Arial" w:eastAsia="Arial" w:hAnsi="Arial"/>
          <w:sz w:val="18"/>
          <w:szCs w:val="18"/>
          <w:b w:val="1"/>
          <w:bCs w:val="1"/>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Plan’s investments that represented 5% or more of the Plan’s net assets available for benefits as of December 31, 2005 and 2004,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3920" w:type="dxa"/>
            <w:vAlign w:val="bottom"/>
          </w:tcPr>
          <w:p>
            <w:pPr>
              <w:jc w:val="right"/>
              <w:ind w:right="47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Advisors Equity Growth Fund</w:t>
            </w:r>
          </w:p>
        </w:tc>
        <w:tc>
          <w:tcPr>
            <w:tcW w:w="3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$ 928,214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American Funds Washington Investors Fund</w:t>
            </w:r>
          </w:p>
        </w:tc>
        <w:tc>
          <w:tcPr>
            <w:tcW w:w="3920" w:type="dxa"/>
            <w:vAlign w:val="bottom"/>
          </w:tcPr>
          <w:p>
            <w:pPr>
              <w:jc w:val="right"/>
              <w:ind w:right="253"/>
              <w:spacing w:after="0"/>
              <w:rPr>
                <w:sz w:val="20"/>
                <w:szCs w:val="20"/>
                <w:color w:val="auto"/>
              </w:rPr>
            </w:pPr>
            <w:r>
              <w:rPr>
                <w:rFonts w:ascii="Arial" w:cs="Arial" w:eastAsia="Arial" w:hAnsi="Arial"/>
                <w:sz w:val="18"/>
                <w:szCs w:val="18"/>
                <w:color w:val="auto"/>
              </w:rPr>
              <w:t>855,059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Advisors Intermediate Bond Fund</w:t>
            </w:r>
          </w:p>
        </w:tc>
        <w:tc>
          <w:tcPr>
            <w:tcW w:w="3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695,113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3920" w:type="dxa"/>
            <w:vAlign w:val="bottom"/>
          </w:tcPr>
          <w:p>
            <w:pPr>
              <w:jc w:val="right"/>
              <w:ind w:right="253"/>
              <w:spacing w:after="0"/>
              <w:rPr>
                <w:sz w:val="20"/>
                <w:szCs w:val="20"/>
                <w:color w:val="auto"/>
              </w:rPr>
            </w:pPr>
            <w:r>
              <w:rPr>
                <w:rFonts w:ascii="Arial" w:cs="Arial" w:eastAsia="Arial" w:hAnsi="Arial"/>
                <w:sz w:val="18"/>
                <w:szCs w:val="18"/>
                <w:color w:val="auto"/>
              </w:rPr>
              <w:t>475,008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BlackRock Small Cap Growth Equity Portfolio*</w:t>
            </w:r>
          </w:p>
        </w:tc>
        <w:tc>
          <w:tcPr>
            <w:tcW w:w="3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405,184</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American Century Small Cap Value Fund</w:t>
            </w:r>
          </w:p>
        </w:tc>
        <w:tc>
          <w:tcPr>
            <w:tcW w:w="3920" w:type="dxa"/>
            <w:vAlign w:val="bottom"/>
          </w:tcPr>
          <w:p>
            <w:pPr>
              <w:jc w:val="right"/>
              <w:ind w:right="253"/>
              <w:spacing w:after="0"/>
              <w:rPr>
                <w:sz w:val="20"/>
                <w:szCs w:val="20"/>
                <w:color w:val="auto"/>
              </w:rPr>
            </w:pPr>
            <w:r>
              <w:rPr>
                <w:rFonts w:ascii="Arial" w:cs="Arial" w:eastAsia="Arial" w:hAnsi="Arial"/>
                <w:sz w:val="18"/>
                <w:szCs w:val="18"/>
                <w:color w:val="auto"/>
              </w:rPr>
              <w:t>320,324</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Dodge and Cox Stock Fund</w:t>
            </w:r>
          </w:p>
        </w:tc>
        <w:tc>
          <w:tcPr>
            <w:tcW w:w="3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757,691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Harbor Capital Appreciation Fund</w:t>
            </w:r>
          </w:p>
        </w:tc>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649,234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Scudder US Bond Index Fund</w:t>
            </w:r>
          </w:p>
        </w:tc>
        <w:tc>
          <w:tcPr>
            <w:tcW w:w="3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581,807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Scudder EAFE Equity Index Fund</w:t>
            </w:r>
          </w:p>
        </w:tc>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377,052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Vanguard Capital Opportunity Fund</w:t>
            </w:r>
          </w:p>
        </w:tc>
        <w:tc>
          <w:tcPr>
            <w:tcW w:w="3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226,260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Vanguard Small-Cap Value Fund</w:t>
            </w:r>
          </w:p>
        </w:tc>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215,392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Vanguard Strategic Equity Fund</w:t>
            </w:r>
          </w:p>
        </w:tc>
        <w:tc>
          <w:tcPr>
            <w:tcW w:w="3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200,736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17"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During the year ended December 31, 2005, the Plan’s mutual fund investments (including gains and losses on investments bought and sold, as well as held during the year) appreciated in value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68,948</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Bond fund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(12,575)</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Common collective trust fund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439"/>
        </w:trPr>
        <w:tc>
          <w:tcPr>
            <w:tcW w:w="106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58,496</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34"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it has not expressed any intention to do so, the Company has the right under the Plan to discontinue its contributions at any time and to terminate the Plan subject to the provisions set forth in ERISA. In the event that the Plan is terminated, participants would become 100% vested in their accounts.</w:t>
      </w:r>
    </w:p>
    <w:p>
      <w:pPr>
        <w:spacing w:after="0" w:line="82"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STATUS</w:t>
      </w:r>
    </w:p>
    <w:p>
      <w:pPr>
        <w:spacing w:after="0" w:line="134"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Plan uses a prototype plan document sponsored by Expert Plan, Inc. (“Expert Plan”). Expert Plan received an opinion letter from the Internal Revenue Service (“IRS”), dated November 11, 2001, which states that the prototype document satisfies the applicable provisions of the Internal Revenue Code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47" w:lineRule="exact"/>
        <w:rPr>
          <w:rFonts w:ascii="Arial" w:cs="Arial" w:eastAsia="Arial" w:hAnsi="Arial"/>
          <w:sz w:val="18"/>
          <w:szCs w:val="18"/>
          <w:b w:val="1"/>
          <w:bCs w:val="1"/>
          <w:color w:val="auto"/>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Plan invests in Company common stock. Certain plan investments represent shares of mutual funds and common collective trust funds managed by the custodian. These transactions are considered party-in-interest transactions. These transactions are not, however, considered prohibited transactions under ERISA regulations. Fees paid by the Plan for investment management services were included as a reduction of the return earned on each fund.</w:t>
      </w:r>
    </w:p>
    <w:p>
      <w:pPr>
        <w:spacing w:after="0" w:line="254" w:lineRule="exact"/>
        <w:rPr>
          <w:rFonts w:ascii="Arial" w:cs="Arial" w:eastAsia="Arial" w:hAnsi="Arial"/>
          <w:sz w:val="18"/>
          <w:szCs w:val="18"/>
          <w:b w:val="1"/>
          <w:bCs w:val="1"/>
          <w:color w:val="auto"/>
        </w:rPr>
      </w:pPr>
    </w:p>
    <w:p>
      <w:pPr>
        <w:ind w:left="5220"/>
        <w:spacing w:after="0"/>
        <w:rPr>
          <w:rFonts w:ascii="Arial" w:cs="Arial" w:eastAsia="Arial" w:hAnsi="Arial"/>
          <w:sz w:val="18"/>
          <w:szCs w:val="18"/>
          <w:b w:val="1"/>
          <w:bCs w:val="1"/>
          <w:color w:val="auto"/>
        </w:rPr>
      </w:pPr>
      <w:r>
        <w:rPr>
          <w:rFonts w:ascii="Arial" w:cs="Arial" w:eastAsia="Arial" w:hAnsi="Arial"/>
          <w:sz w:val="18"/>
          <w:szCs w:val="18"/>
          <w:color w:val="auto"/>
        </w:rPr>
        <w:t>* * * * * *</w:t>
      </w:r>
    </w:p>
    <w:p>
      <w:pPr>
        <w:spacing w:after="0" w:line="198" w:lineRule="exact"/>
        <w:rPr>
          <w:rFonts w:ascii="Arial" w:cs="Arial" w:eastAsia="Arial" w:hAnsi="Arial"/>
          <w:sz w:val="18"/>
          <w:szCs w:val="18"/>
          <w:b w:val="1"/>
          <w:bCs w:val="1"/>
          <w:color w:val="auto"/>
        </w:rPr>
      </w:pPr>
    </w:p>
    <w:p>
      <w:pPr>
        <w:ind w:left="5660" w:hanging="96"/>
        <w:spacing w:after="0"/>
        <w:tabs>
          <w:tab w:leader="none" w:pos="5660" w:val="left"/>
        </w:tabs>
        <w:numPr>
          <w:ilvl w:val="2"/>
          <w:numId w:val="8"/>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SUPPLEMENTAL SCHEDULE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FURNISHED PURSUANT TO THE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DEPARTMENT OF LABOR’S RULES AND REGULATIONS</w:t>
      </w: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2005</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520" w:type="dxa"/>
            <w:vAlign w:val="bottom"/>
          </w:tcPr>
          <w:p>
            <w:pPr>
              <w:jc w:val="right"/>
              <w:ind w:right="632"/>
              <w:spacing w:after="0"/>
              <w:rPr>
                <w:sz w:val="20"/>
                <w:szCs w:val="20"/>
                <w:color w:val="auto"/>
              </w:rPr>
            </w:pPr>
            <w:r>
              <w:rPr>
                <w:rFonts w:ascii="Arial" w:cs="Arial" w:eastAsia="Arial" w:hAnsi="Arial"/>
                <w:sz w:val="14"/>
                <w:szCs w:val="14"/>
                <w:b w:val="1"/>
                <w:bCs w:val="1"/>
                <w:color w:val="auto"/>
              </w:rPr>
              <w:t>Par Value,</w:t>
            </w:r>
          </w:p>
        </w:tc>
        <w:tc>
          <w:tcPr>
            <w:tcW w:w="4640" w:type="dxa"/>
            <w:vAlign w:val="bottom"/>
            <w:vMerge w:val="restart"/>
          </w:tcPr>
          <w:p>
            <w:pPr>
              <w:ind w:left="39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57"/>
        </w:trPr>
        <w:tc>
          <w:tcPr>
            <w:tcW w:w="1520" w:type="dxa"/>
            <w:vAlign w:val="bottom"/>
          </w:tcPr>
          <w:p>
            <w:pPr>
              <w:jc w:val="right"/>
              <w:ind w:right="472"/>
              <w:spacing w:after="0" w:line="157" w:lineRule="exact"/>
              <w:rPr>
                <w:sz w:val="20"/>
                <w:szCs w:val="20"/>
                <w:color w:val="auto"/>
              </w:rPr>
            </w:pPr>
            <w:r>
              <w:rPr>
                <w:rFonts w:ascii="Arial" w:cs="Arial" w:eastAsia="Arial" w:hAnsi="Arial"/>
                <w:sz w:val="14"/>
                <w:szCs w:val="14"/>
                <w:b w:val="1"/>
                <w:bCs w:val="1"/>
                <w:color w:val="auto"/>
                <w:w w:val="90"/>
              </w:rPr>
              <w:t>Units or Shares</w:t>
            </w:r>
          </w:p>
        </w:tc>
        <w:tc>
          <w:tcPr>
            <w:tcW w:w="4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rPr>
              <w:t>EQUITY FUNDS:</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2,357</w:t>
            </w:r>
          </w:p>
        </w:tc>
        <w:tc>
          <w:tcPr>
            <w:tcW w:w="4640" w:type="dxa"/>
            <w:vAlign w:val="bottom"/>
          </w:tcPr>
          <w:p>
            <w:pPr>
              <w:ind w:left="600"/>
              <w:spacing w:after="0"/>
              <w:rPr>
                <w:sz w:val="20"/>
                <w:szCs w:val="20"/>
                <w:color w:val="auto"/>
              </w:rPr>
            </w:pPr>
            <w:r>
              <w:rPr>
                <w:rFonts w:ascii="Arial" w:cs="Arial" w:eastAsia="Arial" w:hAnsi="Arial"/>
                <w:sz w:val="18"/>
                <w:szCs w:val="18"/>
                <w:color w:val="auto"/>
              </w:rPr>
              <w:t>MFS Emerging Markets Equity Fund</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19,346</w:t>
            </w:r>
          </w:p>
        </w:tc>
        <w:tc>
          <w:tcPr>
            <w:tcW w:w="4640" w:type="dxa"/>
            <w:vAlign w:val="bottom"/>
          </w:tcPr>
          <w:p>
            <w:pPr>
              <w:ind w:left="600"/>
              <w:spacing w:after="0"/>
              <w:rPr>
                <w:sz w:val="20"/>
                <w:szCs w:val="20"/>
                <w:color w:val="auto"/>
              </w:rPr>
            </w:pPr>
            <w:r>
              <w:rPr>
                <w:rFonts w:ascii="Arial" w:cs="Arial" w:eastAsia="Arial" w:hAnsi="Arial"/>
                <w:sz w:val="18"/>
                <w:szCs w:val="18"/>
                <w:color w:val="auto"/>
              </w:rPr>
              <w:t>Fidelity Advisors Equity Growth Fund</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14,598</w:t>
            </w:r>
          </w:p>
        </w:tc>
        <w:tc>
          <w:tcPr>
            <w:tcW w:w="4640" w:type="dxa"/>
            <w:vAlign w:val="bottom"/>
          </w:tcPr>
          <w:p>
            <w:pPr>
              <w:ind w:left="600"/>
              <w:spacing w:after="0"/>
              <w:rPr>
                <w:sz w:val="20"/>
                <w:szCs w:val="20"/>
                <w:color w:val="auto"/>
              </w:rPr>
            </w:pPr>
            <w:r>
              <w:rPr>
                <w:rFonts w:ascii="Arial" w:cs="Arial" w:eastAsia="Arial" w:hAnsi="Arial"/>
                <w:sz w:val="18"/>
                <w:szCs w:val="18"/>
                <w:color w:val="auto"/>
              </w:rPr>
              <w:t>Fidelity Diversified International Fund</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659</w:t>
            </w:r>
          </w:p>
        </w:tc>
        <w:tc>
          <w:tcPr>
            <w:tcW w:w="4640" w:type="dxa"/>
            <w:vAlign w:val="bottom"/>
          </w:tcPr>
          <w:p>
            <w:pPr>
              <w:ind w:left="600"/>
              <w:spacing w:after="0"/>
              <w:rPr>
                <w:sz w:val="20"/>
                <w:szCs w:val="20"/>
                <w:color w:val="auto"/>
              </w:rPr>
            </w:pPr>
            <w:r>
              <w:rPr>
                <w:rFonts w:ascii="Arial" w:cs="Arial" w:eastAsia="Arial" w:hAnsi="Arial"/>
                <w:sz w:val="18"/>
                <w:szCs w:val="18"/>
                <w:color w:val="auto"/>
              </w:rPr>
              <w:t>PIMCO Commodity Real Return</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24,176</w:t>
            </w:r>
          </w:p>
        </w:tc>
        <w:tc>
          <w:tcPr>
            <w:tcW w:w="4640" w:type="dxa"/>
            <w:vAlign w:val="bottom"/>
          </w:tcPr>
          <w:p>
            <w:pPr>
              <w:ind w:left="600"/>
              <w:spacing w:after="0"/>
              <w:rPr>
                <w:sz w:val="20"/>
                <w:szCs w:val="20"/>
                <w:color w:val="auto"/>
              </w:rPr>
            </w:pPr>
            <w:r>
              <w:rPr>
                <w:rFonts w:ascii="Arial" w:cs="Arial" w:eastAsia="Arial" w:hAnsi="Arial"/>
                <w:sz w:val="18"/>
                <w:szCs w:val="18"/>
                <w:color w:val="auto"/>
              </w:rPr>
              <w:t>Blackrock Small Cap Growth Equity Portfolio*</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33,228</w:t>
            </w:r>
          </w:p>
        </w:tc>
        <w:tc>
          <w:tcPr>
            <w:tcW w:w="4640" w:type="dxa"/>
            <w:vAlign w:val="bottom"/>
          </w:tcPr>
          <w:p>
            <w:pPr>
              <w:ind w:left="600"/>
              <w:spacing w:after="0"/>
              <w:rPr>
                <w:sz w:val="20"/>
                <w:szCs w:val="20"/>
                <w:color w:val="auto"/>
              </w:rPr>
            </w:pPr>
            <w:r>
              <w:rPr>
                <w:rFonts w:ascii="Arial" w:cs="Arial" w:eastAsia="Arial" w:hAnsi="Arial"/>
                <w:sz w:val="18"/>
                <w:szCs w:val="18"/>
                <w:color w:val="auto"/>
              </w:rPr>
              <w:t>American Century Small Cap Value Fund</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27,735</w:t>
            </w:r>
          </w:p>
        </w:tc>
        <w:tc>
          <w:tcPr>
            <w:tcW w:w="4640" w:type="dxa"/>
            <w:vAlign w:val="bottom"/>
          </w:tcPr>
          <w:p>
            <w:pPr>
              <w:ind w:left="600"/>
              <w:spacing w:after="0"/>
              <w:rPr>
                <w:sz w:val="20"/>
                <w:szCs w:val="20"/>
                <w:color w:val="auto"/>
              </w:rPr>
            </w:pPr>
            <w:r>
              <w:rPr>
                <w:rFonts w:ascii="Arial" w:cs="Arial" w:eastAsia="Arial" w:hAnsi="Arial"/>
                <w:sz w:val="18"/>
                <w:szCs w:val="18"/>
                <w:color w:val="auto"/>
              </w:rPr>
              <w:t>American Funds Washington Investors Fund</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695</w:t>
            </w:r>
          </w:p>
        </w:tc>
        <w:tc>
          <w:tcPr>
            <w:tcW w:w="4640" w:type="dxa"/>
            <w:vAlign w:val="bottom"/>
          </w:tcPr>
          <w:p>
            <w:pPr>
              <w:ind w:left="600"/>
              <w:spacing w:after="0"/>
              <w:rPr>
                <w:sz w:val="20"/>
                <w:szCs w:val="20"/>
                <w:color w:val="auto"/>
              </w:rPr>
            </w:pPr>
            <w:r>
              <w:rPr>
                <w:rFonts w:ascii="Arial" w:cs="Arial" w:eastAsia="Arial" w:hAnsi="Arial"/>
                <w:sz w:val="18"/>
                <w:szCs w:val="18"/>
                <w:color w:val="auto"/>
              </w:rPr>
              <w:t>T Rowe Price Retirement 2010</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186</w:t>
            </w:r>
          </w:p>
        </w:tc>
        <w:tc>
          <w:tcPr>
            <w:tcW w:w="4640" w:type="dxa"/>
            <w:vAlign w:val="bottom"/>
          </w:tcPr>
          <w:p>
            <w:pPr>
              <w:ind w:left="600"/>
              <w:spacing w:after="0"/>
              <w:rPr>
                <w:sz w:val="20"/>
                <w:szCs w:val="20"/>
                <w:color w:val="auto"/>
              </w:rPr>
            </w:pPr>
            <w:r>
              <w:rPr>
                <w:rFonts w:ascii="Arial" w:cs="Arial" w:eastAsia="Arial" w:hAnsi="Arial"/>
                <w:sz w:val="18"/>
                <w:szCs w:val="18"/>
                <w:color w:val="auto"/>
              </w:rPr>
              <w:t>T Rowe Price Retirement 2030</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57</w:t>
            </w:r>
          </w:p>
        </w:tc>
        <w:tc>
          <w:tcPr>
            <w:tcW w:w="4640" w:type="dxa"/>
            <w:vAlign w:val="bottom"/>
          </w:tcPr>
          <w:p>
            <w:pPr>
              <w:ind w:left="600"/>
              <w:spacing w:after="0"/>
              <w:rPr>
                <w:sz w:val="20"/>
                <w:szCs w:val="20"/>
                <w:color w:val="auto"/>
              </w:rPr>
            </w:pPr>
            <w:r>
              <w:rPr>
                <w:rFonts w:ascii="Arial" w:cs="Arial" w:eastAsia="Arial" w:hAnsi="Arial"/>
                <w:sz w:val="18"/>
                <w:szCs w:val="18"/>
                <w:color w:val="auto"/>
              </w:rPr>
              <w:t>T Rowe Price Retirement 2040</w:t>
            </w:r>
          </w:p>
        </w:tc>
        <w:tc>
          <w:tcPr>
            <w:tcW w:w="0" w:type="dxa"/>
            <w:vAlign w:val="bottom"/>
          </w:tcPr>
          <w:p>
            <w:pPr>
              <w:spacing w:after="0"/>
              <w:rPr>
                <w:sz w:val="1"/>
                <w:szCs w:val="1"/>
                <w:color w:val="auto"/>
              </w:rPr>
            </w:pPr>
          </w:p>
        </w:tc>
      </w:tr>
      <w:tr>
        <w:trPr>
          <w:trHeight w:val="230"/>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918</w:t>
            </w:r>
          </w:p>
        </w:tc>
        <w:tc>
          <w:tcPr>
            <w:tcW w:w="4640" w:type="dxa"/>
            <w:vAlign w:val="bottom"/>
          </w:tcPr>
          <w:p>
            <w:pPr>
              <w:ind w:left="600"/>
              <w:spacing w:after="0"/>
              <w:rPr>
                <w:sz w:val="20"/>
                <w:szCs w:val="20"/>
                <w:color w:val="auto"/>
              </w:rPr>
            </w:pPr>
            <w:r>
              <w:rPr>
                <w:rFonts w:ascii="Arial" w:cs="Arial" w:eastAsia="Arial" w:hAnsi="Arial"/>
                <w:sz w:val="18"/>
                <w:szCs w:val="18"/>
                <w:color w:val="auto"/>
              </w:rPr>
              <w:t>Vanguard Institutional Index Fund</w:t>
            </w:r>
          </w:p>
        </w:tc>
        <w:tc>
          <w:tcPr>
            <w:tcW w:w="0" w:type="dxa"/>
            <w:vAlign w:val="bottom"/>
          </w:tcPr>
          <w:p>
            <w:pPr>
              <w:spacing w:after="0"/>
              <w:rPr>
                <w:sz w:val="1"/>
                <w:szCs w:val="1"/>
                <w:color w:val="auto"/>
              </w:rPr>
            </w:pPr>
          </w:p>
        </w:tc>
      </w:tr>
      <w:tr>
        <w:trPr>
          <w:trHeight w:val="904"/>
        </w:trPr>
        <w:tc>
          <w:tcPr>
            <w:tcW w:w="152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rPr>
              <w:t>COMMON COLLECTIVE TRUST FUND—</w:t>
            </w:r>
          </w:p>
        </w:tc>
        <w:tc>
          <w:tcPr>
            <w:tcW w:w="0" w:type="dxa"/>
            <w:vAlign w:val="bottom"/>
          </w:tcPr>
          <w:p>
            <w:pPr>
              <w:spacing w:after="0"/>
              <w:rPr>
                <w:sz w:val="1"/>
                <w:szCs w:val="1"/>
                <w:color w:val="auto"/>
              </w:rPr>
            </w:pPr>
          </w:p>
        </w:tc>
      </w:tr>
      <w:tr>
        <w:trPr>
          <w:trHeight w:val="230"/>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8,874</w:t>
            </w:r>
          </w:p>
        </w:tc>
        <w:tc>
          <w:tcPr>
            <w:tcW w:w="4640" w:type="dxa"/>
            <w:vAlign w:val="bottom"/>
          </w:tcPr>
          <w:p>
            <w:pPr>
              <w:ind w:left="600"/>
              <w:spacing w:after="0"/>
              <w:rPr>
                <w:sz w:val="20"/>
                <w:szCs w:val="20"/>
                <w:color w:val="auto"/>
              </w:rPr>
            </w:pPr>
            <w:r>
              <w:rPr>
                <w:rFonts w:ascii="Arial" w:cs="Arial" w:eastAsia="Arial" w:hAnsi="Arial"/>
                <w:sz w:val="18"/>
                <w:szCs w:val="18"/>
                <w:color w:val="auto"/>
              </w:rPr>
              <w:t>PNC Investment Contract Fund*</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rPr>
              <w:t>BOND FUND—</w:t>
            </w:r>
          </w:p>
        </w:tc>
        <w:tc>
          <w:tcPr>
            <w:tcW w:w="0" w:type="dxa"/>
            <w:vAlign w:val="bottom"/>
          </w:tcPr>
          <w:p>
            <w:pPr>
              <w:spacing w:after="0"/>
              <w:rPr>
                <w:sz w:val="1"/>
                <w:szCs w:val="1"/>
                <w:color w:val="auto"/>
              </w:rPr>
            </w:pPr>
          </w:p>
        </w:tc>
      </w:tr>
      <w:tr>
        <w:trPr>
          <w:trHeight w:val="230"/>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64,184</w:t>
            </w:r>
          </w:p>
        </w:tc>
        <w:tc>
          <w:tcPr>
            <w:tcW w:w="4640" w:type="dxa"/>
            <w:vAlign w:val="bottom"/>
          </w:tcPr>
          <w:p>
            <w:pPr>
              <w:ind w:left="600"/>
              <w:spacing w:after="0"/>
              <w:rPr>
                <w:sz w:val="20"/>
                <w:szCs w:val="20"/>
                <w:color w:val="auto"/>
              </w:rPr>
            </w:pPr>
            <w:r>
              <w:rPr>
                <w:rFonts w:ascii="Arial" w:cs="Arial" w:eastAsia="Arial" w:hAnsi="Arial"/>
                <w:sz w:val="18"/>
                <w:szCs w:val="18"/>
                <w:color w:val="auto"/>
              </w:rPr>
              <w:t>Fidelity Advisors Intermediate Bond Fund</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0" w:type="dxa"/>
            <w:vAlign w:val="bottom"/>
          </w:tcPr>
          <w:p>
            <w:pPr>
              <w:spacing w:after="0"/>
              <w:rPr>
                <w:sz w:val="1"/>
                <w:szCs w:val="1"/>
                <w:color w:val="auto"/>
              </w:rPr>
            </w:pPr>
          </w:p>
        </w:tc>
      </w:tr>
      <w:tr>
        <w:trPr>
          <w:trHeight w:val="216"/>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122,115</w:t>
            </w:r>
          </w:p>
        </w:tc>
        <w:tc>
          <w:tcPr>
            <w:tcW w:w="4640" w:type="dxa"/>
            <w:vAlign w:val="bottom"/>
          </w:tcPr>
          <w:p>
            <w:pPr>
              <w:ind w:left="600"/>
              <w:spacing w:after="0"/>
              <w:rPr>
                <w:sz w:val="20"/>
                <w:szCs w:val="20"/>
                <w:color w:val="auto"/>
              </w:rPr>
            </w:pPr>
            <w:r>
              <w:rPr>
                <w:rFonts w:ascii="Arial" w:cs="Arial" w:eastAsia="Arial" w:hAnsi="Arial"/>
                <w:sz w:val="18"/>
                <w:szCs w:val="18"/>
                <w:color w:val="auto"/>
              </w:rPr>
              <w:t>Blackrock Money Market Portfolio*</w:t>
            </w:r>
          </w:p>
        </w:tc>
        <w:tc>
          <w:tcPr>
            <w:tcW w:w="0" w:type="dxa"/>
            <w:vAlign w:val="bottom"/>
          </w:tcPr>
          <w:p>
            <w:pPr>
              <w:spacing w:after="0"/>
              <w:rPr>
                <w:sz w:val="1"/>
                <w:szCs w:val="1"/>
                <w:color w:val="auto"/>
              </w:rPr>
            </w:pPr>
          </w:p>
        </w:tc>
      </w:tr>
      <w:tr>
        <w:trPr>
          <w:trHeight w:val="230"/>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4640" w:type="dxa"/>
            <w:vAlign w:val="bottom"/>
          </w:tcPr>
          <w:p>
            <w:pPr>
              <w:ind w:left="600"/>
              <w:spacing w:after="0"/>
              <w:rPr>
                <w:sz w:val="20"/>
                <w:szCs w:val="20"/>
                <w:color w:val="auto"/>
              </w:rPr>
            </w:pPr>
            <w:r>
              <w:rPr>
                <w:rFonts w:ascii="Arial" w:cs="Arial" w:eastAsia="Arial" w:hAnsi="Arial"/>
                <w:sz w:val="18"/>
                <w:szCs w:val="18"/>
                <w:color w:val="auto"/>
              </w:rPr>
              <w:t>Brady Stock Liquidity Fund*</w:t>
            </w:r>
          </w:p>
        </w:tc>
        <w:tc>
          <w:tcPr>
            <w:tcW w:w="0" w:type="dxa"/>
            <w:vAlign w:val="bottom"/>
          </w:tcPr>
          <w:p>
            <w:pPr>
              <w:spacing w:after="0"/>
              <w:rPr>
                <w:sz w:val="1"/>
                <w:szCs w:val="1"/>
                <w:color w:val="auto"/>
              </w:rPr>
            </w:pPr>
          </w:p>
        </w:tc>
      </w:tr>
      <w:tr>
        <w:trPr>
          <w:trHeight w:val="904"/>
        </w:trPr>
        <w:tc>
          <w:tcPr>
            <w:tcW w:w="152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30"/>
        </w:trPr>
        <w:tc>
          <w:tcPr>
            <w:tcW w:w="1520" w:type="dxa"/>
            <w:vAlign w:val="bottom"/>
          </w:tcPr>
          <w:p>
            <w:pPr>
              <w:jc w:val="right"/>
              <w:ind w:right="312"/>
              <w:spacing w:after="0"/>
              <w:rPr>
                <w:sz w:val="20"/>
                <w:szCs w:val="20"/>
                <w:color w:val="auto"/>
              </w:rPr>
            </w:pPr>
            <w:r>
              <w:rPr>
                <w:rFonts w:ascii="Arial" w:cs="Arial" w:eastAsia="Arial" w:hAnsi="Arial"/>
                <w:sz w:val="18"/>
                <w:szCs w:val="18"/>
                <w:color w:val="auto"/>
              </w:rPr>
              <w:t>17</w:t>
            </w:r>
          </w:p>
        </w:tc>
        <w:tc>
          <w:tcPr>
            <w:tcW w:w="4640" w:type="dxa"/>
            <w:vAlign w:val="bottom"/>
          </w:tcPr>
          <w:p>
            <w:pPr>
              <w:ind w:left="600"/>
              <w:spacing w:after="0"/>
              <w:rPr>
                <w:sz w:val="20"/>
                <w:szCs w:val="20"/>
                <w:color w:val="auto"/>
              </w:rPr>
            </w:pPr>
            <w:r>
              <w:rPr>
                <w:rFonts w:ascii="Arial" w:cs="Arial" w:eastAsia="Arial" w:hAnsi="Arial"/>
                <w:sz w:val="18"/>
                <w:szCs w:val="18"/>
                <w:color w:val="auto"/>
              </w:rPr>
              <w:t>Brady Corporation Class A Non-voting*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-4046855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-3223895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-2245995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PARTICIPANT LOANS—At various rates;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due through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Fair</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Value</w:t>
      </w:r>
    </w:p>
    <w:p>
      <w:pPr>
        <w:spacing w:after="0" w:line="196" w:lineRule="exact"/>
        <w:rPr>
          <w:sz w:val="20"/>
          <w:szCs w:val="20"/>
          <w:color w:val="auto"/>
        </w:rPr>
      </w:pPr>
    </w:p>
    <w:p>
      <w:pPr>
        <w:ind w:left="440" w:hanging="440"/>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71,784</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928,214</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475,008</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9,788</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405,184</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320,324</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855,059</w:t>
      </w:r>
    </w:p>
    <w:p>
      <w:pPr>
        <w:spacing w:after="0" w:line="3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10,108</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3,064</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946</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104,672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1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1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24,718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695,113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126,494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1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1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4,141,619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591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ectPr>
          <w:pgSz w:w="11900" w:h="16838" w:orient="portrait"/>
          <w:cols w:equalWidth="0" w:num="2">
            <w:col w:w="9660" w:space="720"/>
            <w:col w:w="940"/>
          </w:cols>
          <w:pgMar w:left="240" w:top="41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Consent of Deloitte &amp; Touche LLP</w:t>
            </w:r>
          </w:p>
        </w:tc>
      </w:tr>
      <w:tr>
        <w:trPr>
          <w:trHeight w:val="617"/>
        </w:trPr>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EMED CO INC.,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2006</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220"/>
          </w:cols>
          <w:pgMar w:left="240" w:top="419"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333-137686 on Form S-8 of our report dated October 10, 2006, appearing in this Annual Report on Form 11-K of EMED Co., Inc. 401(k) Plan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54368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685" cy="1885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2006</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1."/>
      <w:numFmt w:val="decimal"/>
      <w:start w:val="2"/>
    </w:lvl>
    <w:lvl w:ilvl="1">
      <w:lvlJc w:val="left"/>
      <w:lvlText w:val="-"/>
      <w:numFmt w:val="bullet"/>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4"/>
    </w:lvl>
    <w:lvl w:ilvl="1">
      <w:lvlJc w:val="left"/>
      <w:lvlText w:val="-"/>
      <w:numFmt w:val="bullet"/>
      <w:start w:val="1"/>
    </w:lvl>
  </w:abstractNum>
  <w:abstractNum w:abstractNumId="7">
    <w:nsid w:val="5BD062C2"/>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2019-12-13T14:12:06Z</dcterms:created>
  <dcterms:modified xsi:type="dcterms:W3CDTF">2019-12-13T14:12:06Z</dcterms:modified>
</cp:coreProperties>
</file>