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25110.xml.htm"/>
      <w:bookmarkStart w:id="1" w:name="kswkform4_1791225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6555 W. GOOD HOPE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BRADY CORP</w:t>
              </w:r>
            </w:hyperlink>
            <w:r>
              <w:rPr/>
              <w:t xml:space="preserve"> [ </w:t>
            </w:r>
            <w:r>
              <w:rPr>
                <w:rFonts w:ascii="Times;serif" w:hAnsi="Times;serif"/>
                <w:color w:val="0000FF"/>
                <w:sz w:val="24"/>
                <w:shd w:fill="FFFFFF" w:val="clear"/>
              </w:rPr>
              <w:t>BRC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5,282</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41,915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2,655</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which vest one third each year for the three years subsequent to the grant date. Upon vesting, each restricted stock unit will be settled solely by delivery of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cover taxes on 5,653 restricted stock units that vested on October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Knueppel,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606" TargetMode="External"/><Relationship Id="rId5" Type="http://schemas.openxmlformats.org/officeDocument/2006/relationships/hyperlink" Target="http://www.sec.gov/cgi-bin/browse-edgar?action=getcompany&amp;CIK=00007465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3393</Characters>
  <CharactersWithSpaces>3949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