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317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31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ALLENDER PATRICK W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2733 MARIE ANTOINETTE ST.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BRC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01/13/2025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HENDERSON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NV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89044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3.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2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3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2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Indirect (I)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01/13/2025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414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71.69</w:t>
            </w: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95,935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Deferred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Compensation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960" w:type="dxa"/>
            <w:vAlign w:val="bottom"/>
            <w:gridSpan w:val="1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Security (Instr.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3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Title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34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the shares acquired from the reporting owner's contributions into the deferred compensation plan. The reporting owner is paid quarterly for his services as a Director and has elected to defer these earnings.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Heidi Knueppel, Attorney-In-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6"/>
          <w:szCs w:val="26"/>
          <w:color w:val="0000FF"/>
          <w:vertAlign w:val="subscript"/>
        </w:rPr>
        <w:t>01/14/2025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-10160</wp:posOffset>
            </wp:positionV>
            <wp:extent cx="13106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06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8923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205268" TargetMode="External"/><Relationship Id="rId14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2025-01-14T10:01:08Z</dcterms:created>
  <dcterms:modified xsi:type="dcterms:W3CDTF">2025-01-14T10:01:08Z</dcterms:modified>
</cp:coreProperties>
</file>