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38735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47625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6" w:lineRule="exact"/>
        <w:rPr>
          <w:sz w:val="24"/>
          <w:szCs w:val="24"/>
          <w:color w:val="auto"/>
        </w:rPr>
      </w:pPr>
    </w:p>
    <w:tbl>
      <w:tblPr>
        <w:tblLayout w:type="fixed"/>
        <w:tblInd w:w="1620" w:type="dxa"/>
        <w:tblCellMar>
          <w:top w:w="0" w:type="dxa"/>
          <w:left w:w="0" w:type="dxa"/>
          <w:bottom w:w="0" w:type="dxa"/>
          <w:right w:w="0" w:type="dxa"/>
        </w:tblCellMar>
      </w:tblPr>
      <w:tr>
        <w:trPr>
          <w:trHeight w:val="352"/>
        </w:trPr>
        <w:tc>
          <w:tcPr>
            <w:tcW w:w="2340" w:type="dxa"/>
            <w:vAlign w:val="bottom"/>
          </w:tcPr>
          <w:p>
            <w:pPr>
              <w:spacing w:after="0"/>
              <w:rPr>
                <w:sz w:val="24"/>
                <w:szCs w:val="24"/>
                <w:color w:val="auto"/>
              </w:rPr>
            </w:pPr>
          </w:p>
        </w:tc>
        <w:tc>
          <w:tcPr>
            <w:tcW w:w="5280" w:type="dxa"/>
            <w:vAlign w:val="bottom"/>
            <w:gridSpan w:val="3"/>
          </w:tcPr>
          <w:p>
            <w:pPr>
              <w:jc w:val="center"/>
              <w:ind w:right="1852"/>
              <w:spacing w:after="0"/>
              <w:rPr>
                <w:sz w:val="20"/>
                <w:szCs w:val="20"/>
                <w:color w:val="auto"/>
              </w:rPr>
            </w:pPr>
            <w:r>
              <w:rPr>
                <w:rFonts w:ascii="Times New Roman" w:cs="Times New Roman" w:eastAsia="Times New Roman" w:hAnsi="Times New Roman"/>
                <w:sz w:val="29"/>
                <w:szCs w:val="29"/>
                <w:b w:val="1"/>
                <w:bCs w:val="1"/>
                <w:color w:val="auto"/>
                <w:w w:val="98"/>
              </w:rPr>
              <w:t>BRADY CORPORATION</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(Exact name of registrant as specified in its charter)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r>
        <w:trPr>
          <w:trHeight w:val="286"/>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65"/>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5280" w:type="dxa"/>
            <w:vAlign w:val="bottom"/>
            <w:gridSpan w:val="3"/>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3"/>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0"/>
                <w:szCs w:val="10"/>
                <w:color w:val="auto"/>
                <w:w w:val="95"/>
              </w:rPr>
              <w:t>(State or other jurisdiction of incorporation or organization)</w:t>
            </w:r>
          </w:p>
        </w:tc>
        <w:tc>
          <w:tcPr>
            <w:tcW w:w="4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360" w:type="dxa"/>
            <w:vAlign w:val="bottom"/>
          </w:tcPr>
          <w:p>
            <w:pPr>
              <w:jc w:val="center"/>
              <w:ind w:left="992"/>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272"/>
        </w:trPr>
        <w:tc>
          <w:tcPr>
            <w:tcW w:w="2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4"/>
        </w:trPr>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(Address of principal executive offices and Zip Code)</w:t>
            </w:r>
          </w:p>
        </w:tc>
      </w:tr>
      <w:tr>
        <w:trPr>
          <w:trHeight w:val="246"/>
        </w:trPr>
        <w:tc>
          <w:tcPr>
            <w:tcW w:w="2340" w:type="dxa"/>
            <w:vAlign w:val="bottom"/>
          </w:tcPr>
          <w:p>
            <w:pPr>
              <w:spacing w:after="0"/>
              <w:rPr>
                <w:sz w:val="21"/>
                <w:szCs w:val="21"/>
                <w:color w:val="auto"/>
              </w:rPr>
            </w:pPr>
          </w:p>
        </w:tc>
        <w:tc>
          <w:tcPr>
            <w:tcW w:w="2920" w:type="dxa"/>
            <w:vAlign w:val="bottom"/>
            <w:gridSpan w:val="2"/>
          </w:tcPr>
          <w:p>
            <w:pPr>
              <w:jc w:val="center"/>
              <w:ind w:left="352"/>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360" w:type="dxa"/>
            <w:vAlign w:val="bottom"/>
          </w:tcPr>
          <w:p>
            <w:pPr>
              <w:spacing w:after="0"/>
              <w:rPr>
                <w:sz w:val="21"/>
                <w:szCs w:val="21"/>
                <w:color w:val="auto"/>
              </w:rPr>
            </w:pP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0"/>
                <w:szCs w:val="10"/>
                <w:color w:val="auto"/>
                <w:w w:val="94"/>
              </w:rPr>
              <w:t>(Registrant’s Telephone Number)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bl>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60"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8" w:right="29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February 22, 2024, Brady Corporation (the “Company”) issued a press release announcing its fiscal 2024 second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On February 22, 2024, the Company hosted a conference call related to its fiscal 2024 second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Item 9.01</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FINANCIAL STATEMENTS AND EXHIBITS</w:t>
            </w:r>
          </w:p>
        </w:tc>
      </w:tr>
      <w:tr>
        <w:trPr>
          <w:trHeight w:val="369"/>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5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79"/>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9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5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of Brady Corporation, dated February 22, 2024, relating to fiscal 2024 second quarter financial results.</w:t>
            </w:r>
          </w:p>
        </w:tc>
        <w:tc>
          <w:tcPr>
            <w:tcW w:w="4280" w:type="dxa"/>
            <w:vAlign w:val="bottom"/>
            <w:gridSpan w:val="2"/>
          </w:tcPr>
          <w:p>
            <w:pPr>
              <w:spacing w:after="0"/>
              <w:rPr>
                <w:sz w:val="15"/>
                <w:szCs w:val="15"/>
                <w:color w:val="auto"/>
              </w:rPr>
            </w:pPr>
          </w:p>
        </w:tc>
      </w:tr>
      <w:tr>
        <w:trPr>
          <w:trHeight w:val="196"/>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6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Informational slides provided by Brady Corporation, dated February 22, 2024, relating to fiscal 2024 second quarter financial results.</w:t>
            </w:r>
          </w:p>
        </w:tc>
        <w:tc>
          <w:tcPr>
            <w:tcW w:w="3500" w:type="dxa"/>
            <w:vAlign w:val="bottom"/>
          </w:tcPr>
          <w:p>
            <w:pPr>
              <w:spacing w:after="0"/>
              <w:rPr>
                <w:sz w:val="17"/>
                <w:szCs w:val="17"/>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22, 2024</w:t>
      </w:r>
    </w:p>
    <w:p>
      <w:pPr>
        <w:spacing w:after="0" w:line="19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10795</wp:posOffset>
            </wp:positionV>
            <wp:extent cx="24231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Ann E. Thornton</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Chief Financial Officer, Chief Accounting Officer and Treasurer</w:t>
      </w:r>
    </w:p>
    <w:p>
      <w:pPr>
        <w:sectPr>
          <w:pgSz w:w="11900" w:h="16838" w:orient="portrait"/>
          <w:cols w:equalWidth="0" w:num="1">
            <w:col w:w="11300"/>
          </w:cols>
          <w:pgMar w:left="300" w:top="669"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Fiscal 2024 Second Quarter Results and Raises the low end of its Fiscal 2024 Guidance</w:t>
      </w:r>
    </w:p>
    <w:p>
      <w:pPr>
        <w:spacing w:after="0" w:line="195"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Sales for the quarter decreased 1.1 percent. Organic sales increased 1.6 percent, foreign currency translation increased sales 0.8 percent and divestitures decreased sales 3.5 percent.</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Gross profit margin increased to 50.2 percent in the second quarter of fiscal 2024 compared to 48.0 percent in the second quarter of fiscal 2023.</w:t>
      </w:r>
    </w:p>
    <w:p>
      <w:pPr>
        <w:spacing w:after="0" w:line="55" w:lineRule="exact"/>
        <w:rPr>
          <w:rFonts w:ascii="Arial" w:cs="Arial" w:eastAsia="Arial" w:hAnsi="Arial"/>
          <w:sz w:val="14"/>
          <w:szCs w:val="14"/>
          <w:color w:val="auto"/>
        </w:rPr>
      </w:pPr>
    </w:p>
    <w:p>
      <w:pPr>
        <w:ind w:left="420" w:right="2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Diluted EPS increased 18.4 percent to $0.90 in the second quarter of fiscal 2024 compared to $0.76 in the same quarter of the prior year. Diluted EPS Excluding Certain Items* increased 14.8 percent to $0.93 in the second quarter of fiscal 2024 compared to $0.81 in the same quarter of the prior year.</w:t>
      </w:r>
    </w:p>
    <w:p>
      <w:pPr>
        <w:spacing w:after="0" w:line="1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Net cash provided by operating activities increased to $36.1 million in the second quarter of fiscal 2024 compared to $29.4 million in the second quarter of last year.</w:t>
      </w:r>
    </w:p>
    <w:p>
      <w:pPr>
        <w:spacing w:after="0" w:line="55" w:lineRule="exact"/>
        <w:rPr>
          <w:rFonts w:ascii="Arial" w:cs="Arial" w:eastAsia="Arial" w:hAnsi="Arial"/>
          <w:sz w:val="14"/>
          <w:szCs w:val="14"/>
          <w:color w:val="auto"/>
        </w:rPr>
      </w:pPr>
    </w:p>
    <w:p>
      <w:pPr>
        <w:ind w:left="420" w:right="20" w:hanging="212"/>
        <w:spacing w:after="0" w:line="349"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The low end of the Earnings per diluted Class A Common Share guidance was raised for the full year ending July 31, 2024 from the previous range of $3.70 to $3.95 to the new range of $3.80 to $3.95 on a GAAP basis, and was raised from the previous range of $3.85 to $4.10 to the new range of $3.95 to $4.10, excluding after-tax amortization expense.</w:t>
      </w:r>
    </w:p>
    <w:p>
      <w:pPr>
        <w:spacing w:after="0" w:line="116"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13"/>
          <w:szCs w:val="13"/>
          <w:color w:val="auto"/>
        </w:rPr>
        <w:t>MILWAUKEE (February 22, 2024) -- Brady Corporation (NYSE: BRC) (“Brady” or “Company”), a world leader in identification solutions, today reported its financial results for its fiscal 2024 second quarter ended January 31,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January 31, 2024 Financial Results:</w:t>
      </w:r>
    </w:p>
    <w:p>
      <w:pPr>
        <w:spacing w:after="0" w:line="5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Sales for the quarter ended January 31, 2024 decreased 1.1 percent, which consisted of organic sales growth of 1.6 percent, an increase of 0.8 percent from foreign currency translation, and a decrease of 3.5 percent from divestitures. Sales for the quarter ended January 31, 2024 were $322.6 million compared to $326.2 million in the same quarter last year. By region, sales decreased 3.8 percent in the Americas &amp; Asia and sales increased 4.5 percent in Europe &amp; Australia, which consisted of organic sales growth of 1.2 percent in the Americas &amp; Asia and organic sales growth of 2.5 percent in Europe &amp; Australia.</w:t>
      </w:r>
    </w:p>
    <w:p>
      <w:pPr>
        <w:spacing w:after="0" w:line="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Income before income taxes increased 15.1 percent to $55.8 million for the quarter ended January 31, 2024, compared to $48.5 million in the same quarter last year. Income Before Income Taxes Excluding Certain Items* for the quarter ended January 31, 2024, which was adjusted for amortization expense of $2.4 million, was $58.2 million, an increase of 12.4 percent compared to the second quarter of last year.</w:t>
      </w:r>
    </w:p>
    <w:p>
      <w:pPr>
        <w:jc w:val="both"/>
        <w:ind w:firstLine="432"/>
        <w:spacing w:after="0" w:line="382" w:lineRule="auto"/>
        <w:rPr>
          <w:sz w:val="20"/>
          <w:szCs w:val="20"/>
          <w:color w:val="auto"/>
        </w:rPr>
      </w:pPr>
      <w:r>
        <w:rPr>
          <w:rFonts w:ascii="Times New Roman" w:cs="Times New Roman" w:eastAsia="Times New Roman" w:hAnsi="Times New Roman"/>
          <w:sz w:val="13"/>
          <w:szCs w:val="13"/>
          <w:color w:val="auto"/>
        </w:rPr>
        <w:t>Net income for the quarter ended January 31, 2024 was $43.6 million compared to $38.0 million in the same quarter last year. Earnings per diluted Class A Nonvoting Common Share were $0.90 in the second quarter of fiscal 2024, compared to $0.76 in the same quarter last year. Net Income Excluding Certain Items* for the quarter</w:t>
      </w:r>
    </w:p>
    <w:p>
      <w:pPr>
        <w:sectPr>
          <w:pgSz w:w="11900" w:h="16838" w:orient="portrait"/>
          <w:cols w:equalWidth="0" w:num="1">
            <w:col w:w="11300"/>
          </w:cols>
          <w:pgMar w:left="300" w:top="636" w:right="299" w:bottom="1440" w:gutter="0" w:footer="0" w:header="0"/>
        </w:sectPr>
      </w:pPr>
    </w:p>
    <w:bookmarkStart w:id="3" w:name="page4"/>
    <w:bookmarkEnd w:id="3"/>
    <w:p>
      <w:pPr>
        <w:jc w:val="both"/>
        <w:spacing w:after="0" w:line="367" w:lineRule="auto"/>
        <w:rPr>
          <w:sz w:val="20"/>
          <w:szCs w:val="20"/>
          <w:color w:val="auto"/>
        </w:rPr>
      </w:pPr>
      <w:r>
        <w:rPr>
          <w:rFonts w:ascii="Times New Roman" w:cs="Times New Roman" w:eastAsia="Times New Roman" w:hAnsi="Times New Roman"/>
          <w:sz w:val="13"/>
          <w:szCs w:val="13"/>
          <w:color w:val="auto"/>
        </w:rPr>
        <w:t>ended January 31, 2024 was $45.4 million and Diluted EPS Excluding Certain Items* for the quarter ended January 31, 2024 was $0.93. Net Income Excluding Certain Items* for the quarter ended January 31, 2023 was $40.5 million, and Diluted EPS Excluding Certain Items* for the quarter ended January 31, 2023 was $0.81.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Six-Month Period Ended January 31, 2024 Financial Results:</w:t>
      </w:r>
    </w:p>
    <w:p>
      <w:pPr>
        <w:spacing w:after="0" w:line="5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Sales for the six-month period ended January 31, 2024 increased 0.9 percent, which consisted of organic sales growth of 2.2 percent, an increase of 1.1 percent from foreign currency translation and a decrease of 2.4 percent from divestitures. Sales for the six months ended January 31, 2024 were $654.6 million compared to $648.8 million in the same period last year. By region, sales decreased 1.2 percent in the Americas &amp; Asia and increased 5.3 percent in Europe &amp; Australia, which consisted of organic sales growth of 2.3 percent in the Americas &amp; Asia and organic sales growth of 2.0 percent in Europe &amp; Australia.</w:t>
      </w:r>
    </w:p>
    <w:p>
      <w:pPr>
        <w:spacing w:after="0" w:line="1"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3"/>
          <w:szCs w:val="13"/>
          <w:color w:val="auto"/>
        </w:rPr>
        <w:t>Income before income taxes increased 16.6 percent to $115.2 million for the six-month period ended January 31, 2024, compared to $98.8 million in the same period last year. Income Before Income Taxes Excluding Certain Items* for the six months ended January 31, 2024, which was adjusted for amortization expense of $4.7 million, was $119.9 million, an increase of 13.4 percent compared to the same period of the prior year.</w:t>
      </w:r>
    </w:p>
    <w:p>
      <w:pPr>
        <w:spacing w:after="0" w:line="1" w:lineRule="exact"/>
        <w:rPr>
          <w:sz w:val="20"/>
          <w:szCs w:val="20"/>
          <w:color w:val="auto"/>
        </w:rPr>
      </w:pPr>
    </w:p>
    <w:p>
      <w:pPr>
        <w:jc w:val="both"/>
        <w:ind w:firstLine="432"/>
        <w:spacing w:after="0" w:line="353" w:lineRule="auto"/>
        <w:rPr>
          <w:sz w:val="20"/>
          <w:szCs w:val="20"/>
          <w:color w:val="auto"/>
        </w:rPr>
      </w:pPr>
      <w:r>
        <w:rPr>
          <w:rFonts w:ascii="Times New Roman" w:cs="Times New Roman" w:eastAsia="Times New Roman" w:hAnsi="Times New Roman"/>
          <w:sz w:val="13"/>
          <w:szCs w:val="13"/>
          <w:color w:val="auto"/>
        </w:rPr>
        <w:t>Net income for the six-month period ended January 31, 2024 was $90.9 million compared to $77.4 million in the same period last year. Earnings per diluted Class A Nonvoting Common Share were $1.86 for the six months ended January 31, 2024, compared to $1.55 in the same period last year. Net Income Excluding Certain Items* for the six months ended January 31, 2024 was $94.5 million and Diluted EPS Excluding Certain Items* for the six months ended January 31, 2024 was $1.94. Net Income Excluding Certain Items* for the six months ended January 31, 2023 was $82.7 million, and Diluted EPS Excluding Certain Items* for the six months ended January 31, 2023 was $1.65.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60" w:lineRule="exact"/>
        <w:rPr>
          <w:sz w:val="20"/>
          <w:szCs w:val="20"/>
          <w:color w:val="auto"/>
        </w:rPr>
      </w:pPr>
    </w:p>
    <w:p>
      <w:pPr>
        <w:jc w:val="both"/>
        <w:ind w:firstLine="432"/>
        <w:spacing w:after="0" w:line="346" w:lineRule="auto"/>
        <w:rPr>
          <w:sz w:val="20"/>
          <w:szCs w:val="20"/>
          <w:color w:val="auto"/>
        </w:rPr>
      </w:pPr>
      <w:r>
        <w:rPr>
          <w:rFonts w:ascii="Times New Roman" w:cs="Times New Roman" w:eastAsia="Times New Roman" w:hAnsi="Times New Roman"/>
          <w:sz w:val="13"/>
          <w:szCs w:val="13"/>
          <w:color w:val="auto"/>
        </w:rPr>
        <w:t>“We are delighted with the progress of our reorganization to a regional structure, which we announced in December of 2022. We are realizing operational savings while reinforcing our organization through our investments in R&amp;D and sales and marketing initiatives. Even in this challenging manufacturing environment, we continue to grow with our Europe &amp; Australia region performing particularly well,” said Brady’s President and Chief Executive Officer, Russell R. Shaller. “We believe our pipeline of new products will allow us to grow sales and profit as we integrate our businesses and execute our best go-to-market strategies in each geography. Our financial strength enables us to fund organic and inorganic growth initiatives to position ourselves for future success and increased shareholder value.”</w:t>
      </w:r>
    </w:p>
    <w:p>
      <w:pPr>
        <w:spacing w:after="0" w:line="2" w:lineRule="exact"/>
        <w:rPr>
          <w:sz w:val="20"/>
          <w:szCs w:val="20"/>
          <w:color w:val="auto"/>
        </w:rPr>
      </w:pPr>
    </w:p>
    <w:p>
      <w:pPr>
        <w:jc w:val="both"/>
        <w:ind w:firstLine="432"/>
        <w:spacing w:after="0" w:line="352" w:lineRule="auto"/>
        <w:rPr>
          <w:sz w:val="20"/>
          <w:szCs w:val="20"/>
          <w:color w:val="auto"/>
        </w:rPr>
      </w:pPr>
      <w:r>
        <w:rPr>
          <w:rFonts w:ascii="Times New Roman" w:cs="Times New Roman" w:eastAsia="Times New Roman" w:hAnsi="Times New Roman"/>
          <w:sz w:val="13"/>
          <w:szCs w:val="13"/>
          <w:color w:val="auto"/>
        </w:rPr>
        <w:t>“Brady is financially strong and we once again reported both organic sales growth and profit improvement. This quarter, we grew organic sales by 1.6 percent, we grew GAAP earnings per share by 18.4 percent, and cash flow from operating activities increased to $36.1 million from $29.4 million last year,” said Brady’s Chief Financial Officer, Ann Thornton. “Our capital expenditures increased to $60.8 million through January 31, 2024, which was primarily due to the purchase of a previously leased manufacturing facility. We are still in a net cash position of $95.8 million at January 31, 2024, which provides us with the flexibility to fully fund our organic growth investments, return funds to our shareholders in the form of dividends, and continue to be opportunistic with share buybacks and strategic acquisitions. We believe that our disciplined approach to capital allocation will continue to drive increased shareholder value over the long term.”</w:t>
      </w:r>
    </w:p>
    <w:p>
      <w:pPr>
        <w:sectPr>
          <w:pgSz w:w="11900" w:h="16838" w:orient="portrait"/>
          <w:cols w:equalWidth="0" w:num="1">
            <w:col w:w="11300"/>
          </w:cols>
          <w:pgMar w:left="300" w:top="674"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color w:val="auto"/>
        </w:rPr>
        <w:t>Fiscal 2024 Guidance:</w:t>
      </w:r>
    </w:p>
    <w:p>
      <w:pPr>
        <w:spacing w:after="0" w:line="51"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3"/>
          <w:szCs w:val="13"/>
          <w:color w:val="auto"/>
        </w:rPr>
        <w:t>The Company raised the low end of its GAAP earnings per diluted Class A Nonvoting Common Share guidance for the year ending July 31, 2024 from the previous guidance range of $3.70 to $3.95 per share to the new full year guidance range of $3.80 to $3.95 per share. The Company also raised the low end of its Diluted EPS Excluding Certain Items* guidance for the year ending July 31, 2024 from the previous range of $3.85 to $4.10 per share to the new full year guidance range of $3.95 to $4.10 per share.</w:t>
      </w:r>
    </w:p>
    <w:p>
      <w:pPr>
        <w:spacing w:after="0" w:line="1" w:lineRule="exact"/>
        <w:rPr>
          <w:sz w:val="20"/>
          <w:szCs w:val="20"/>
          <w:color w:val="auto"/>
        </w:rPr>
      </w:pPr>
    </w:p>
    <w:p>
      <w:pPr>
        <w:jc w:val="both"/>
        <w:ind w:firstLine="432"/>
        <w:spacing w:after="0" w:line="350" w:lineRule="auto"/>
        <w:rPr>
          <w:sz w:val="20"/>
          <w:szCs w:val="20"/>
          <w:color w:val="auto"/>
        </w:rPr>
      </w:pPr>
      <w:r>
        <w:rPr>
          <w:rFonts w:ascii="Times New Roman" w:cs="Times New Roman" w:eastAsia="Times New Roman" w:hAnsi="Times New Roman"/>
          <w:sz w:val="13"/>
          <w:szCs w:val="13"/>
          <w:color w:val="auto"/>
        </w:rPr>
        <w:t>The assumptions included in fiscal 2024 guidance include a full-year income tax rate of approximately 22 percent, depreciation and amortization expense ranging from $30 million to $32 million, and capital expenditures of approximately $75 million, which are inclusive of approximately $55 million related to the purchase of previously leased manufacturing facilities. Fiscal 2024 guidance is based on foreign currency exchange rates as of January 31, 2024 and assumes continued economic growth.</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2024 second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20" w:lineRule="exact"/>
        <w:rPr>
          <w:sz w:val="20"/>
          <w:szCs w:val="20"/>
          <w:color w:val="auto"/>
        </w:rPr>
      </w:pPr>
    </w:p>
    <w:p>
      <w:pPr>
        <w:jc w:val="both"/>
        <w:ind w:firstLine="432"/>
        <w:spacing w:after="0" w:line="352"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2023, employed approximately 5,600 people in its worldwide businesses. Brady’s fiscal 2023 sales were approximately $1.33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290" w:lineRule="exact"/>
        <w:rPr>
          <w:sz w:val="20"/>
          <w:szCs w:val="20"/>
          <w:color w:val="auto"/>
        </w:rPr>
      </w:pPr>
    </w:p>
    <w:p>
      <w:pPr>
        <w:ind w:firstLine="424"/>
        <w:spacing w:after="0" w:line="367" w:lineRule="auto"/>
        <w:tabs>
          <w:tab w:leader="none" w:pos="53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Before Income Taxes Excluding Certain Items, Net Income Excluding Certain Items, and Diluted EPS Excluding Certain Items are non-GAAP measures. See appendix for more information on these measures, including reconciliations to the most directly comparable GAAP measures.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raw materials and labor as well as material shortages and supply chain disruptions; decreased demand for our products; our ability to compete effectively or to successfully execute our strategy; our ability to develop technologically advanced products that meet customer demands; difficulties in protecting our websites, networks, and systems against security breaches; Brady’s ability to identify, integrate, and grow acquired companies, and to manage contingent liabilities from divested businesses; risks associated with the loss of key employees; extensive regulations by U.S. and non-U.S. governmental and self-regulatory entities; litigation, including product</w:t>
      </w:r>
    </w:p>
    <w:p>
      <w:pPr>
        <w:sectPr>
          <w:pgSz w:w="11900" w:h="16838" w:orient="portrait"/>
          <w:cols w:equalWidth="0" w:num="1">
            <w:col w:w="11300"/>
          </w:cols>
          <w:pgMar w:left="300" w:top="663" w:right="29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12"/>
          <w:szCs w:val="12"/>
          <w:color w:val="auto"/>
        </w:rPr>
        <w:t>liability claims; adverse impacts of regional epidemics or global pandemics; foreign currency fluctuations; potential write-offs of goodwill and other intangible assets; changes in tax legislation and tax rates;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33"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2023</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322,624</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326,249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654,607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648,818</w:t>
            </w:r>
          </w:p>
        </w:tc>
      </w:tr>
      <w:tr>
        <w:trPr>
          <w:trHeight w:val="142"/>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160,541</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169,809</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320,805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337,114</w:t>
            </w:r>
          </w:p>
        </w:tc>
      </w:tr>
      <w:tr>
        <w:trPr>
          <w:trHeight w:val="135"/>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162,083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156,440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333,802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311,704</w:t>
            </w:r>
          </w:p>
        </w:tc>
      </w:tr>
      <w:tr>
        <w:trPr>
          <w:trHeight w:val="142"/>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16,832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15,377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32,534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29,310</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91,325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92,282</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187,612</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182,227</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108,157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107,659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220,146</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211,537</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53,926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48,781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113,656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100,167</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(1,239)</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(1,556)</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(2,133)</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55,820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48,510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115,222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98,845</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12,192</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10,524</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24,353</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21,418</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43,628</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37,986</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90,869</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77,427</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48,374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49,745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48,440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49,806</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48,725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48,768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50,049</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January 31, 2024</w:t>
            </w:r>
          </w:p>
        </w:tc>
        <w:tc>
          <w:tcPr>
            <w:tcW w:w="220" w:type="dxa"/>
            <w:vAlign w:val="bottom"/>
          </w:tcPr>
          <w:p>
            <w:pPr>
              <w:spacing w:after="0"/>
              <w:rPr>
                <w:sz w:val="12"/>
                <w:szCs w:val="12"/>
                <w:color w:val="auto"/>
              </w:rPr>
            </w:pPr>
          </w:p>
        </w:tc>
        <w:tc>
          <w:tcPr>
            <w:tcW w:w="11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July 31, 2023</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143,860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151,532</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$6,531 and $8,467,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185,569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184,420</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164,944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177,078</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12,147</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11,790</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506,520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524,820</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190,777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142,149</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590,535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592,646</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57,108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62,096</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14,899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15,716</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29,688</w:t>
            </w:r>
          </w:p>
        </w:tc>
      </w:tr>
      <w:tr>
        <w:trPr>
          <w:trHeight w:val="144"/>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23,079</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22,142</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1,407,604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1,389,257</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80,114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79,855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56,408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71,470</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13,345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12,582</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12,758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14,726</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66,449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65,828</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237,302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258,036</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48,090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49,716</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16,217</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70,970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74,369</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368,872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398,338</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stock:</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44,792,328 and 45,008,724 shares,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353,794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351,771</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1,090,045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1,021,870</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Treasury stock—6,469,159 and 6,252,763 shares, respectively of Class A nonvoting common stock, at cost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(305,714)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(290,209)</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(99,941)</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(93,061)</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1,038,732</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990,919</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1,407,604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1,389,257</w:t>
            </w:r>
          </w:p>
        </w:tc>
      </w:tr>
    </w:tbl>
    <w:p>
      <w:pPr>
        <w:sectPr>
          <w:pgSz w:w="11900" w:h="16838" w:orient="portrait"/>
          <w:cols w:equalWidth="0" w:num="1">
            <w:col w:w="11300"/>
          </w:cols>
          <w:pgMar w:left="300" w:top="56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color w:val="auto"/>
              </w:rPr>
              <w:t>Six months ended January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2023</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90,869</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77,427</w:t>
            </w:r>
          </w:p>
        </w:tc>
      </w:tr>
      <w:tr>
        <w:trPr>
          <w:trHeight w:val="14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17,117</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4,381</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(5,234)</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10,078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(3,502)</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(29,156)</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(4,203)</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(1,734)</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98,351</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57,384</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(60,832)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5"/>
        </w:trPr>
        <w:tc>
          <w:tcPr>
            <w:tcW w:w="8480" w:type="dxa"/>
            <w:vAlign w:val="bottom"/>
            <w:tcBorders>
              <w:top w:val="single" w:sz="8" w:color="CCEEFF"/>
            </w:tcBorders>
            <w:shd w:val="clear" w:color="auto" w:fill="CCEEFF"/>
          </w:tcPr>
          <w:p>
            <w:pPr>
              <w:ind w:left="1000"/>
              <w:spacing w:after="0" w:line="122"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(60,832)</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(8,156)</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(22,694)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(22,793)</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2,688</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(1,509)</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(21,797)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(17,861)</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agreement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69,145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71,036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agreement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(70,771)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(88,755)</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(42,964)</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(57,128)</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2"/>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(2,227)</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decrease in cash and cash equivalents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(5,859)</w:t>
            </w: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151,532</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114,069</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88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143,860</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108,210</w:t>
            </w:r>
          </w:p>
        </w:tc>
      </w:tr>
      <w:tr>
        <w:trPr>
          <w:trHeight w:val="20"/>
        </w:trPr>
        <w:tc>
          <w:tcPr>
            <w:tcW w:w="8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right"/>
              <w:ind w:right="76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51"/>
        </w:trPr>
        <w:tc>
          <w:tcPr>
            <w:tcW w:w="53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2023</w:t>
            </w:r>
          </w:p>
        </w:tc>
      </w:tr>
      <w:tr>
        <w:trPr>
          <w:trHeight w:val="126"/>
        </w:trPr>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211,643</w:t>
            </w:r>
          </w:p>
        </w:tc>
        <w:tc>
          <w:tcPr>
            <w:tcW w:w="100" w:type="dxa"/>
            <w:vAlign w:val="bottom"/>
          </w:tcPr>
          <w:p>
            <w:pPr>
              <w:spacing w:after="0"/>
              <w:rPr>
                <w:sz w:val="12"/>
                <w:szCs w:val="12"/>
                <w:color w:val="auto"/>
              </w:rPr>
            </w:pP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220,067</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433,269</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438,562</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110,981</w:t>
            </w: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106,182</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221,338</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210,256</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322,624</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326,249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654,607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648,818</w:t>
            </w:r>
          </w:p>
        </w:tc>
      </w:tr>
      <w:tr>
        <w:trPr>
          <w:trHeight w:val="153"/>
        </w:trPr>
        <w:tc>
          <w:tcPr>
            <w:tcW w:w="5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Americas &amp; Asia</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5.4 %</w:t>
            </w: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5"/>
        </w:trPr>
        <w:tc>
          <w:tcPr>
            <w:tcW w:w="5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4.2 %</w:t>
            </w:r>
          </w:p>
        </w:tc>
      </w:tr>
      <w:tr>
        <w:trPr>
          <w:trHeight w:val="121"/>
        </w:trPr>
        <w:tc>
          <w:tcPr>
            <w:tcW w:w="538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Europe &amp; Australia</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21"/>
        </w:trPr>
        <w:tc>
          <w:tcPr>
            <w:tcW w:w="538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6.6 %</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0.9 %</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1.5 %</w:t>
            </w:r>
          </w:p>
        </w:tc>
      </w:tr>
      <w:tr>
        <w:trPr>
          <w:trHeight w:val="153"/>
        </w:trPr>
        <w:tc>
          <w:tcPr>
            <w:tcW w:w="5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43"/>
        </w:trPr>
        <w:tc>
          <w:tcPr>
            <w:tcW w:w="5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43,895</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40,174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93,792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81,319</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15,054</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13,459</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31,798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30,217</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58,949</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53,633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125,590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111,536</w:t>
            </w:r>
          </w:p>
        </w:tc>
      </w:tr>
      <w:tr>
        <w:trPr>
          <w:trHeight w:val="121"/>
        </w:trPr>
        <w:tc>
          <w:tcPr>
            <w:tcW w:w="538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13.6 %</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14.4 %</w:t>
            </w:r>
          </w:p>
        </w:tc>
      </w:tr>
      <w:tr>
        <w:trPr>
          <w:trHeight w:val="151"/>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18.3 %</w:t>
            </w: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19.2 %</w:t>
            </w: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17.2 %</w:t>
            </w:r>
          </w:p>
        </w:tc>
      </w:tr>
      <w:tr>
        <w:trPr>
          <w:trHeight w:val="493"/>
        </w:trPr>
        <w:tc>
          <w:tcPr>
            <w:tcW w:w="538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76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51"/>
        </w:trPr>
        <w:tc>
          <w:tcPr>
            <w:tcW w:w="53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58,949</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53,633</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125,590</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111,536</w:t>
            </w:r>
          </w:p>
        </w:tc>
      </w:tr>
      <w:tr>
        <w:trPr>
          <w:trHeight w:val="142"/>
        </w:trPr>
        <w:tc>
          <w:tcPr>
            <w:tcW w:w="538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(5,023)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(4,852)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(11,934)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(11,369)</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2,684</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3,122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811</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(790)</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(1,239)</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(1,556)</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(2,133)</w:t>
            </w:r>
          </w:p>
        </w:tc>
      </w:tr>
      <w:tr>
        <w:trPr>
          <w:trHeight w:val="135"/>
        </w:trPr>
        <w:tc>
          <w:tcPr>
            <w:tcW w:w="538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55,820</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48,510</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115,222</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98,845</w:t>
            </w: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 Excluding Certain Items: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Income Before Income Taxes Excluding Certain Items: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55,820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48,510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115,222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98,845</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2,364</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3,258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4,719</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6,889</w:t>
            </w:r>
          </w:p>
        </w:tc>
      </w:tr>
      <w:tr>
        <w:trPr>
          <w:trHeight w:val="151"/>
        </w:trPr>
        <w:tc>
          <w:tcPr>
            <w:tcW w:w="55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58,184</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51,768</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119,941</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105,734</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 Expense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Six months ended January 31,</w:t>
            </w:r>
          </w:p>
        </w:tc>
        <w:tc>
          <w:tcPr>
            <w:tcW w:w="46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10,524</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24,353</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21,418</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1,634</w:t>
            </w:r>
          </w:p>
        </w:tc>
      </w:tr>
      <w:tr>
        <w:trPr>
          <w:trHeight w:val="151"/>
        </w:trPr>
        <w:tc>
          <w:tcPr>
            <w:tcW w:w="55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12,740</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11,293</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25,447</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23,052</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Income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43,628</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37,986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90,869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77,427</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1,816</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5,255</w:t>
            </w:r>
          </w:p>
        </w:tc>
      </w:tr>
      <w:tr>
        <w:trPr>
          <w:trHeight w:val="151"/>
        </w:trPr>
        <w:tc>
          <w:tcPr>
            <w:tcW w:w="55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45,444</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40,475</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94,494</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82,682</w:t>
            </w:r>
          </w:p>
        </w:tc>
      </w:tr>
    </w:tbl>
    <w:p>
      <w:pPr>
        <w:sectPr>
          <w:pgSz w:w="11900" w:h="16838" w:orient="portrait"/>
          <w:cols w:equalWidth="0" w:num="1">
            <w:col w:w="11300"/>
          </w:cols>
          <w:pgMar w:left="300" w:top="55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 (Note that certain amounts will not foot due to rounding):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2023</w:t>
            </w: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2023</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0.10</w:t>
            </w:r>
          </w:p>
        </w:tc>
      </w:tr>
      <w:tr>
        <w:trPr>
          <w:trHeight w:val="151"/>
        </w:trPr>
        <w:tc>
          <w:tcPr>
            <w:tcW w:w="55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0.93</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0.81</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1.65</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2024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0.15</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3.95</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4.10</w:t>
            </w:r>
          </w:p>
        </w:tc>
      </w:tr>
    </w:tbl>
    <w:p>
      <w:pPr>
        <w:sectPr>
          <w:pgSz w:w="11900" w:h="16838" w:orient="portrait"/>
          <w:cols w:equalWidth="0" w:num="1">
            <w:col w:w="11300"/>
          </w:cols>
          <w:pgMar w:left="300" w:top="665" w:right="299" w:bottom="1440"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4862830</wp:posOffset>
            </wp:positionV>
            <wp:extent cx="713041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2024-02-22T06:11:54Z</dcterms:created>
  <dcterms:modified xsi:type="dcterms:W3CDTF">2024-02-22T06:11:54Z</dcterms:modified>
</cp:coreProperties>
</file>