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Nargolwala Vineet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6555 W GOOD HOPE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BRADY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BRC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06/08/2026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65"/>
        <w:spacing w:after="0"/>
        <w:rPr>
          <w:sz w:val="20"/>
          <w:szCs w:val="20"/>
          <w:color w:val="auto"/>
        </w:rPr>
      </w:pPr>
      <w:r>
        <w:rPr>
          <w:rFonts w:ascii="Times New Roman" w:cs="Times New Roman" w:eastAsia="Times New Roman" w:hAnsi="Times New Roman"/>
          <w:sz w:val="17"/>
          <w:szCs w:val="17"/>
          <w:color w:val="0000FF"/>
        </w:rPr>
        <w:t>President &amp; CEO</w:t>
      </w:r>
    </w:p>
    <w:p>
      <w:pPr>
        <w:spacing w:after="0" w:line="279"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840" w:type="dxa"/>
            <w:vAlign w:val="bottom"/>
            <w:shd w:val="clear" w:color="auto" w:fill="9A9A9A"/>
          </w:tcPr>
          <w:p>
            <w:pPr>
              <w:spacing w:after="0"/>
              <w:rPr>
                <w:sz w:val="2"/>
                <w:szCs w:val="2"/>
                <w:color w:val="auto"/>
              </w:rPr>
            </w:pPr>
          </w:p>
        </w:tc>
        <w:tc>
          <w:tcPr>
            <w:tcW w:w="84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vMerge w:val="restart"/>
          </w:tcPr>
          <w:p>
            <w:pPr>
              <w:spacing w:after="0"/>
              <w:rPr>
                <w:sz w:val="2"/>
                <w:szCs w:val="2"/>
                <w:color w:val="auto"/>
              </w:rPr>
            </w:pPr>
          </w:p>
        </w:tc>
        <w:tc>
          <w:tcPr>
            <w:tcW w:w="380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9"/>
            <w:vMerge w:val="restart"/>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3800" w:type="dxa"/>
            <w:vAlign w:val="bottom"/>
            <w:gridSpan w:val="6"/>
            <w:vMerge w:val="continue"/>
          </w:tcPr>
          <w:p>
            <w:pPr>
              <w:spacing w:after="0"/>
              <w:rPr>
                <w:sz w:val="10"/>
                <w:szCs w:val="10"/>
                <w:color w:val="auto"/>
              </w:rPr>
            </w:pPr>
          </w:p>
        </w:tc>
        <w:tc>
          <w:tcPr>
            <w:tcW w:w="350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MILWAUKEE  WI</w:t>
            </w:r>
          </w:p>
        </w:tc>
        <w:tc>
          <w:tcPr>
            <w:tcW w:w="84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53223</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tcBorders>
              <w:top w:val="single" w:sz="8" w:color="EEEEEE"/>
            </w:tcBorders>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68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3"/>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06/08/2026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39,698</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39,698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which vest one third each year for the three years subsequent to the grant date. Upon vesting, each restricted stock unit will be settled solely by delivery of one share of Class A Common Stock.</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Heidi Knueppel, Attorney-In-  </w:t>
      </w:r>
      <w:r>
        <w:rPr>
          <w:rFonts w:ascii="Times New Roman" w:cs="Times New Roman" w:eastAsia="Times New Roman" w:hAnsi="Times New Roman"/>
          <w:sz w:val="34"/>
          <w:szCs w:val="34"/>
          <w:color w:val="0000FF"/>
          <w:vertAlign w:val="subscript"/>
        </w:rPr>
        <w:t>06/09/2026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106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07649" TargetMode="External"/><Relationship Id="rId14"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2026-06-09T13:16:03Z</dcterms:created>
  <dcterms:modified xsi:type="dcterms:W3CDTF">2026-06-09T13:16:03Z</dcterms:modified>
</cp:coreProperties>
</file>