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4"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15240</wp:posOffset>
            </wp:positionV>
            <wp:extent cx="7325995" cy="5250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250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8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JAEHNERT FRANK M</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60" w:type="dxa"/>
            <w:vAlign w:val="bottom"/>
            <w:gridSpan w:val="7"/>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BRADY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80" w:type="dxa"/>
            <w:vAlign w:val="bottom"/>
            <w:gridSpan w:val="5"/>
            <w:vMerge w:val="continue"/>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72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6"/>
                <w:szCs w:val="6"/>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auto"/>
                <w:w w:val="88"/>
              </w:rPr>
              <w:t>(First)</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8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720" w:type="dxa"/>
            <w:vAlign w:val="bottom"/>
            <w:vMerge w:val="restart"/>
          </w:tcPr>
          <w:p>
            <w:pPr>
              <w:ind w:left="160"/>
              <w:spacing w:after="0" w:line="128" w:lineRule="exact"/>
              <w:rPr>
                <w:sz w:val="20"/>
                <w:szCs w:val="20"/>
                <w:color w:val="auto"/>
              </w:rPr>
            </w:pPr>
            <w:r>
              <w:rPr>
                <w:rFonts w:ascii="Arial" w:cs="Arial" w:eastAsia="Arial" w:hAnsi="Arial"/>
                <w:sz w:val="13"/>
                <w:szCs w:val="13"/>
                <w:color w:val="auto"/>
              </w:rPr>
              <w:t>below)</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restart"/>
          </w:tcPr>
          <w:p>
            <w:pPr>
              <w:ind w:left="200"/>
              <w:spacing w:after="0" w:line="128"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80" w:type="dxa"/>
            <w:vAlign w:val="bottom"/>
            <w:gridSpan w:val="8"/>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5"/>
          </w:tcPr>
          <w:p>
            <w:pPr>
              <w:spacing w:after="0"/>
              <w:rPr>
                <w:sz w:val="20"/>
                <w:szCs w:val="20"/>
                <w:color w:val="auto"/>
              </w:rPr>
            </w:pPr>
            <w:r>
              <w:rPr>
                <w:rFonts w:ascii="Arial" w:cs="Arial" w:eastAsia="Arial" w:hAnsi="Arial"/>
                <w:sz w:val="17"/>
                <w:szCs w:val="17"/>
                <w:color w:val="0000FF"/>
              </w:rPr>
              <w:t>6555 WEST GOOD HOPE RD.</w:t>
            </w:r>
          </w:p>
        </w:tc>
        <w:tc>
          <w:tcPr>
            <w:tcW w:w="1220" w:type="dxa"/>
            <w:vAlign w:val="bottom"/>
          </w:tcPr>
          <w:p>
            <w:pPr>
              <w:spacing w:after="0"/>
              <w:rPr>
                <w:sz w:val="23"/>
                <w:szCs w:val="23"/>
                <w:color w:val="auto"/>
              </w:rPr>
            </w:pPr>
          </w:p>
        </w:tc>
        <w:tc>
          <w:tcPr>
            <w:tcW w:w="1480" w:type="dxa"/>
            <w:vAlign w:val="bottom"/>
            <w:gridSpan w:val="5"/>
          </w:tcPr>
          <w:p>
            <w:pPr>
              <w:ind w:left="240"/>
              <w:spacing w:after="0"/>
              <w:rPr>
                <w:sz w:val="20"/>
                <w:szCs w:val="20"/>
                <w:color w:val="auto"/>
              </w:rPr>
            </w:pPr>
            <w:r>
              <w:rPr>
                <w:rFonts w:ascii="Arial" w:cs="Arial" w:eastAsia="Arial" w:hAnsi="Arial"/>
                <w:sz w:val="17"/>
                <w:szCs w:val="17"/>
                <w:color w:val="0000FF"/>
              </w:rPr>
              <w:t>08/29/2008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40" w:type="dxa"/>
            <w:vAlign w:val="bottom"/>
            <w:gridSpan w:val="4"/>
          </w:tcPr>
          <w:p>
            <w:pPr>
              <w:ind w:left="660"/>
              <w:spacing w:after="0"/>
              <w:rPr>
                <w:sz w:val="20"/>
                <w:szCs w:val="20"/>
                <w:color w:val="auto"/>
              </w:rPr>
            </w:pPr>
            <w:r>
              <w:rPr>
                <w:rFonts w:ascii="Arial" w:cs="Arial" w:eastAsia="Arial" w:hAnsi="Arial"/>
                <w:sz w:val="17"/>
                <w:szCs w:val="17"/>
                <w:color w:val="0000FF"/>
              </w:rPr>
              <w:t>President &amp; CEO</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1"/>
                <w:szCs w:val="1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MILWAUKEE</w:t>
            </w:r>
          </w:p>
        </w:tc>
        <w:tc>
          <w:tcPr>
            <w:tcW w:w="340" w:type="dxa"/>
            <w:vAlign w:val="bottom"/>
            <w:vMerge w:val="restart"/>
          </w:tcPr>
          <w:p>
            <w:pPr>
              <w:ind w:left="20"/>
              <w:spacing w:after="0"/>
              <w:rPr>
                <w:sz w:val="20"/>
                <w:szCs w:val="20"/>
                <w:color w:val="auto"/>
              </w:rPr>
            </w:pPr>
            <w:r>
              <w:rPr>
                <w:rFonts w:ascii="Arial" w:cs="Arial" w:eastAsia="Arial" w:hAnsi="Arial"/>
                <w:sz w:val="17"/>
                <w:szCs w:val="17"/>
                <w:color w:val="0000FF"/>
              </w:rPr>
              <w:t>WI</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0000FF"/>
              </w:rPr>
              <w:t>53223</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6"/>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2360" w:type="dxa"/>
            <w:vAlign w:val="bottom"/>
            <w:tcBorders>
              <w:bottom w:val="single" w:sz="8" w:color="2C2C2C"/>
            </w:tcBorders>
            <w:gridSpan w:val="4"/>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17"/>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gridSpan w:val="5"/>
          </w:tcPr>
          <w:p>
            <w:pPr>
              <w:ind w:left="92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ind w:left="92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80" w:type="dxa"/>
            <w:vAlign w:val="bottom"/>
            <w:gridSpan w:val="5"/>
          </w:tcPr>
          <w:p>
            <w:pPr>
              <w:jc w:val="center"/>
              <w:ind w:left="73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(Instr. 3 and</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700" w:type="dxa"/>
            <w:vAlign w:val="bottom"/>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ind w:right="1"/>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70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12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6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2,020</w:t>
            </w:r>
            <w:r>
              <w:rPr>
                <w:rFonts w:ascii="Arial" w:cs="Arial" w:eastAsia="Arial" w:hAnsi="Arial"/>
                <w:sz w:val="21"/>
                <w:szCs w:val="21"/>
                <w:color w:val="008000"/>
                <w:w w:val="83"/>
                <w:vertAlign w:val="superscript"/>
              </w:rPr>
              <w:t>(3)</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(5)</w:t>
            </w:r>
          </w:p>
        </w:tc>
        <w:tc>
          <w:tcPr>
            <w:tcW w:w="1980" w:type="dxa"/>
            <w:vAlign w:val="bottom"/>
            <w:tcBorders>
              <w:bottom w:val="single" w:sz="8" w:color="2C2C2C"/>
            </w:tcBorders>
            <w:gridSpan w:val="5"/>
          </w:tcPr>
          <w:p>
            <w:pPr>
              <w:jc w:val="center"/>
              <w:ind w:left="750"/>
              <w:spacing w:after="0"/>
              <w:rPr>
                <w:sz w:val="20"/>
                <w:szCs w:val="20"/>
                <w:color w:val="auto"/>
              </w:rPr>
            </w:pPr>
            <w:r>
              <w:rPr>
                <w:rFonts w:ascii="Arial" w:cs="Arial" w:eastAsia="Arial" w:hAnsi="Arial"/>
                <w:sz w:val="17"/>
                <w:szCs w:val="17"/>
                <w:color w:val="0000FF"/>
                <w:w w:val="89"/>
              </w:rPr>
              <w:t>08/06/2008</w:t>
            </w: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6.0386</w:t>
            </w:r>
          </w:p>
        </w:tc>
        <w:tc>
          <w:tcPr>
            <w:tcW w:w="6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36.64</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9"/>
              </w:rPr>
              <w:t>1,549.4077</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(5)</w:t>
            </w:r>
          </w:p>
        </w:tc>
        <w:tc>
          <w:tcPr>
            <w:tcW w:w="1980" w:type="dxa"/>
            <w:vAlign w:val="bottom"/>
            <w:tcBorders>
              <w:bottom w:val="single" w:sz="8" w:color="2C2C2C"/>
            </w:tcBorders>
            <w:gridSpan w:val="5"/>
          </w:tcPr>
          <w:p>
            <w:pPr>
              <w:jc w:val="center"/>
              <w:ind w:left="750"/>
              <w:spacing w:after="0"/>
              <w:rPr>
                <w:sz w:val="20"/>
                <w:szCs w:val="20"/>
                <w:color w:val="auto"/>
              </w:rPr>
            </w:pPr>
            <w:r>
              <w:rPr>
                <w:rFonts w:ascii="Arial" w:cs="Arial" w:eastAsia="Arial" w:hAnsi="Arial"/>
                <w:sz w:val="17"/>
                <w:szCs w:val="17"/>
                <w:color w:val="0000FF"/>
                <w:w w:val="89"/>
              </w:rPr>
              <w:t>08/20/2008</w:t>
            </w: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0.2052</w:t>
            </w:r>
          </w:p>
        </w:tc>
        <w:tc>
          <w:tcPr>
            <w:tcW w:w="6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38.5</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9"/>
              </w:rPr>
              <w:t>1,549.6129</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(5)</w:t>
            </w:r>
          </w:p>
        </w:tc>
        <w:tc>
          <w:tcPr>
            <w:tcW w:w="1980" w:type="dxa"/>
            <w:vAlign w:val="bottom"/>
            <w:tcBorders>
              <w:bottom w:val="single" w:sz="8" w:color="2C2C2C"/>
            </w:tcBorders>
            <w:gridSpan w:val="5"/>
          </w:tcPr>
          <w:p>
            <w:pPr>
              <w:jc w:val="center"/>
              <w:ind w:left="750"/>
              <w:spacing w:after="0"/>
              <w:rPr>
                <w:sz w:val="20"/>
                <w:szCs w:val="20"/>
                <w:color w:val="auto"/>
              </w:rPr>
            </w:pPr>
            <w:r>
              <w:rPr>
                <w:rFonts w:ascii="Arial" w:cs="Arial" w:eastAsia="Arial" w:hAnsi="Arial"/>
                <w:sz w:val="17"/>
                <w:szCs w:val="17"/>
                <w:color w:val="0000FF"/>
                <w:w w:val="89"/>
              </w:rPr>
              <w:t>08/27/2008</w:t>
            </w: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0.1319</w:t>
            </w:r>
          </w:p>
        </w:tc>
        <w:tc>
          <w:tcPr>
            <w:tcW w:w="6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36.69</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9"/>
              </w:rPr>
              <w:t>1,549.7448</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16"/>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40" w:type="dxa"/>
            <w:vAlign w:val="bottom"/>
            <w:gridSpan w:val="15"/>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2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0"/>
              </w:rPr>
              <w:t>Price 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4 and 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gridSpan w:val="2"/>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4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54"/>
              <w:spacing w:after="0"/>
              <w:rPr>
                <w:sz w:val="20"/>
                <w:szCs w:val="20"/>
                <w:color w:val="auto"/>
              </w:rPr>
            </w:pPr>
            <w:r>
              <w:rPr>
                <w:rFonts w:ascii="Arial" w:cs="Arial" w:eastAsia="Arial" w:hAnsi="Arial"/>
                <w:sz w:val="11"/>
                <w:szCs w:val="11"/>
                <w:color w:val="008000"/>
              </w:rPr>
              <w:t>(2)</w:t>
            </w:r>
          </w:p>
        </w:tc>
        <w:tc>
          <w:tcPr>
            <w:tcW w:w="600" w:type="dxa"/>
            <w:vAlign w:val="bottom"/>
          </w:tcPr>
          <w:p>
            <w:pPr>
              <w:ind w:left="80"/>
              <w:spacing w:after="0"/>
              <w:rPr>
                <w:sz w:val="20"/>
                <w:szCs w:val="20"/>
                <w:color w:val="auto"/>
              </w:rPr>
            </w:pPr>
            <w:r>
              <w:rPr>
                <w:rFonts w:ascii="Arial" w:cs="Arial" w:eastAsia="Arial" w:hAnsi="Arial"/>
                <w:sz w:val="13"/>
                <w:szCs w:val="13"/>
                <w:color w:val="0000FF"/>
              </w:rPr>
              <w:t>Class A</w:t>
            </w: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523.2597</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color w:val="0000FF"/>
                <w:w w:val="89"/>
              </w:rPr>
              <w:t>60,803.2549</w:t>
            </w:r>
            <w:r>
              <w:rPr>
                <w:rFonts w:ascii="Arial" w:cs="Arial" w:eastAsia="Arial" w:hAnsi="Arial"/>
                <w:sz w:val="21"/>
                <w:szCs w:val="21"/>
                <w:color w:val="008000"/>
                <w:w w:val="89"/>
                <w:vertAlign w:val="superscript"/>
              </w:rPr>
              <w:t>(4)</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Arial" w:cs="Arial" w:eastAsia="Arial" w:hAnsi="Arial"/>
                <w:sz w:val="13"/>
                <w:szCs w:val="13"/>
                <w:color w:val="0000FF"/>
                <w:w w:val="95"/>
              </w:rPr>
              <w:t>Compensation</w:t>
            </w: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16"/>
              <w:spacing w:after="0" w:line="142" w:lineRule="exact"/>
              <w:rPr>
                <w:sz w:val="20"/>
                <w:szCs w:val="20"/>
                <w:color w:val="auto"/>
              </w:rPr>
            </w:pPr>
            <w:r>
              <w:rPr>
                <w:rFonts w:ascii="Arial" w:cs="Arial" w:eastAsia="Arial" w:hAnsi="Arial"/>
                <w:sz w:val="13"/>
                <w:szCs w:val="13"/>
                <w:color w:val="0000FF"/>
              </w:rPr>
              <w:t>08/29/2008</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ind w:left="100"/>
              <w:spacing w:after="0" w:line="142" w:lineRule="exact"/>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142" w:lineRule="exact"/>
              <w:rPr>
                <w:sz w:val="20"/>
                <w:szCs w:val="20"/>
                <w:color w:val="auto"/>
              </w:rPr>
            </w:pPr>
            <w:r>
              <w:rPr>
                <w:rFonts w:ascii="Arial" w:cs="Arial" w:eastAsia="Arial" w:hAnsi="Arial"/>
                <w:sz w:val="13"/>
                <w:szCs w:val="13"/>
                <w:color w:val="0000FF"/>
              </w:rPr>
              <w:t>536.2597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Common</w:t>
            </w: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37.46</w:t>
            </w:r>
          </w:p>
        </w:tc>
        <w:tc>
          <w:tcPr>
            <w:tcW w:w="860" w:type="dxa"/>
            <w:vAlign w:val="bottom"/>
            <w:gridSpan w:val="2"/>
            <w:vMerge w:val="continue"/>
          </w:tcPr>
          <w:p>
            <w:pPr>
              <w:spacing w:after="0"/>
              <w:rPr>
                <w:sz w:val="12"/>
                <w:szCs w:val="12"/>
                <w:color w:val="auto"/>
              </w:rPr>
            </w:pPr>
          </w:p>
        </w:tc>
        <w:tc>
          <w:tcPr>
            <w:tcW w:w="6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36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5" w:lineRule="exact"/>
        <w:rPr>
          <w:rFonts w:ascii="Arial" w:cs="Arial" w:eastAsia="Arial" w:hAnsi="Arial"/>
          <w:sz w:val="13"/>
          <w:szCs w:val="13"/>
          <w:color w:val="008000"/>
        </w:rPr>
      </w:pPr>
    </w:p>
    <w:p>
      <w:pPr>
        <w:ind w:left="40" w:right="160" w:firstLine="2"/>
        <w:spacing w:after="0" w:line="289"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non-derivative security has been held by the individual for several years but was not previously listed. No transactions occurred during the fiscal year 2008 which affected the status of this holding.</w:t>
      </w:r>
    </w:p>
    <w:p>
      <w:pPr>
        <w:spacing w:after="0" w:line="55"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243.5147 shares acquired on August 6, 2008 under the company's employee dividend reinvestment plan.</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Barbara Bolens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09/03/2008</w:t>
            </w:r>
          </w:p>
        </w:tc>
        <w:tc>
          <w:tcPr>
            <w:tcW w:w="0" w:type="dxa"/>
            <w:vAlign w:val="bottom"/>
          </w:tcPr>
          <w:p>
            <w:pPr>
              <w:spacing w:after="0"/>
              <w:rPr>
                <w:sz w:val="1"/>
                <w:szCs w:val="1"/>
                <w:color w:val="auto"/>
              </w:rPr>
            </w:pPr>
          </w:p>
        </w:tc>
      </w:tr>
      <w:tr>
        <w:trPr>
          <w:trHeight w:val="83"/>
        </w:trPr>
        <w:tc>
          <w:tcPr>
            <w:tcW w:w="300" w:type="dxa"/>
            <w:vAlign w:val="bottom"/>
            <w:vMerge w:val="restart"/>
          </w:tcPr>
          <w:p>
            <w:pPr>
              <w:spacing w:after="0" w:line="186" w:lineRule="exact"/>
              <w:rPr>
                <w:sz w:val="20"/>
                <w:szCs w:val="20"/>
                <w:color w:val="auto"/>
              </w:rPr>
            </w:pPr>
            <w:r>
              <w:rPr>
                <w:rFonts w:ascii="Arial" w:cs="Arial" w:eastAsia="Arial" w:hAnsi="Arial"/>
                <w:sz w:val="17"/>
                <w:szCs w:val="17"/>
                <w:color w:val="0000FF"/>
                <w:w w:val="84"/>
              </w:rPr>
              <w:t>Fact</w:t>
            </w:r>
          </w:p>
        </w:tc>
        <w:tc>
          <w:tcPr>
            <w:tcW w:w="19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404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2019-12-18T13:28:55Z</dcterms:created>
  <dcterms:modified xsi:type="dcterms:W3CDTF">2019-12-18T13:28:55Z</dcterms:modified>
</cp:coreProperties>
</file>