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ind w:left="940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-10160</wp:posOffset>
            </wp:positionV>
            <wp:extent cx="285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October 16,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6700" w:type="dxa"/>
            <w:vAlign w:val="bottom"/>
            <w:gridSpan w:val="3"/>
          </w:tcPr>
          <w:p>
            <w:pPr>
              <w:jc w:val="center"/>
              <w:ind w:right="3100"/>
              <w:spacing w:after="0"/>
              <w:rPr>
                <w:sz w:val="20"/>
                <w:szCs w:val="20"/>
                <w:color w:val="auto"/>
              </w:rPr>
            </w:pPr>
            <w:r>
              <w:rPr>
                <w:rFonts w:ascii="Arial" w:cs="Arial" w:eastAsia="Arial" w:hAnsi="Arial"/>
                <w:sz w:val="18"/>
                <w:szCs w:val="18"/>
                <w:color w:val="auto"/>
                <w:w w:val="96"/>
              </w:rPr>
              <w:t>WISCONSIN</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39-0178960</w:t>
            </w:r>
          </w:p>
        </w:tc>
      </w:tr>
      <w:tr>
        <w:trPr>
          <w:trHeight w:val="216"/>
        </w:trPr>
        <w:tc>
          <w:tcPr>
            <w:tcW w:w="6700" w:type="dxa"/>
            <w:vAlign w:val="bottom"/>
            <w:gridSpan w:val="3"/>
          </w:tcPr>
          <w:p>
            <w:pPr>
              <w:jc w:val="center"/>
              <w:ind w:right="3100"/>
              <w:spacing w:after="0"/>
              <w:rPr>
                <w:sz w:val="20"/>
                <w:szCs w:val="20"/>
                <w:color w:val="auto"/>
              </w:rPr>
            </w:pPr>
            <w:r>
              <w:rPr>
                <w:rFonts w:ascii="Arial" w:cs="Arial" w:eastAsia="Arial" w:hAnsi="Arial"/>
                <w:sz w:val="18"/>
                <w:szCs w:val="18"/>
                <w:color w:val="auto"/>
                <w:w w:val="92"/>
              </w:rPr>
              <w:t>(State or other jurisdiction of</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700" w:type="dxa"/>
            <w:vAlign w:val="bottom"/>
            <w:gridSpan w:val="3"/>
          </w:tcPr>
          <w:p>
            <w:pPr>
              <w:jc w:val="center"/>
              <w:ind w:right="3100"/>
              <w:spacing w:after="0"/>
              <w:rPr>
                <w:sz w:val="20"/>
                <w:szCs w:val="20"/>
                <w:color w:val="auto"/>
              </w:rPr>
            </w:pPr>
            <w:r>
              <w:rPr>
                <w:rFonts w:ascii="Arial" w:cs="Arial" w:eastAsia="Arial" w:hAnsi="Arial"/>
                <w:sz w:val="18"/>
                <w:szCs w:val="18"/>
                <w:color w:val="auto"/>
                <w:w w:val="92"/>
              </w:rPr>
              <w:t>incorporation or organization)</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700" w:type="dxa"/>
            <w:vAlign w:val="bottom"/>
            <w:gridSpan w:val="3"/>
          </w:tcPr>
          <w:p>
            <w:pPr>
              <w:jc w:val="center"/>
              <w:ind w:right="3120"/>
              <w:spacing w:after="0"/>
              <w:rPr>
                <w:sz w:val="20"/>
                <w:szCs w:val="20"/>
                <w:color w:val="auto"/>
              </w:rPr>
            </w:pPr>
            <w:r>
              <w:rPr>
                <w:rFonts w:ascii="Arial" w:cs="Arial" w:eastAsia="Arial" w:hAnsi="Arial"/>
                <w:sz w:val="18"/>
                <w:szCs w:val="18"/>
                <w:color w:val="auto"/>
                <w:w w:val="89"/>
              </w:rPr>
              <w:t>6555 West Good Hope Road</w:t>
            </w:r>
          </w:p>
        </w:tc>
        <w:tc>
          <w:tcPr>
            <w:tcW w:w="2160" w:type="dxa"/>
            <w:vAlign w:val="bottom"/>
          </w:tcPr>
          <w:p>
            <w:pPr>
              <w:spacing w:after="0"/>
              <w:rPr>
                <w:sz w:val="24"/>
                <w:szCs w:val="24"/>
                <w:color w:val="auto"/>
              </w:rPr>
            </w:pPr>
          </w:p>
        </w:tc>
      </w:tr>
      <w:tr>
        <w:trPr>
          <w:trHeight w:val="216"/>
        </w:trPr>
        <w:tc>
          <w:tcPr>
            <w:tcW w:w="6700" w:type="dxa"/>
            <w:vAlign w:val="bottom"/>
            <w:gridSpan w:val="3"/>
          </w:tcPr>
          <w:p>
            <w:pPr>
              <w:jc w:val="center"/>
              <w:ind w:right="3100"/>
              <w:spacing w:after="0"/>
              <w:rPr>
                <w:sz w:val="20"/>
                <w:szCs w:val="20"/>
                <w:color w:val="auto"/>
              </w:rPr>
            </w:pPr>
            <w:r>
              <w:rPr>
                <w:rFonts w:ascii="Arial" w:cs="Arial" w:eastAsia="Arial" w:hAnsi="Arial"/>
                <w:sz w:val="18"/>
                <w:szCs w:val="18"/>
                <w:color w:val="auto"/>
                <w:w w:val="89"/>
              </w:rPr>
              <w:t>P.O. Box 571</w:t>
            </w:r>
          </w:p>
        </w:tc>
        <w:tc>
          <w:tcPr>
            <w:tcW w:w="2160" w:type="dxa"/>
            <w:vAlign w:val="bottom"/>
          </w:tcPr>
          <w:p>
            <w:pPr>
              <w:spacing w:after="0"/>
              <w:rPr>
                <w:sz w:val="18"/>
                <w:szCs w:val="18"/>
                <w:color w:val="auto"/>
              </w:rPr>
            </w:pPr>
          </w:p>
        </w:tc>
      </w:tr>
      <w:tr>
        <w:trPr>
          <w:trHeight w:val="216"/>
        </w:trPr>
        <w:tc>
          <w:tcPr>
            <w:tcW w:w="6700" w:type="dxa"/>
            <w:vAlign w:val="bottom"/>
            <w:gridSpan w:val="3"/>
          </w:tcPr>
          <w:p>
            <w:pPr>
              <w:jc w:val="center"/>
              <w:ind w:right="3120"/>
              <w:spacing w:after="0"/>
              <w:rPr>
                <w:sz w:val="20"/>
                <w:szCs w:val="20"/>
                <w:color w:val="auto"/>
              </w:rPr>
            </w:pPr>
            <w:r>
              <w:rPr>
                <w:rFonts w:ascii="Arial" w:cs="Arial" w:eastAsia="Arial" w:hAnsi="Arial"/>
                <w:sz w:val="18"/>
                <w:szCs w:val="18"/>
                <w:color w:val="auto"/>
                <w:w w:val="93"/>
              </w:rPr>
              <w:t>Milwaukee, Wisconsin</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53201-0571</w:t>
            </w:r>
          </w:p>
        </w:tc>
      </w:tr>
      <w:tr>
        <w:trPr>
          <w:trHeight w:val="230"/>
        </w:trPr>
        <w:tc>
          <w:tcPr>
            <w:tcW w:w="6700" w:type="dxa"/>
            <w:vAlign w:val="bottom"/>
            <w:gridSpan w:val="3"/>
          </w:tcPr>
          <w:p>
            <w:pPr>
              <w:jc w:val="center"/>
              <w:ind w:right="3120"/>
              <w:spacing w:after="0"/>
              <w:rPr>
                <w:sz w:val="20"/>
                <w:szCs w:val="20"/>
                <w:color w:val="auto"/>
              </w:rPr>
            </w:pPr>
            <w:r>
              <w:rPr>
                <w:rFonts w:ascii="Arial" w:cs="Arial" w:eastAsia="Arial" w:hAnsi="Arial"/>
                <w:sz w:val="18"/>
                <w:szCs w:val="18"/>
                <w:color w:val="auto"/>
                <w:w w:val="92"/>
              </w:rPr>
              <w:t>(Address of Principal Executive Offices)</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297"/>
        </w:trPr>
        <w:tc>
          <w:tcPr>
            <w:tcW w:w="332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75"/>
        </w:trPr>
        <w:tc>
          <w:tcPr>
            <w:tcW w:w="3320" w:type="dxa"/>
            <w:vAlign w:val="bottom"/>
          </w:tcPr>
          <w:p>
            <w:pPr>
              <w:spacing w:after="0"/>
              <w:rPr>
                <w:sz w:val="24"/>
                <w:szCs w:val="24"/>
                <w:color w:val="auto"/>
              </w:rPr>
            </w:pPr>
          </w:p>
        </w:tc>
        <w:tc>
          <w:tcPr>
            <w:tcW w:w="3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BRADY CORPORATION</w:t>
            </w:r>
          </w:p>
        </w:tc>
        <w:tc>
          <w:tcPr>
            <w:tcW w:w="2160" w:type="dxa"/>
            <w:vAlign w:val="bottom"/>
          </w:tcPr>
          <w:p>
            <w:pPr>
              <w:spacing w:after="0"/>
              <w:rPr>
                <w:sz w:val="24"/>
                <w:szCs w:val="24"/>
                <w:color w:val="auto"/>
              </w:rPr>
            </w:pPr>
          </w:p>
        </w:tc>
      </w:tr>
      <w:tr>
        <w:trPr>
          <w:trHeight w:val="234"/>
        </w:trPr>
        <w:tc>
          <w:tcPr>
            <w:tcW w:w="670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rPr>
              <w:t>2010 OMNIBUS INCENTIVE STOCK PLAN</w:t>
            </w:r>
          </w:p>
        </w:tc>
        <w:tc>
          <w:tcPr>
            <w:tcW w:w="2160" w:type="dxa"/>
            <w:vAlign w:val="bottom"/>
          </w:tcPr>
          <w:p>
            <w:pPr>
              <w:spacing w:after="0"/>
              <w:rPr>
                <w:sz w:val="20"/>
                <w:szCs w:val="20"/>
                <w:color w:val="auto"/>
              </w:rPr>
            </w:pPr>
          </w:p>
        </w:tc>
      </w:tr>
      <w:tr>
        <w:trPr>
          <w:trHeight w:val="414"/>
        </w:trPr>
        <w:tc>
          <w:tcPr>
            <w:tcW w:w="3320" w:type="dxa"/>
            <w:vAlign w:val="bottom"/>
          </w:tcPr>
          <w:p>
            <w:pPr>
              <w:spacing w:after="0"/>
              <w:rPr>
                <w:sz w:val="24"/>
                <w:szCs w:val="24"/>
                <w:color w:val="auto"/>
              </w:rPr>
            </w:pPr>
          </w:p>
        </w:tc>
        <w:tc>
          <w:tcPr>
            <w:tcW w:w="3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BRADY CORPORATION</w:t>
            </w:r>
          </w:p>
        </w:tc>
        <w:tc>
          <w:tcPr>
            <w:tcW w:w="2160" w:type="dxa"/>
            <w:vAlign w:val="bottom"/>
          </w:tcPr>
          <w:p>
            <w:pPr>
              <w:spacing w:after="0"/>
              <w:rPr>
                <w:sz w:val="24"/>
                <w:szCs w:val="24"/>
                <w:color w:val="auto"/>
              </w:rPr>
            </w:pPr>
          </w:p>
        </w:tc>
      </w:tr>
      <w:tr>
        <w:trPr>
          <w:trHeight w:val="216"/>
        </w:trPr>
        <w:tc>
          <w:tcPr>
            <w:tcW w:w="670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2010 NONQUALIFIED STOCK OPTION PLAN</w:t>
            </w:r>
          </w:p>
        </w:tc>
        <w:tc>
          <w:tcPr>
            <w:tcW w:w="2160" w:type="dxa"/>
            <w:vAlign w:val="bottom"/>
          </w:tcPr>
          <w:p>
            <w:pPr>
              <w:spacing w:after="0"/>
              <w:rPr>
                <w:sz w:val="18"/>
                <w:szCs w:val="18"/>
                <w:color w:val="auto"/>
              </w:rPr>
            </w:pPr>
          </w:p>
        </w:tc>
      </w:tr>
      <w:tr>
        <w:trPr>
          <w:trHeight w:val="220"/>
        </w:trPr>
        <w:tc>
          <w:tcPr>
            <w:tcW w:w="670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rPr>
              <w:t>FOR NON-EMPLOYEE DIRECTORS</w:t>
            </w:r>
          </w:p>
        </w:tc>
        <w:tc>
          <w:tcPr>
            <w:tcW w:w="2160" w:type="dxa"/>
            <w:vAlign w:val="bottom"/>
          </w:tcPr>
          <w:p>
            <w:pPr>
              <w:spacing w:after="0"/>
              <w:rPr>
                <w:sz w:val="19"/>
                <w:szCs w:val="19"/>
                <w:color w:val="auto"/>
              </w:rPr>
            </w:pPr>
          </w:p>
        </w:tc>
      </w:tr>
      <w:tr>
        <w:trPr>
          <w:trHeight w:val="230"/>
        </w:trPr>
        <w:tc>
          <w:tcPr>
            <w:tcW w:w="3320" w:type="dxa"/>
            <w:vAlign w:val="bottom"/>
          </w:tcPr>
          <w:p>
            <w:pPr>
              <w:spacing w:after="0"/>
              <w:rPr>
                <w:sz w:val="20"/>
                <w:szCs w:val="20"/>
                <w:color w:val="auto"/>
              </w:rPr>
            </w:pPr>
          </w:p>
        </w:tc>
        <w:tc>
          <w:tcPr>
            <w:tcW w:w="338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(Full title of the plans)</w:t>
            </w:r>
          </w:p>
        </w:tc>
        <w:tc>
          <w:tcPr>
            <w:tcW w:w="2160" w:type="dxa"/>
            <w:vAlign w:val="bottom"/>
          </w:tcPr>
          <w:p>
            <w:pPr>
              <w:spacing w:after="0"/>
              <w:rPr>
                <w:sz w:val="20"/>
                <w:szCs w:val="20"/>
                <w:color w:val="auto"/>
              </w:rPr>
            </w:pPr>
          </w:p>
        </w:tc>
      </w:tr>
      <w:tr>
        <w:trPr>
          <w:trHeight w:val="284"/>
        </w:trPr>
        <w:tc>
          <w:tcPr>
            <w:tcW w:w="332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79"/>
        </w:trPr>
        <w:tc>
          <w:tcPr>
            <w:tcW w:w="6700" w:type="dxa"/>
            <w:vAlign w:val="bottom"/>
            <w:gridSpan w:val="3"/>
          </w:tcPr>
          <w:p>
            <w:pPr>
              <w:jc w:val="center"/>
              <w:ind w:right="3100"/>
              <w:spacing w:after="0"/>
              <w:rPr>
                <w:sz w:val="20"/>
                <w:szCs w:val="20"/>
                <w:color w:val="auto"/>
              </w:rPr>
            </w:pPr>
            <w:r>
              <w:rPr>
                <w:rFonts w:ascii="Arial" w:cs="Arial" w:eastAsia="Arial" w:hAnsi="Arial"/>
                <w:sz w:val="18"/>
                <w:szCs w:val="18"/>
                <w:color w:val="auto"/>
                <w:w w:val="96"/>
              </w:rPr>
              <w:t>THOMAS J. FELMER</w:t>
            </w:r>
          </w:p>
        </w:tc>
        <w:tc>
          <w:tcPr>
            <w:tcW w:w="2160" w:type="dxa"/>
            <w:vAlign w:val="bottom"/>
          </w:tcPr>
          <w:p>
            <w:pPr>
              <w:jc w:val="center"/>
              <w:spacing w:after="0"/>
              <w:rPr>
                <w:sz w:val="20"/>
                <w:szCs w:val="20"/>
                <w:color w:val="auto"/>
              </w:rPr>
            </w:pPr>
            <w:r>
              <w:rPr>
                <w:rFonts w:ascii="Arial" w:cs="Arial" w:eastAsia="Arial" w:hAnsi="Arial"/>
                <w:sz w:val="18"/>
                <w:szCs w:val="18"/>
                <w:i w:val="1"/>
                <w:iCs w:val="1"/>
                <w:color w:val="auto"/>
                <w:w w:val="92"/>
              </w:rPr>
              <w:t>Copy to:</w:t>
            </w:r>
          </w:p>
        </w:tc>
      </w:tr>
      <w:tr>
        <w:trPr>
          <w:trHeight w:val="216"/>
        </w:trPr>
        <w:tc>
          <w:tcPr>
            <w:tcW w:w="6700" w:type="dxa"/>
            <w:vAlign w:val="bottom"/>
            <w:gridSpan w:val="3"/>
          </w:tcPr>
          <w:p>
            <w:pPr>
              <w:jc w:val="center"/>
              <w:ind w:right="3120"/>
              <w:spacing w:after="0"/>
              <w:rPr>
                <w:sz w:val="20"/>
                <w:szCs w:val="20"/>
                <w:color w:val="auto"/>
              </w:rPr>
            </w:pPr>
            <w:r>
              <w:rPr>
                <w:rFonts w:ascii="Arial" w:cs="Arial" w:eastAsia="Arial" w:hAnsi="Arial"/>
                <w:sz w:val="18"/>
                <w:szCs w:val="18"/>
                <w:color w:val="auto"/>
                <w:w w:val="91"/>
              </w:rPr>
              <w:t>Senior Vice President and 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HOYT R. STASTNEY, ESQ.</w:t>
            </w:r>
          </w:p>
        </w:tc>
      </w:tr>
      <w:tr>
        <w:trPr>
          <w:trHeight w:val="216"/>
        </w:trPr>
        <w:tc>
          <w:tcPr>
            <w:tcW w:w="6700" w:type="dxa"/>
            <w:vAlign w:val="bottom"/>
            <w:gridSpan w:val="3"/>
          </w:tcPr>
          <w:p>
            <w:pPr>
              <w:jc w:val="center"/>
              <w:ind w:right="3100"/>
              <w:spacing w:after="0"/>
              <w:rPr>
                <w:sz w:val="20"/>
                <w:szCs w:val="20"/>
                <w:color w:val="auto"/>
              </w:rPr>
            </w:pPr>
            <w:r>
              <w:rPr>
                <w:rFonts w:ascii="Arial" w:cs="Arial" w:eastAsia="Arial" w:hAnsi="Arial"/>
                <w:sz w:val="18"/>
                <w:szCs w:val="18"/>
                <w:color w:val="auto"/>
                <w:w w:val="93"/>
              </w:rPr>
              <w:t>Brady Corporation</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Quarles &amp; Brady LLP</w:t>
            </w:r>
          </w:p>
        </w:tc>
      </w:tr>
      <w:tr>
        <w:trPr>
          <w:trHeight w:val="216"/>
        </w:trPr>
        <w:tc>
          <w:tcPr>
            <w:tcW w:w="6700" w:type="dxa"/>
            <w:vAlign w:val="bottom"/>
            <w:gridSpan w:val="3"/>
          </w:tcPr>
          <w:p>
            <w:pPr>
              <w:jc w:val="center"/>
              <w:ind w:right="3120"/>
              <w:spacing w:after="0"/>
              <w:rPr>
                <w:sz w:val="20"/>
                <w:szCs w:val="20"/>
                <w:color w:val="auto"/>
              </w:rPr>
            </w:pPr>
            <w:r>
              <w:rPr>
                <w:rFonts w:ascii="Arial" w:cs="Arial" w:eastAsia="Arial" w:hAnsi="Arial"/>
                <w:sz w:val="18"/>
                <w:szCs w:val="18"/>
                <w:color w:val="auto"/>
                <w:w w:val="89"/>
              </w:rPr>
              <w:t>6555 West Good Hope Road</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411 East Wisconsin Avenue</w:t>
            </w:r>
          </w:p>
        </w:tc>
      </w:tr>
      <w:tr>
        <w:trPr>
          <w:trHeight w:val="216"/>
        </w:trPr>
        <w:tc>
          <w:tcPr>
            <w:tcW w:w="6700" w:type="dxa"/>
            <w:vAlign w:val="bottom"/>
            <w:gridSpan w:val="3"/>
          </w:tcPr>
          <w:p>
            <w:pPr>
              <w:jc w:val="center"/>
              <w:ind w:right="3100"/>
              <w:spacing w:after="0"/>
              <w:rPr>
                <w:sz w:val="20"/>
                <w:szCs w:val="20"/>
                <w:color w:val="auto"/>
              </w:rPr>
            </w:pPr>
            <w:r>
              <w:rPr>
                <w:rFonts w:ascii="Arial" w:cs="Arial" w:eastAsia="Arial" w:hAnsi="Arial"/>
                <w:sz w:val="18"/>
                <w:szCs w:val="18"/>
                <w:color w:val="auto"/>
                <w:w w:val="89"/>
              </w:rPr>
              <w:t>P.O. Box 571</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Milwaukee, Wisconsin 53202</w:t>
            </w:r>
          </w:p>
        </w:tc>
      </w:tr>
      <w:tr>
        <w:trPr>
          <w:trHeight w:val="216"/>
        </w:trPr>
        <w:tc>
          <w:tcPr>
            <w:tcW w:w="6700" w:type="dxa"/>
            <w:vAlign w:val="bottom"/>
            <w:gridSpan w:val="3"/>
          </w:tcPr>
          <w:p>
            <w:pPr>
              <w:jc w:val="center"/>
              <w:ind w:right="3100"/>
              <w:spacing w:after="0"/>
              <w:rPr>
                <w:sz w:val="20"/>
                <w:szCs w:val="20"/>
                <w:color w:val="auto"/>
              </w:rPr>
            </w:pPr>
            <w:r>
              <w:rPr>
                <w:rFonts w:ascii="Arial" w:cs="Arial" w:eastAsia="Arial" w:hAnsi="Arial"/>
                <w:sz w:val="18"/>
                <w:szCs w:val="18"/>
                <w:color w:val="auto"/>
                <w:w w:val="92"/>
              </w:rPr>
              <w:t>Milwaukee, Wisconsin 53201-0571</w:t>
            </w:r>
          </w:p>
        </w:tc>
        <w:tc>
          <w:tcPr>
            <w:tcW w:w="2160" w:type="dxa"/>
            <w:vAlign w:val="bottom"/>
          </w:tcPr>
          <w:p>
            <w:pPr>
              <w:spacing w:after="0"/>
              <w:rPr>
                <w:sz w:val="18"/>
                <w:szCs w:val="18"/>
                <w:color w:val="auto"/>
              </w:rPr>
            </w:pPr>
          </w:p>
        </w:tc>
      </w:tr>
      <w:tr>
        <w:trPr>
          <w:trHeight w:val="230"/>
        </w:trPr>
        <w:tc>
          <w:tcPr>
            <w:tcW w:w="3320" w:type="dxa"/>
            <w:vAlign w:val="bottom"/>
          </w:tcPr>
          <w:p>
            <w:pPr>
              <w:spacing w:after="0"/>
              <w:rPr>
                <w:sz w:val="20"/>
                <w:szCs w:val="20"/>
                <w:color w:val="auto"/>
              </w:rPr>
            </w:pPr>
          </w:p>
        </w:tc>
        <w:tc>
          <w:tcPr>
            <w:tcW w:w="338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(Name and address of agent for service)</w:t>
            </w:r>
          </w:p>
        </w:tc>
        <w:tc>
          <w:tcPr>
            <w:tcW w:w="2160" w:type="dxa"/>
            <w:vAlign w:val="bottom"/>
          </w:tcPr>
          <w:p>
            <w:pPr>
              <w:spacing w:after="0"/>
              <w:rPr>
                <w:sz w:val="20"/>
                <w:szCs w:val="20"/>
                <w:color w:val="auto"/>
              </w:rPr>
            </w:pPr>
          </w:p>
        </w:tc>
      </w:tr>
      <w:tr>
        <w:trPr>
          <w:trHeight w:val="418"/>
        </w:trPr>
        <w:tc>
          <w:tcPr>
            <w:tcW w:w="6280" w:type="dxa"/>
            <w:vAlign w:val="bottom"/>
            <w:gridSpan w:val="2"/>
          </w:tcPr>
          <w:p>
            <w:pPr>
              <w:jc w:val="center"/>
              <w:ind w:left="3230"/>
              <w:spacing w:after="0"/>
              <w:rPr>
                <w:sz w:val="20"/>
                <w:szCs w:val="20"/>
                <w:color w:val="auto"/>
              </w:rPr>
            </w:pPr>
            <w:r>
              <w:rPr>
                <w:rFonts w:ascii="Arial" w:cs="Arial" w:eastAsia="Arial" w:hAnsi="Arial"/>
                <w:sz w:val="18"/>
                <w:szCs w:val="18"/>
                <w:color w:val="auto"/>
                <w:w w:val="90"/>
              </w:rPr>
              <w:t>(414) 358-6600</w:t>
            </w: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8860" w:type="dxa"/>
            <w:vAlign w:val="bottom"/>
            <w:gridSpan w:val="4"/>
          </w:tcPr>
          <w:p>
            <w:pPr>
              <w:jc w:val="center"/>
              <w:ind w:left="650"/>
              <w:spacing w:after="0"/>
              <w:rPr>
                <w:sz w:val="20"/>
                <w:szCs w:val="20"/>
                <w:color w:val="auto"/>
              </w:rPr>
            </w:pPr>
            <w:r>
              <w:rPr>
                <w:rFonts w:ascii="Arial" w:cs="Arial" w:eastAsia="Arial" w:hAnsi="Arial"/>
                <w:sz w:val="18"/>
                <w:szCs w:val="18"/>
                <w:color w:val="auto"/>
                <w:w w:val="90"/>
              </w:rPr>
              <w:t>(Telephone number, including area code, of agent for service)</w:t>
            </w:r>
          </w:p>
        </w:tc>
      </w:tr>
    </w:tbl>
    <w:p>
      <w:pPr>
        <w:spacing w:after="0" w:line="94" w:lineRule="exact"/>
        <w:rPr>
          <w:sz w:val="24"/>
          <w:szCs w:val="24"/>
          <w:color w:val="auto"/>
        </w:rPr>
      </w:pPr>
    </w:p>
    <w:p>
      <w:pPr>
        <w:ind w:right="12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740" w:type="dxa"/>
            <w:vAlign w:val="bottom"/>
          </w:tcPr>
          <w:p>
            <w:pPr>
              <w:jc w:val="right"/>
              <w:ind w:right="837"/>
              <w:spacing w:after="0" w:line="207" w:lineRule="exact"/>
              <w:rPr>
                <w:sz w:val="20"/>
                <w:szCs w:val="20"/>
                <w:color w:val="auto"/>
              </w:rPr>
            </w:pPr>
            <w:r>
              <w:rPr>
                <w:rFonts w:ascii="Arial" w:cs="Arial" w:eastAsia="Arial" w:hAnsi="Arial"/>
                <w:sz w:val="18"/>
                <w:szCs w:val="18"/>
                <w:color w:val="auto"/>
                <w:w w:val="89"/>
              </w:rPr>
              <w:t xml:space="preserve">Large accelerated filer </w:t>
            </w:r>
            <w:r>
              <w:rPr>
                <w:rFonts w:ascii="MS PGothic" w:cs="MS PGothic" w:eastAsia="MS PGothic" w:hAnsi="MS PGothic"/>
                <w:sz w:val="18"/>
                <w:szCs w:val="18"/>
                <w:color w:val="auto"/>
                <w:w w:val="89"/>
              </w:rPr>
              <w:t>☑</w:t>
            </w:r>
          </w:p>
        </w:tc>
        <w:tc>
          <w:tcPr>
            <w:tcW w:w="2200" w:type="dxa"/>
            <w:vAlign w:val="bottom"/>
            <w:gridSpan w:val="2"/>
          </w:tcPr>
          <w:p>
            <w:pPr>
              <w:ind w:left="60"/>
              <w:spacing w:after="0"/>
              <w:rPr>
                <w:sz w:val="20"/>
                <w:szCs w:val="20"/>
                <w:color w:val="auto"/>
              </w:rPr>
            </w:pPr>
            <w:r>
              <w:rPr>
                <w:rFonts w:ascii="Arial" w:cs="Arial" w:eastAsia="Arial" w:hAnsi="Arial"/>
                <w:sz w:val="18"/>
                <w:szCs w:val="18"/>
                <w:color w:val="auto"/>
              </w:rPr>
              <w:t>Accelerated filer o</w:t>
            </w:r>
          </w:p>
        </w:tc>
        <w:tc>
          <w:tcPr>
            <w:tcW w:w="720" w:type="dxa"/>
            <w:vAlign w:val="bottom"/>
          </w:tcPr>
          <w:p>
            <w:pPr>
              <w:spacing w:after="0"/>
              <w:rPr>
                <w:sz w:val="21"/>
                <w:szCs w:val="21"/>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3"/>
              </w:rPr>
              <w:t>Non-accelerated filer  o</w:t>
            </w:r>
          </w:p>
        </w:tc>
        <w:tc>
          <w:tcPr>
            <w:tcW w:w="1380" w:type="dxa"/>
            <w:vAlign w:val="bottom"/>
          </w:tcPr>
          <w:p>
            <w:pPr>
              <w:spacing w:after="0"/>
              <w:rPr>
                <w:sz w:val="21"/>
                <w:szCs w:val="21"/>
                <w:color w:val="auto"/>
              </w:rPr>
            </w:pPr>
          </w:p>
        </w:tc>
        <w:tc>
          <w:tcPr>
            <w:tcW w:w="2480" w:type="dxa"/>
            <w:vAlign w:val="bottom"/>
            <w:gridSpan w:val="2"/>
          </w:tcPr>
          <w:p>
            <w:pPr>
              <w:jc w:val="right"/>
              <w:ind w:right="144"/>
              <w:spacing w:after="0"/>
              <w:rPr>
                <w:sz w:val="20"/>
                <w:szCs w:val="20"/>
                <w:color w:val="auto"/>
              </w:rPr>
            </w:pPr>
            <w:r>
              <w:rPr>
                <w:rFonts w:ascii="Arial" w:cs="Arial" w:eastAsia="Arial" w:hAnsi="Arial"/>
                <w:sz w:val="18"/>
                <w:szCs w:val="18"/>
                <w:color w:val="auto"/>
                <w:w w:val="97"/>
              </w:rPr>
              <w:t>Smaller reporting company o</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0" w:type="dxa"/>
            <w:vAlign w:val="bottom"/>
            <w:gridSpan w:val="4"/>
          </w:tcPr>
          <w:p>
            <w:pPr>
              <w:jc w:val="center"/>
              <w:ind w:right="546"/>
              <w:spacing w:after="0"/>
              <w:rPr>
                <w:sz w:val="20"/>
                <w:szCs w:val="20"/>
                <w:color w:val="auto"/>
              </w:rPr>
            </w:pPr>
            <w:r>
              <w:rPr>
                <w:rFonts w:ascii="Arial" w:cs="Arial" w:eastAsia="Arial" w:hAnsi="Arial"/>
                <w:sz w:val="18"/>
                <w:szCs w:val="18"/>
                <w:color w:val="auto"/>
                <w:w w:val="91"/>
              </w:rPr>
              <w:t>(Do not check if a smaller reporting company)</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4"/>
          </w:tcPr>
          <w:p>
            <w:pPr>
              <w:ind w:left="1120"/>
              <w:spacing w:after="0"/>
              <w:rPr>
                <w:sz w:val="20"/>
                <w:szCs w:val="20"/>
                <w:color w:val="auto"/>
              </w:rPr>
            </w:pPr>
            <w:r>
              <w:rPr>
                <w:rFonts w:ascii="Arial" w:cs="Arial" w:eastAsia="Arial" w:hAnsi="Arial"/>
                <w:sz w:val="18"/>
                <w:szCs w:val="18"/>
                <w:color w:val="auto"/>
              </w:rPr>
              <w:t>CALCULATION OF REGISTRATION FEE</w:t>
            </w: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7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620" w:type="dxa"/>
            <w:vAlign w:val="bottom"/>
          </w:tcPr>
          <w:p>
            <w:pPr>
              <w:spacing w:after="0"/>
              <w:rPr>
                <w:sz w:val="9"/>
                <w:szCs w:val="9"/>
                <w:color w:val="auto"/>
              </w:rPr>
            </w:pPr>
          </w:p>
        </w:tc>
        <w:tc>
          <w:tcPr>
            <w:tcW w:w="1380" w:type="dxa"/>
            <w:vAlign w:val="bottom"/>
          </w:tcPr>
          <w:p>
            <w:pPr>
              <w:jc w:val="center"/>
              <w:ind w:right="6"/>
              <w:spacing w:after="0" w:line="106" w:lineRule="exact"/>
              <w:rPr>
                <w:sz w:val="20"/>
                <w:szCs w:val="20"/>
                <w:color w:val="auto"/>
              </w:rPr>
            </w:pPr>
            <w:r>
              <w:rPr>
                <w:rFonts w:ascii="Arial" w:cs="Arial" w:eastAsia="Arial" w:hAnsi="Arial"/>
                <w:sz w:val="12"/>
                <w:szCs w:val="12"/>
                <w:b w:val="1"/>
                <w:bCs w:val="1"/>
                <w:color w:val="auto"/>
              </w:rPr>
              <w:t>Proposed</w:t>
            </w:r>
          </w:p>
        </w:tc>
        <w:tc>
          <w:tcPr>
            <w:tcW w:w="520" w:type="dxa"/>
            <w:vAlign w:val="bottom"/>
            <w:tcBorders>
              <w:right w:val="single" w:sz="8" w:color="auto"/>
            </w:tcBorders>
          </w:tcPr>
          <w:p>
            <w:pPr>
              <w:spacing w:after="0"/>
              <w:rPr>
                <w:sz w:val="9"/>
                <w:szCs w:val="9"/>
                <w:color w:val="auto"/>
              </w:rPr>
            </w:pPr>
          </w:p>
        </w:tc>
        <w:tc>
          <w:tcPr>
            <w:tcW w:w="196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740" w:type="dxa"/>
            <w:vAlign w:val="bottom"/>
            <w:vMerge w:val="restart"/>
          </w:tcPr>
          <w:p>
            <w:pPr>
              <w:jc w:val="right"/>
              <w:ind w:right="677"/>
              <w:spacing w:after="0"/>
              <w:rPr>
                <w:sz w:val="20"/>
                <w:szCs w:val="20"/>
                <w:color w:val="auto"/>
              </w:rPr>
            </w:pPr>
            <w:r>
              <w:rPr>
                <w:rFonts w:ascii="Arial" w:cs="Arial" w:eastAsia="Arial" w:hAnsi="Arial"/>
                <w:sz w:val="14"/>
                <w:szCs w:val="14"/>
                <w:b w:val="1"/>
                <w:bCs w:val="1"/>
                <w:color w:val="auto"/>
              </w:rPr>
              <w:t>Title of Securities</w:t>
            </w:r>
          </w:p>
        </w:tc>
        <w:tc>
          <w:tcPr>
            <w:tcW w:w="240" w:type="dxa"/>
            <w:vAlign w:val="bottom"/>
            <w:tcBorders>
              <w:right w:val="single" w:sz="8" w:color="auto"/>
            </w:tcBorders>
          </w:tcPr>
          <w:p>
            <w:pPr>
              <w:spacing w:after="0"/>
              <w:rPr>
                <w:sz w:val="12"/>
                <w:szCs w:val="12"/>
                <w:color w:val="auto"/>
              </w:rPr>
            </w:pPr>
          </w:p>
        </w:tc>
        <w:tc>
          <w:tcPr>
            <w:tcW w:w="1960" w:type="dxa"/>
            <w:vAlign w:val="bottom"/>
            <w:vMerge w:val="restart"/>
          </w:tcPr>
          <w:p>
            <w:pPr>
              <w:jc w:val="center"/>
              <w:ind w:left="639"/>
              <w:spacing w:after="0"/>
              <w:rPr>
                <w:sz w:val="20"/>
                <w:szCs w:val="20"/>
                <w:color w:val="auto"/>
              </w:rPr>
            </w:pPr>
            <w:r>
              <w:rPr>
                <w:rFonts w:ascii="Arial" w:cs="Arial" w:eastAsia="Arial" w:hAnsi="Arial"/>
                <w:sz w:val="14"/>
                <w:szCs w:val="14"/>
                <w:b w:val="1"/>
                <w:bCs w:val="1"/>
                <w:color w:val="auto"/>
                <w:w w:val="93"/>
              </w:rPr>
              <w:t>Amount to be</w:t>
            </w:r>
          </w:p>
        </w:tc>
        <w:tc>
          <w:tcPr>
            <w:tcW w:w="7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620" w:type="dxa"/>
            <w:vAlign w:val="bottom"/>
          </w:tcPr>
          <w:p>
            <w:pPr>
              <w:spacing w:after="0"/>
              <w:rPr>
                <w:sz w:val="12"/>
                <w:szCs w:val="12"/>
                <w:color w:val="auto"/>
              </w:rPr>
            </w:pPr>
          </w:p>
        </w:tc>
        <w:tc>
          <w:tcPr>
            <w:tcW w:w="13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9"/>
              </w:rPr>
              <w:t>Maximum</w:t>
            </w:r>
          </w:p>
        </w:tc>
        <w:tc>
          <w:tcPr>
            <w:tcW w:w="520" w:type="dxa"/>
            <w:vAlign w:val="bottom"/>
            <w:tcBorders>
              <w:right w:val="single" w:sz="8" w:color="auto"/>
            </w:tcBorders>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960" w:type="dxa"/>
            <w:vAlign w:val="bottom"/>
            <w:vMerge w:val="continue"/>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620" w:type="dxa"/>
            <w:vAlign w:val="bottom"/>
          </w:tcPr>
          <w:p>
            <w:pPr>
              <w:spacing w:after="0"/>
              <w:rPr>
                <w:sz w:val="12"/>
                <w:szCs w:val="12"/>
                <w:color w:val="auto"/>
              </w:rPr>
            </w:pPr>
          </w:p>
        </w:tc>
        <w:tc>
          <w:tcPr>
            <w:tcW w:w="138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9"/>
              </w:rPr>
              <w:t>Aggregate</w:t>
            </w:r>
          </w:p>
        </w:tc>
        <w:tc>
          <w:tcPr>
            <w:tcW w:w="520" w:type="dxa"/>
            <w:vAlign w:val="bottom"/>
            <w:tcBorders>
              <w:right w:val="single" w:sz="8" w:color="auto"/>
            </w:tcBorders>
          </w:tcPr>
          <w:p>
            <w:pPr>
              <w:spacing w:after="0"/>
              <w:rPr>
                <w:sz w:val="12"/>
                <w:szCs w:val="12"/>
                <w:color w:val="auto"/>
              </w:rPr>
            </w:pPr>
          </w:p>
        </w:tc>
        <w:tc>
          <w:tcPr>
            <w:tcW w:w="1960" w:type="dxa"/>
            <w:vAlign w:val="bottom"/>
          </w:tcPr>
          <w:p>
            <w:pPr>
              <w:jc w:val="center"/>
              <w:ind w:left="4"/>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8"/>
        </w:trPr>
        <w:tc>
          <w:tcPr>
            <w:tcW w:w="27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to be Registered (1)</w:t>
            </w:r>
          </w:p>
        </w:tc>
        <w:tc>
          <w:tcPr>
            <w:tcW w:w="24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tcBorders>
          </w:tcPr>
          <w:p>
            <w:pPr>
              <w:jc w:val="center"/>
              <w:ind w:left="619"/>
              <w:spacing w:after="0"/>
              <w:rPr>
                <w:sz w:val="20"/>
                <w:szCs w:val="20"/>
                <w:color w:val="auto"/>
              </w:rPr>
            </w:pPr>
            <w:r>
              <w:rPr>
                <w:rFonts w:ascii="Arial" w:cs="Arial" w:eastAsia="Arial" w:hAnsi="Arial"/>
                <w:sz w:val="14"/>
                <w:szCs w:val="14"/>
                <w:b w:val="1"/>
                <w:bCs w:val="1"/>
                <w:color w:val="auto"/>
                <w:w w:val="92"/>
              </w:rPr>
              <w:t>Registered (1)</w:t>
            </w:r>
          </w:p>
        </w:tc>
        <w:tc>
          <w:tcPr>
            <w:tcW w:w="7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6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4"/>
              </w:rPr>
              <w:t>Offering Price</w:t>
            </w:r>
          </w:p>
        </w:tc>
        <w:tc>
          <w:tcPr>
            <w:tcW w:w="520" w:type="dxa"/>
            <w:vAlign w:val="bottom"/>
            <w:tcBorders>
              <w:bottom w:val="single" w:sz="8" w:color="auto"/>
              <w:right w:val="single" w:sz="8" w:color="auto"/>
            </w:tcBorders>
          </w:tcPr>
          <w:p>
            <w:pPr>
              <w:spacing w:after="0"/>
              <w:rPr>
                <w:sz w:val="15"/>
                <w:szCs w:val="15"/>
                <w:color w:val="auto"/>
              </w:rPr>
            </w:pPr>
          </w:p>
        </w:tc>
        <w:tc>
          <w:tcPr>
            <w:tcW w:w="19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02"/>
        </w:trPr>
        <w:tc>
          <w:tcPr>
            <w:tcW w:w="2740" w:type="dxa"/>
            <w:vAlign w:val="bottom"/>
          </w:tcPr>
          <w:p>
            <w:pPr>
              <w:jc w:val="right"/>
              <w:spacing w:after="0" w:line="201" w:lineRule="exact"/>
              <w:rPr>
                <w:sz w:val="20"/>
                <w:szCs w:val="20"/>
                <w:color w:val="auto"/>
              </w:rPr>
            </w:pPr>
            <w:r>
              <w:rPr>
                <w:rFonts w:ascii="Arial" w:cs="Arial" w:eastAsia="Arial" w:hAnsi="Arial"/>
                <w:sz w:val="18"/>
                <w:szCs w:val="18"/>
                <w:color w:val="auto"/>
                <w:w w:val="94"/>
              </w:rPr>
              <w:t>Class A Nonvoting Common Stock,</w:t>
            </w:r>
          </w:p>
        </w:tc>
        <w:tc>
          <w:tcPr>
            <w:tcW w:w="240" w:type="dxa"/>
            <w:vAlign w:val="bottom"/>
            <w:tcBorders>
              <w:right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2"/>
              </w:rPr>
              <w:t>par value $.01 per share</w:t>
            </w:r>
          </w:p>
        </w:tc>
        <w:tc>
          <w:tcPr>
            <w:tcW w:w="2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tcPr>
          <w:p>
            <w:pPr>
              <w:jc w:val="center"/>
              <w:ind w:left="619"/>
              <w:spacing w:after="0"/>
              <w:rPr>
                <w:sz w:val="20"/>
                <w:szCs w:val="20"/>
                <w:color w:val="auto"/>
              </w:rPr>
            </w:pPr>
            <w:r>
              <w:rPr>
                <w:rFonts w:ascii="Arial" w:cs="Arial" w:eastAsia="Arial" w:hAnsi="Arial"/>
                <w:sz w:val="18"/>
                <w:szCs w:val="18"/>
                <w:color w:val="auto"/>
                <w:w w:val="87"/>
              </w:rPr>
              <w:t>3,200,000 shares</w:t>
            </w:r>
          </w:p>
        </w:tc>
        <w:tc>
          <w:tcPr>
            <w:tcW w:w="7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344"/>
              <w:spacing w:after="0"/>
              <w:rPr>
                <w:sz w:val="20"/>
                <w:szCs w:val="20"/>
                <w:color w:val="auto"/>
              </w:rPr>
            </w:pPr>
            <w:r>
              <w:rPr>
                <w:rFonts w:ascii="Arial" w:cs="Arial" w:eastAsia="Arial" w:hAnsi="Arial"/>
                <w:sz w:val="18"/>
                <w:szCs w:val="18"/>
                <w:color w:val="auto"/>
              </w:rPr>
              <w:t>(2)</w:t>
            </w:r>
          </w:p>
        </w:tc>
        <w:tc>
          <w:tcPr>
            <w:tcW w:w="6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6"/>
              <w:spacing w:after="0"/>
              <w:rPr>
                <w:sz w:val="20"/>
                <w:szCs w:val="20"/>
                <w:color w:val="auto"/>
              </w:rPr>
            </w:pPr>
            <w:r>
              <w:rPr>
                <w:rFonts w:ascii="Arial" w:cs="Arial" w:eastAsia="Arial" w:hAnsi="Arial"/>
                <w:sz w:val="18"/>
                <w:szCs w:val="18"/>
                <w:color w:val="auto"/>
                <w:w w:val="91"/>
              </w:rPr>
              <w:t>$90,809,755 (2)</w:t>
            </w:r>
          </w:p>
        </w:tc>
        <w:tc>
          <w:tcPr>
            <w:tcW w:w="5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tcPr>
          <w:p>
            <w:pPr>
              <w:jc w:val="right"/>
              <w:ind w:right="524"/>
              <w:spacing w:after="0"/>
              <w:rPr>
                <w:sz w:val="20"/>
                <w:szCs w:val="20"/>
                <w:color w:val="auto"/>
              </w:rPr>
            </w:pPr>
            <w:r>
              <w:rPr>
                <w:rFonts w:ascii="Arial" w:cs="Arial" w:eastAsia="Arial" w:hAnsi="Arial"/>
                <w:sz w:val="18"/>
                <w:szCs w:val="18"/>
                <w:color w:val="auto"/>
              </w:rPr>
              <w:t>$5,067.18</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(1) Consists of the following number of shares to be registered for each of the plans covered by this registration statement: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w w:val="93"/>
              </w:rPr>
              <w:t>Brady Corporation 2010</w:t>
            </w:r>
          </w:p>
        </w:tc>
        <w:tc>
          <w:tcPr>
            <w:tcW w:w="7680" w:type="dxa"/>
            <w:vAlign w:val="bottom"/>
          </w:tcPr>
          <w:p>
            <w:pPr>
              <w:ind w:left="20"/>
              <w:spacing w:after="0"/>
              <w:rPr>
                <w:sz w:val="20"/>
                <w:szCs w:val="20"/>
                <w:color w:val="auto"/>
              </w:rPr>
            </w:pPr>
            <w:r>
              <w:rPr>
                <w:rFonts w:ascii="Arial" w:cs="Arial" w:eastAsia="Arial" w:hAnsi="Arial"/>
                <w:sz w:val="18"/>
                <w:szCs w:val="18"/>
                <w:color w:val="auto"/>
              </w:rPr>
              <w:t>Omnibus Incentive Stock Plan (the “2010 Omnibus Plan”)</w:t>
            </w:r>
          </w:p>
        </w:tc>
        <w:tc>
          <w:tcPr>
            <w:tcW w:w="184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432"/>
        </w:trPr>
        <w:tc>
          <w:tcPr>
            <w:tcW w:w="1800" w:type="dxa"/>
            <w:vAlign w:val="bottom"/>
          </w:tcPr>
          <w:p>
            <w:pPr>
              <w:spacing w:after="0"/>
              <w:rPr>
                <w:sz w:val="20"/>
                <w:szCs w:val="20"/>
                <w:color w:val="auto"/>
              </w:rPr>
            </w:pPr>
            <w:r>
              <w:rPr>
                <w:rFonts w:ascii="Arial" w:cs="Arial" w:eastAsia="Arial" w:hAnsi="Arial"/>
                <w:sz w:val="18"/>
                <w:szCs w:val="18"/>
                <w:color w:val="auto"/>
                <w:w w:val="93"/>
              </w:rPr>
              <w:t>Brady Corporation 2010</w:t>
            </w:r>
          </w:p>
        </w:tc>
        <w:tc>
          <w:tcPr>
            <w:tcW w:w="7680" w:type="dxa"/>
            <w:vAlign w:val="bottom"/>
          </w:tcPr>
          <w:p>
            <w:pPr>
              <w:ind w:left="20"/>
              <w:spacing w:after="0"/>
              <w:rPr>
                <w:sz w:val="20"/>
                <w:szCs w:val="20"/>
                <w:color w:val="auto"/>
              </w:rPr>
            </w:pPr>
            <w:r>
              <w:rPr>
                <w:rFonts w:ascii="Arial" w:cs="Arial" w:eastAsia="Arial" w:hAnsi="Arial"/>
                <w:sz w:val="18"/>
                <w:szCs w:val="18"/>
                <w:color w:val="auto"/>
              </w:rPr>
              <w:t>Non-Qualified Stock Option Plan for Non-Employee Directors (the “2010 Directors Plan”)</w:t>
            </w:r>
          </w:p>
        </w:tc>
        <w:tc>
          <w:tcPr>
            <w:tcW w:w="1840" w:type="dxa"/>
            <w:vAlign w:val="bottom"/>
          </w:tcPr>
          <w:p>
            <w:pPr>
              <w:jc w:val="right"/>
              <w:spacing w:after="0"/>
              <w:rPr>
                <w:sz w:val="20"/>
                <w:szCs w:val="20"/>
                <w:color w:val="auto"/>
              </w:rPr>
            </w:pPr>
            <w:r>
              <w:rPr>
                <w:rFonts w:ascii="Arial" w:cs="Arial" w:eastAsia="Arial" w:hAnsi="Arial"/>
                <w:sz w:val="18"/>
                <w:szCs w:val="18"/>
                <w:color w:val="auto"/>
              </w:rPr>
              <w:t>200,000</w:t>
            </w:r>
          </w:p>
        </w:tc>
      </w:tr>
    </w:tbl>
    <w:p>
      <w:pPr>
        <w:spacing w:after="0" w:line="94" w:lineRule="exact"/>
        <w:rPr>
          <w:sz w:val="24"/>
          <w:szCs w:val="24"/>
          <w:color w:val="auto"/>
        </w:rPr>
      </w:pPr>
    </w:p>
    <w:p>
      <w:pPr>
        <w:jc w:val="both"/>
        <w:ind w:left="340" w:right="260"/>
        <w:spacing w:after="0" w:line="264" w:lineRule="auto"/>
        <w:rPr>
          <w:sz w:val="20"/>
          <w:szCs w:val="20"/>
          <w:color w:val="auto"/>
        </w:rPr>
      </w:pPr>
      <w:r>
        <w:rPr>
          <w:rFonts w:ascii="Arial" w:cs="Arial" w:eastAsia="Arial" w:hAnsi="Arial"/>
          <w:sz w:val="18"/>
          <w:szCs w:val="18"/>
          <w:color w:val="auto"/>
        </w:rPr>
        <w:t>In addition to the shares set forth in the table, pursuant to Rule 416 under the Securities Act of 1933 (the “Securities Act”), the amount to be registered includes an indeterminate number of shares of Class A Common Stock that may become issuable as a result of stock dividends, stock splits or similar transactions, as provided in the plans.</w:t>
      </w:r>
    </w:p>
    <w:p>
      <w:pPr>
        <w:sectPr>
          <w:pgSz w:w="11900" w:h="16931" w:orient="portrait"/>
          <w:cols w:equalWidth="0" w:num="1">
            <w:col w:w="11420"/>
          </w:cols>
          <w:pgMar w:left="240" w:top="341" w:right="239" w:bottom="0" w:gutter="0" w:footer="0" w:header="0"/>
        </w:sectPr>
      </w:pPr>
    </w:p>
    <w:bookmarkStart w:id="1" w:name="page2"/>
    <w:bookmarkEnd w:id="1"/>
    <w:p>
      <w:pPr>
        <w:ind w:left="340" w:right="38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at the rate of $55.80 per million, based upon:</w:t>
      </w:r>
    </w:p>
    <w:p>
      <w:pPr>
        <w:spacing w:after="0" w:line="170" w:lineRule="exact"/>
        <w:rPr>
          <w:sz w:val="20"/>
          <w:szCs w:val="20"/>
          <w:color w:val="auto"/>
        </w:rPr>
      </w:pPr>
    </w:p>
    <w:p>
      <w:pPr>
        <w:ind w:left="640" w:hanging="537"/>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exercise price of $29.78 per share for the 525,000 shares underlying options granted under the 2010 Omnibus Plan on</w:t>
      </w:r>
    </w:p>
    <w:p>
      <w:pPr>
        <w:spacing w:after="0" w:line="23"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August 3, 2009, aggregating</w:t>
            </w:r>
          </w:p>
        </w:tc>
        <w:tc>
          <w:tcPr>
            <w:tcW w:w="4780" w:type="dxa"/>
            <w:vAlign w:val="bottom"/>
          </w:tcPr>
          <w:p>
            <w:pPr>
              <w:jc w:val="right"/>
              <w:spacing w:after="0"/>
              <w:rPr>
                <w:sz w:val="20"/>
                <w:szCs w:val="20"/>
                <w:color w:val="auto"/>
              </w:rPr>
            </w:pPr>
            <w:r>
              <w:rPr>
                <w:rFonts w:ascii="Arial" w:cs="Arial" w:eastAsia="Arial" w:hAnsi="Arial"/>
                <w:sz w:val="18"/>
                <w:szCs w:val="18"/>
                <w:color w:val="auto"/>
              </w:rPr>
              <w:t>$ 15,634,500</w:t>
            </w:r>
          </w:p>
        </w:tc>
      </w:tr>
    </w:tbl>
    <w:p>
      <w:pPr>
        <w:spacing w:after="0" w:line="187" w:lineRule="exact"/>
        <w:rPr>
          <w:sz w:val="20"/>
          <w:szCs w:val="20"/>
          <w:color w:val="auto"/>
        </w:rPr>
      </w:pPr>
    </w:p>
    <w:p>
      <w:pPr>
        <w:ind w:left="640" w:hanging="537"/>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exercise price of $28.73 per share for the 355,000 shares underlying options granted under the 2010 Omnibus Plan on</w:t>
      </w:r>
    </w:p>
    <w:p>
      <w:pPr>
        <w:spacing w:after="0" w:line="23"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September 25, 2009, aggregating</w:t>
            </w:r>
          </w:p>
        </w:tc>
        <w:tc>
          <w:tcPr>
            <w:tcW w:w="4600" w:type="dxa"/>
            <w:vAlign w:val="bottom"/>
          </w:tcPr>
          <w:p>
            <w:pPr>
              <w:jc w:val="right"/>
              <w:spacing w:after="0"/>
              <w:rPr>
                <w:sz w:val="20"/>
                <w:szCs w:val="20"/>
                <w:color w:val="auto"/>
              </w:rPr>
            </w:pPr>
            <w:r>
              <w:rPr>
                <w:rFonts w:ascii="Arial" w:cs="Arial" w:eastAsia="Arial" w:hAnsi="Arial"/>
                <w:sz w:val="18"/>
                <w:szCs w:val="18"/>
                <w:color w:val="auto"/>
              </w:rPr>
              <w:t>$ 10,199,150</w:t>
            </w:r>
          </w:p>
        </w:tc>
      </w:tr>
    </w:tbl>
    <w:p>
      <w:pPr>
        <w:spacing w:after="0" w:line="187" w:lineRule="exact"/>
        <w:rPr>
          <w:sz w:val="20"/>
          <w:szCs w:val="20"/>
          <w:color w:val="auto"/>
        </w:rPr>
      </w:pPr>
    </w:p>
    <w:p>
      <w:pPr>
        <w:ind w:left="640" w:hanging="537"/>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exercise price of $28.73 per share for the 84,000 shares underlying options granted under the 2010 Directors Plan on</w:t>
      </w:r>
    </w:p>
    <w:p>
      <w:pPr>
        <w:spacing w:after="0" w:line="23"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September 25, 2009, aggregating</w:t>
            </w:r>
          </w:p>
        </w:tc>
        <w:tc>
          <w:tcPr>
            <w:tcW w:w="4600" w:type="dxa"/>
            <w:vAlign w:val="bottom"/>
          </w:tcPr>
          <w:p>
            <w:pPr>
              <w:jc w:val="right"/>
              <w:spacing w:after="0"/>
              <w:rPr>
                <w:sz w:val="20"/>
                <w:szCs w:val="20"/>
                <w:color w:val="auto"/>
              </w:rPr>
            </w:pPr>
            <w:r>
              <w:rPr>
                <w:rFonts w:ascii="Arial" w:cs="Arial" w:eastAsia="Arial" w:hAnsi="Arial"/>
                <w:sz w:val="18"/>
                <w:szCs w:val="18"/>
                <w:color w:val="auto"/>
              </w:rPr>
              <w:t>$ 2,413,320</w:t>
            </w:r>
          </w:p>
        </w:tc>
      </w:tr>
    </w:tbl>
    <w:p>
      <w:pPr>
        <w:spacing w:after="0" w:line="187" w:lineRule="exact"/>
        <w:rPr>
          <w:sz w:val="20"/>
          <w:szCs w:val="20"/>
          <w:color w:val="auto"/>
        </w:rPr>
      </w:pPr>
    </w:p>
    <w:p>
      <w:pPr>
        <w:ind w:left="640" w:hanging="537"/>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exercise price of $27.89 per share for the 5,500 shares underlying options granted under the 2010 Omnibus Plan on</w:t>
      </w:r>
    </w:p>
    <w:p>
      <w:pPr>
        <w:spacing w:after="0" w:line="23"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October 9, 2009, aggregating</w:t>
            </w:r>
          </w:p>
        </w:tc>
        <w:tc>
          <w:tcPr>
            <w:tcW w:w="4740" w:type="dxa"/>
            <w:vAlign w:val="bottom"/>
          </w:tcPr>
          <w:p>
            <w:pPr>
              <w:jc w:val="right"/>
              <w:spacing w:after="0"/>
              <w:rPr>
                <w:sz w:val="20"/>
                <w:szCs w:val="20"/>
                <w:color w:val="auto"/>
              </w:rPr>
            </w:pPr>
            <w:r>
              <w:rPr>
                <w:rFonts w:ascii="Arial" w:cs="Arial" w:eastAsia="Arial" w:hAnsi="Arial"/>
                <w:sz w:val="18"/>
                <w:szCs w:val="18"/>
                <w:color w:val="auto"/>
              </w:rPr>
              <w:t>$   153,395</w:t>
            </w:r>
          </w:p>
        </w:tc>
      </w:tr>
    </w:tbl>
    <w:p>
      <w:pPr>
        <w:spacing w:after="0" w:line="187" w:lineRule="exact"/>
        <w:rPr>
          <w:sz w:val="20"/>
          <w:szCs w:val="20"/>
          <w:color w:val="auto"/>
        </w:rPr>
      </w:pPr>
    </w:p>
    <w:p>
      <w:pPr>
        <w:ind w:left="640" w:hanging="537"/>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$27.98 per share, which is the average of the high and low sales prices of the Registrant’s Class A Common Stock on the New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0" w:type="dxa"/>
            <w:vAlign w:val="bottom"/>
          </w:tcPr>
          <w:p>
            <w:pPr>
              <w:ind w:left="640"/>
              <w:spacing w:after="0"/>
              <w:rPr>
                <w:sz w:val="20"/>
                <w:szCs w:val="20"/>
                <w:color w:val="auto"/>
              </w:rPr>
            </w:pPr>
            <w:r>
              <w:rPr>
                <w:rFonts w:ascii="Arial" w:cs="Arial" w:eastAsia="Arial" w:hAnsi="Arial"/>
                <w:sz w:val="18"/>
                <w:szCs w:val="18"/>
                <w:color w:val="auto"/>
                <w:w w:val="95"/>
              </w:rPr>
              <w:t>York Stock Exchange on October 13, 2009, for the remaining 2,230,500 shares available under the 2010 Omnibus Plan and the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400" w:type="dxa"/>
            <w:vAlign w:val="bottom"/>
          </w:tcPr>
          <w:p>
            <w:pPr>
              <w:ind w:left="640"/>
              <w:spacing w:after="0"/>
              <w:rPr>
                <w:sz w:val="20"/>
                <w:szCs w:val="20"/>
                <w:color w:val="auto"/>
              </w:rPr>
            </w:pPr>
            <w:r>
              <w:rPr>
                <w:rFonts w:ascii="Arial" w:cs="Arial" w:eastAsia="Arial" w:hAnsi="Arial"/>
                <w:sz w:val="18"/>
                <w:szCs w:val="18"/>
                <w:color w:val="auto"/>
              </w:rPr>
              <w:t>2010 Directors Plan, aggregating</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62,409,390</w:t>
            </w:r>
          </w:p>
        </w:tc>
        <w:tc>
          <w:tcPr>
            <w:tcW w:w="100" w:type="dxa"/>
            <w:vAlign w:val="bottom"/>
          </w:tcPr>
          <w:p>
            <w:pPr>
              <w:spacing w:after="0"/>
              <w:rPr>
                <w:sz w:val="20"/>
                <w:szCs w:val="20"/>
                <w:color w:val="auto"/>
              </w:rPr>
            </w:pPr>
          </w:p>
        </w:tc>
      </w:tr>
      <w:tr>
        <w:trPr>
          <w:trHeight w:val="224"/>
        </w:trPr>
        <w:tc>
          <w:tcPr>
            <w:tcW w:w="10400" w:type="dxa"/>
            <w:vAlign w:val="bottom"/>
          </w:tcPr>
          <w:p>
            <w:pPr>
              <w:ind w:left="64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$90,809,755</w:t>
            </w:r>
          </w:p>
        </w:tc>
        <w:tc>
          <w:tcPr>
            <w:tcW w:w="100" w:type="dxa"/>
            <w:vAlign w:val="bottom"/>
          </w:tcPr>
          <w:p>
            <w:pPr>
              <w:spacing w:after="0"/>
              <w:rPr>
                <w:sz w:val="19"/>
                <w:szCs w:val="19"/>
                <w:color w:val="auto"/>
              </w:rPr>
            </w:pPr>
          </w:p>
        </w:tc>
      </w:tr>
      <w:tr>
        <w:trPr>
          <w:trHeight w:val="236"/>
        </w:trPr>
        <w:tc>
          <w:tcPr>
            <w:tcW w:w="10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631"/>
        </w:trPr>
        <w:tc>
          <w:tcPr>
            <w:tcW w:w="104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03"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Information specified in Part I of Form S-8 (Items 1 and 2) will be sent or given to plan participants as specified by Rule 428(b)(1) under the Securities Act of 1933.</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documents filed by Brady Corporation (the “Registrant”) with the Securities and Exchange Commission (the “Commission”)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Section 13 or 15(d) of the Securities Exchange Act of 1934, as amended (the “Exchange Act”), are incorporated herein by reference by the Registrant:</w:t>
      </w:r>
    </w:p>
    <w:p>
      <w:pPr>
        <w:spacing w:after="0" w:line="11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Annual Report on Form 10-K of the Registrant for the year ended July 31, 2009.</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Annual Report on Form 10-K/A of the Registrant for the year ended July 31, 2009.</w:t>
      </w:r>
    </w:p>
    <w:p>
      <w:pPr>
        <w:spacing w:after="0" w:line="130" w:lineRule="exact"/>
        <w:rPr>
          <w:rFonts w:ascii="Arial" w:cs="Arial" w:eastAsia="Arial" w:hAnsi="Arial"/>
          <w:sz w:val="18"/>
          <w:szCs w:val="18"/>
          <w:b w:val="1"/>
          <w:bCs w:val="1"/>
          <w:color w:val="auto"/>
        </w:rPr>
      </w:pPr>
    </w:p>
    <w:p>
      <w:pPr>
        <w:ind w:left="900" w:right="120" w:hanging="446"/>
        <w:spacing w:after="0" w:line="277"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Current Report on Form 8-K of the Registrant filed September 11, 2009 (incorporated only with respect to the information disclosed pursuant to Item 8.01).</w:t>
      </w:r>
    </w:p>
    <w:p>
      <w:pPr>
        <w:spacing w:after="0" w:line="75" w:lineRule="exact"/>
        <w:rPr>
          <w:rFonts w:ascii="Arial" w:cs="Arial" w:eastAsia="Arial" w:hAnsi="Arial"/>
          <w:sz w:val="18"/>
          <w:szCs w:val="18"/>
          <w:b w:val="1"/>
          <w:bCs w:val="1"/>
          <w:color w:val="auto"/>
        </w:rPr>
      </w:pPr>
    </w:p>
    <w:p>
      <w:pPr>
        <w:ind w:left="900" w:hanging="446"/>
        <w:spacing w:after="0" w:line="257"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That portion of the Registrant’s Registration Statement on Form 8-A that describes the Registrant’s Class A Nonvoting Common Stock in Item 1 thereof, which incorporates the description from the description of Registrant’s Capital Stock contained in the Registrant’s Registration Statement on Form S-3 (Registration Statement No. 333-04155), as updated by the description of Registrant’s Capital Stock contained in the Registrant’s Registration Statement on Form S-3/A (Registration Statement No. 333-128023), and including any future amendment or report filed for the purpose of updating such description.</w:t>
      </w:r>
    </w:p>
    <w:p>
      <w:pPr>
        <w:spacing w:after="0" w:line="80" w:lineRule="exact"/>
        <w:rPr>
          <w:sz w:val="20"/>
          <w:szCs w:val="20"/>
          <w:color w:val="auto"/>
        </w:rPr>
      </w:pPr>
    </w:p>
    <w:p>
      <w:pPr>
        <w:jc w:val="both"/>
        <w:ind w:right="480" w:firstLine="215"/>
        <w:spacing w:after="0" w:line="286" w:lineRule="auto"/>
        <w:rPr>
          <w:sz w:val="20"/>
          <w:szCs w:val="20"/>
          <w:color w:val="auto"/>
        </w:rPr>
      </w:pPr>
      <w:r>
        <w:rPr>
          <w:rFonts w:ascii="Arial" w:cs="Arial" w:eastAsia="Arial" w:hAnsi="Arial"/>
          <w:sz w:val="17"/>
          <w:szCs w:val="17"/>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the filing of such documents.</w:t>
      </w:r>
    </w:p>
    <w:p>
      <w:pPr>
        <w:spacing w:after="0" w:line="57" w:lineRule="exact"/>
        <w:rPr>
          <w:sz w:val="20"/>
          <w:szCs w:val="20"/>
          <w:color w:val="auto"/>
        </w:rPr>
      </w:pPr>
    </w:p>
    <w:p>
      <w:pPr>
        <w:jc w:val="both"/>
        <w:ind w:right="140" w:firstLine="215"/>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hereof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 See fourth bullet point in Item 3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legality of the securities registered hereunder will be passed upon for the Registrant by Quarles &amp; Brady LLP, the Registrant’s legal counsel. The Company’s Secretary, Hoyt R. Stastney, is a partner of Quarles &amp; Brady LLP.</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The Registrant is incorporated under the Wisconsin Business Corporation Law (“WBCL”). Under Section 180.0851(1) of the WBCL, the Registrant is required to indemnify a director or officer, to the extent such person is successful on the merits or otherwise in the defense of a proceeding, for all reasonable expenses incurred in the proceeding if such person was a party because he or she was a director or officer of the Registrant. In all other cases, the Registrant is required by Section 180.0851(2) of the WBCL to indemnify a director or officer against liability incurred in a proceeding to which such person was a party because he or she was an officer or director of the Registrant, unless it is determined that he or she breached or failed to perform a duty owed to the Registrant and the breach or failure to perform constitutes: (i) a willful failure to deal fairly with the Registrant or its shareholders in connection with a matter in which the director or officer has a material conflict of interest; (ii) a violation of criminal law, unless the director or officer had reasonable cause to believe his or her conduct was lawful or no reasonable cause to believe his or her conduct was unlawful; (iii) a transaction from which the director or officer derived an improper personal profit; or (iv) willful misconduct. Section 180.0858(1) of the WBCL provides that, subject to certain limitations, the mandatory indemnification provisions do not preclude any additional right to indemnification or allowance of expenses that a director or officer may have under the Registrant’s articles of incorporation, bylaws, a written agreement or a resolution of the board of directors or shareholders.</w:t>
      </w:r>
    </w:p>
    <w:p>
      <w:pPr>
        <w:spacing w:after="0" w:line="65"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Section 180.0859 of the WBCL provides that it is the public policy of the State of Wisconsin to require or permit indemnification, allowance of expenses and insurance to the extent required or permitted under Sections 180.0850 to 180.0858 of the WBCL for any liability incurred in connection with a proceeding involving a federal or state statute, rule or regulation regulating the offer, sale or purchase of securities.</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Section 180.0828 of the WBCL provides that, with certain exceptions, a director is not liable to a corporation, its shareholders, or any person asserting rights on behalf of the corporation or its shareholders, for damages, settlements, fees, fines, penalties or other monetary liabilities arising from a breach of, or failure to perform, any duty resulting solely from his or her status as a director, unless the person asserting liability proves that the breach or failure to perform constitutes any of the four exceptions to mandatory indemnification under Section 180.0851(2) referred to above.</w:t>
      </w:r>
    </w:p>
    <w:p>
      <w:pPr>
        <w:spacing w:after="0" w:line="6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Under Section 180.0833 of the WBCL, directors of the Registrant against whom claims are asserted with respect to the declaration of an improper dividend or other distribution to shareholders to which the directors assented are entitled to contribution from other directors who assented to such distribution and from shareholders who knowingly accepted the improper distribution, as provided therein.</w:t>
      </w:r>
    </w:p>
    <w:p>
      <w:pPr>
        <w:spacing w:after="0" w:line="73" w:lineRule="exact"/>
        <w:rPr>
          <w:sz w:val="20"/>
          <w:szCs w:val="20"/>
          <w:color w:val="auto"/>
        </w:rPr>
      </w:pPr>
    </w:p>
    <w:p>
      <w:pPr>
        <w:jc w:val="both"/>
        <w:ind w:right="180" w:firstLine="222"/>
        <w:spacing w:after="0" w:line="259" w:lineRule="auto"/>
        <w:rPr>
          <w:sz w:val="20"/>
          <w:szCs w:val="20"/>
          <w:color w:val="auto"/>
        </w:rPr>
      </w:pPr>
      <w:r>
        <w:rPr>
          <w:rFonts w:ascii="Arial" w:cs="Arial" w:eastAsia="Arial" w:hAnsi="Arial"/>
          <w:sz w:val="18"/>
          <w:szCs w:val="18"/>
          <w:color w:val="auto"/>
        </w:rPr>
        <w:t>The Registrant’s Bylaws contain provisions that generally parallel the indemnification provisions of the WBCL and cover certain procedural matters not dealt with in the WBCL. Directors and officers of the Registrant are also covered by directors’ and officers’ liability insurance under which they are insured (subject to certain exceptions and limitations specified in the policy) against expenses and liabilities arising out of proceedings to which they are parties by reason of being or having been directors or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Index following the Signatures page in this registration statement, which Exhibit Index is incorporated herein by reference.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820" w:hanging="448"/>
        <w:spacing w:after="0"/>
        <w:tabs>
          <w:tab w:leader="none" w:pos="18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820" w:right="40" w:hanging="448"/>
        <w:spacing w:after="0" w:line="272" w:lineRule="auto"/>
        <w:tabs>
          <w:tab w:leader="none" w:pos="1820" w:val="left"/>
        </w:tabs>
        <w:numPr>
          <w:ilvl w:val="2"/>
          <w:numId w:val="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color w:val="auto"/>
        </w:rPr>
      </w:pPr>
    </w:p>
    <w:p>
      <w:pPr>
        <w:ind w:left="1820" w:right="140" w:hanging="448"/>
        <w:spacing w:after="0" w:line="277" w:lineRule="auto"/>
        <w:tabs>
          <w:tab w:leader="none" w:pos="18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of this section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73" w:lineRule="exact"/>
        <w:rPr>
          <w:sz w:val="20"/>
          <w:szCs w:val="20"/>
          <w:color w:val="auto"/>
        </w:rPr>
      </w:pPr>
    </w:p>
    <w:p>
      <w:pPr>
        <w:ind w:left="1360" w:right="20" w:hanging="447"/>
        <w:spacing w:after="0" w:line="264"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360" w:right="340" w:hanging="447"/>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360" w:hanging="447"/>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1820" w:hanging="448"/>
        <w:spacing w:after="0"/>
        <w:tabs>
          <w:tab w:leader="none" w:pos="1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rFonts w:ascii="Arial" w:cs="Arial" w:eastAsia="Arial" w:hAnsi="Arial"/>
          <w:sz w:val="18"/>
          <w:szCs w:val="18"/>
          <w:color w:val="auto"/>
        </w:rPr>
      </w:pPr>
    </w:p>
    <w:p>
      <w:pPr>
        <w:ind w:left="1840" w:right="40" w:firstLine="219"/>
        <w:spacing w:after="0" w:line="277" w:lineRule="auto"/>
        <w:tabs>
          <w:tab w:leader="none" w:pos="23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1840" w:right="20" w:firstLine="219"/>
        <w:spacing w:after="0" w:line="264" w:lineRule="auto"/>
        <w:tabs>
          <w:tab w:leader="none" w:pos="235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3"/>
          <w:numId w:val="1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5" w:name="page6"/>
    <w:bookmarkEnd w:id="5"/>
    <w:p>
      <w:pPr>
        <w:ind w:left="1587"/>
        <w:spacing w:after="0" w:line="270" w:lineRule="auto"/>
        <w:rPr>
          <w:sz w:val="20"/>
          <w:szCs w:val="20"/>
          <w:color w:val="auto"/>
        </w:rPr>
      </w:pPr>
      <w:r>
        <w:rPr>
          <w:rFonts w:ascii="Arial" w:cs="Arial" w:eastAsia="Arial" w:hAnsi="Arial"/>
          <w:sz w:val="17"/>
          <w:szCs w:val="17"/>
          <w:color w:val="auto"/>
        </w:rPr>
        <w:t xml:space="preserve">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w:t>
      </w:r>
      <w:r>
        <w:rPr>
          <w:rFonts w:ascii="Arial" w:cs="Arial" w:eastAsia="Arial" w:hAnsi="Arial"/>
          <w:sz w:val="17"/>
          <w:szCs w:val="17"/>
          <w:i w:val="1"/>
          <w:iCs w:val="1"/>
          <w:color w:val="auto"/>
        </w:rPr>
        <w:t xml:space="preserve"> </w:t>
      </w:r>
      <w:r>
        <w:rPr>
          <w:rFonts w:ascii="Arial" w:cs="Arial" w:eastAsia="Arial" w:hAnsi="Arial"/>
          <w:sz w:val="17"/>
          <w:szCs w:val="17"/>
          <w:color w:val="auto"/>
        </w:rPr>
        <w:t>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70" w:lineRule="exact"/>
        <w:rPr>
          <w:sz w:val="20"/>
          <w:szCs w:val="20"/>
          <w:color w:val="auto"/>
        </w:rPr>
      </w:pPr>
    </w:p>
    <w:p>
      <w:pPr>
        <w:ind w:left="1587" w:right="20" w:hanging="448"/>
        <w:spacing w:after="0" w:line="271" w:lineRule="auto"/>
        <w:tabs>
          <w:tab w:leader="none" w:pos="1587" w:val="left"/>
        </w:tabs>
        <w:numPr>
          <w:ilvl w:val="2"/>
          <w:numId w:val="11"/>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7"/>
          <w:szCs w:val="17"/>
          <w:color w:val="auto"/>
        </w:rPr>
      </w:pPr>
    </w:p>
    <w:p>
      <w:pPr>
        <w:ind w:left="1127" w:right="180" w:hanging="447"/>
        <w:spacing w:after="0" w:line="277" w:lineRule="auto"/>
        <w:tabs>
          <w:tab w:leader="none" w:pos="11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75" w:lineRule="exact"/>
        <w:rPr>
          <w:rFonts w:ascii="Arial" w:cs="Arial" w:eastAsia="Arial" w:hAnsi="Arial"/>
          <w:sz w:val="18"/>
          <w:szCs w:val="18"/>
          <w:color w:val="auto"/>
        </w:rPr>
      </w:pPr>
    </w:p>
    <w:p>
      <w:pPr>
        <w:ind w:left="1127" w:right="280"/>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8" w:lineRule="exact"/>
        <w:rPr>
          <w:rFonts w:ascii="Arial" w:cs="Arial" w:eastAsia="Arial" w:hAnsi="Arial"/>
          <w:sz w:val="18"/>
          <w:szCs w:val="18"/>
          <w:color w:val="auto"/>
        </w:rPr>
      </w:pPr>
    </w:p>
    <w:p>
      <w:pPr>
        <w:ind w:left="1587" w:right="480" w:hanging="448"/>
        <w:spacing w:after="0" w:line="277" w:lineRule="auto"/>
        <w:tabs>
          <w:tab w:leader="none" w:pos="1587"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87" w:right="140" w:hanging="448"/>
        <w:spacing w:after="0" w:line="277" w:lineRule="auto"/>
        <w:tabs>
          <w:tab w:leader="none" w:pos="1587"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587" w:right="500" w:hanging="448"/>
        <w:spacing w:after="0" w:line="277" w:lineRule="auto"/>
        <w:tabs>
          <w:tab w:leader="none" w:pos="1587"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87" w:hanging="448"/>
        <w:spacing w:after="0"/>
        <w:tabs>
          <w:tab w:leader="none" w:pos="1587"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233" w:right="580" w:firstLine="233"/>
        <w:spacing w:after="0" w:line="277" w:lineRule="auto"/>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w:t>
      </w:r>
    </w:p>
    <w:p>
      <w:pPr>
        <w:spacing w:after="0" w:line="143" w:lineRule="exact"/>
        <w:rPr>
          <w:rFonts w:ascii="Arial" w:cs="Arial" w:eastAsia="Arial" w:hAnsi="Arial"/>
          <w:sz w:val="18"/>
          <w:szCs w:val="18"/>
          <w:color w:val="auto"/>
        </w:rPr>
      </w:pPr>
    </w:p>
    <w:p>
      <w:pPr>
        <w:ind w:left="5427" w:hanging="96"/>
        <w:spacing w:after="0"/>
        <w:tabs>
          <w:tab w:leader="none" w:pos="5427" w:val="left"/>
        </w:tabs>
        <w:numPr>
          <w:ilvl w:val="3"/>
          <w:numId w:val="1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6" w:name="page7"/>
    <w:bookmarkEnd w:id="6"/>
    <w:p>
      <w:pPr>
        <w:ind w:right="100"/>
        <w:spacing w:after="0" w:line="312" w:lineRule="auto"/>
        <w:rPr>
          <w:sz w:val="20"/>
          <w:szCs w:val="20"/>
          <w:color w:val="auto"/>
        </w:rPr>
      </w:pPr>
      <w:r>
        <w:rPr>
          <w:rFonts w:ascii="Arial" w:cs="Arial" w:eastAsia="Arial" w:hAnsi="Arial"/>
          <w:sz w:val="16"/>
          <w:szCs w:val="16"/>
          <w:color w:val="auto"/>
        </w:rPr>
        <w:t>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 Reference is made to the indemnification provisions described in Item 6 of this registration statement.</w:t>
      </w:r>
    </w:p>
    <w:p>
      <w:pPr>
        <w:spacing w:after="0" w:line="117"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October 16, 2009.</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Thomas J. Felmer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Frank M. Jaehnert, Thomas J. Felmer, and Hoyt R. Stastney,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7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ind w:left="2500"/>
              <w:spacing w:after="0"/>
              <w:rPr>
                <w:sz w:val="20"/>
                <w:szCs w:val="20"/>
                <w:color w:val="auto"/>
              </w:rPr>
            </w:pPr>
            <w:r>
              <w:rPr>
                <w:rFonts w:ascii="Arial" w:cs="Arial" w:eastAsia="Arial" w:hAnsi="Arial"/>
                <w:sz w:val="14"/>
                <w:szCs w:val="14"/>
                <w:b w:val="1"/>
                <w:bCs w:val="1"/>
                <w:color w:val="auto"/>
              </w:rPr>
              <w:t>Signature</w:t>
            </w:r>
          </w:p>
        </w:tc>
        <w:tc>
          <w:tcPr>
            <w:tcW w:w="1260" w:type="dxa"/>
            <w:vAlign w:val="bottom"/>
          </w:tcPr>
          <w:p>
            <w:pPr>
              <w:spacing w:after="0"/>
              <w:rPr>
                <w:sz w:val="14"/>
                <w:szCs w:val="14"/>
                <w:color w:val="auto"/>
              </w:rPr>
            </w:pPr>
          </w:p>
        </w:tc>
        <w:tc>
          <w:tcPr>
            <w:tcW w:w="5820" w:type="dxa"/>
            <w:vAlign w:val="bottom"/>
          </w:tcPr>
          <w:p>
            <w:pPr>
              <w:ind w:left="1800"/>
              <w:spacing w:after="0"/>
              <w:rPr>
                <w:sz w:val="20"/>
                <w:szCs w:val="20"/>
                <w:color w:val="auto"/>
              </w:rPr>
            </w:pPr>
            <w:r>
              <w:rPr>
                <w:rFonts w:ascii="Arial" w:cs="Arial" w:eastAsia="Arial" w:hAnsi="Arial"/>
                <w:sz w:val="14"/>
                <w:szCs w:val="14"/>
                <w:b w:val="1"/>
                <w:bCs w:val="1"/>
                <w:color w:val="auto"/>
              </w:rPr>
              <w:t>Title</w:t>
            </w:r>
          </w:p>
        </w:tc>
      </w:tr>
      <w:tr>
        <w:trPr>
          <w:trHeight w:val="230"/>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1260" w:type="dxa"/>
            <w:vAlign w:val="bottom"/>
            <w:tcBorders>
              <w:bottom w:val="single" w:sz="8" w:color="auto"/>
            </w:tcBorders>
          </w:tcPr>
          <w:p>
            <w:pPr>
              <w:spacing w:after="0"/>
              <w:rPr>
                <w:sz w:val="20"/>
                <w:szCs w:val="20"/>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President and Chief Executive Officer; 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Frank M. Jaehnert</w:t>
            </w:r>
          </w:p>
        </w:tc>
        <w:tc>
          <w:tcPr>
            <w:tcW w:w="1260" w:type="dxa"/>
            <w:vAlign w:val="bottom"/>
          </w:tcPr>
          <w:p>
            <w:pPr>
              <w:spacing w:after="0"/>
              <w:rPr>
                <w:sz w:val="19"/>
                <w:szCs w:val="19"/>
                <w:color w:val="auto"/>
              </w:rPr>
            </w:pPr>
          </w:p>
        </w:tc>
        <w:tc>
          <w:tcPr>
            <w:tcW w:w="582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126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Thomas J. Felmer</w:t>
            </w:r>
          </w:p>
        </w:tc>
        <w:tc>
          <w:tcPr>
            <w:tcW w:w="1260" w:type="dxa"/>
            <w:vAlign w:val="bottom"/>
          </w:tcPr>
          <w:p>
            <w:pPr>
              <w:spacing w:after="0"/>
              <w:rPr>
                <w:sz w:val="19"/>
                <w:szCs w:val="19"/>
                <w:color w:val="auto"/>
              </w:rPr>
            </w:pPr>
          </w:p>
        </w:tc>
        <w:tc>
          <w:tcPr>
            <w:tcW w:w="582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43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M. Johnson</w:t>
            </w:r>
          </w:p>
        </w:tc>
        <w:tc>
          <w:tcPr>
            <w:tcW w:w="126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Vice President and Chief Accounting Officer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Kathleen M. Johnson</w:t>
            </w:r>
          </w:p>
        </w:tc>
        <w:tc>
          <w:tcPr>
            <w:tcW w:w="1260" w:type="dxa"/>
            <w:vAlign w:val="bottom"/>
          </w:tcPr>
          <w:p>
            <w:pPr>
              <w:spacing w:after="0"/>
              <w:rPr>
                <w:sz w:val="19"/>
                <w:szCs w:val="19"/>
                <w:color w:val="auto"/>
              </w:rPr>
            </w:pPr>
          </w:p>
        </w:tc>
        <w:tc>
          <w:tcPr>
            <w:tcW w:w="582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r>
      <w:tr>
        <w:trPr>
          <w:trHeight w:val="43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C. Richardson</w:t>
            </w:r>
          </w:p>
        </w:tc>
        <w:tc>
          <w:tcPr>
            <w:tcW w:w="126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Bradley C. Richardson</w:t>
            </w:r>
          </w:p>
        </w:tc>
        <w:tc>
          <w:tcPr>
            <w:tcW w:w="12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Bemis</w:t>
            </w:r>
          </w:p>
        </w:tc>
        <w:tc>
          <w:tcPr>
            <w:tcW w:w="126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Richard A. Bemis</w:t>
            </w:r>
          </w:p>
        </w:tc>
        <w:tc>
          <w:tcPr>
            <w:tcW w:w="12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C. Buchanan</w:t>
            </w:r>
          </w:p>
        </w:tc>
        <w:tc>
          <w:tcPr>
            <w:tcW w:w="126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Robert C. Buchanan</w:t>
            </w:r>
          </w:p>
        </w:tc>
        <w:tc>
          <w:tcPr>
            <w:tcW w:w="12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 W. Galbato</w:t>
            </w:r>
          </w:p>
        </w:tc>
        <w:tc>
          <w:tcPr>
            <w:tcW w:w="126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Chan W. Galbato</w:t>
            </w:r>
          </w:p>
        </w:tc>
        <w:tc>
          <w:tcPr>
            <w:tcW w:w="12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W. Harris</w:t>
            </w:r>
          </w:p>
        </w:tc>
        <w:tc>
          <w:tcPr>
            <w:tcW w:w="126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Frank W. Harris</w:t>
            </w:r>
          </w:p>
        </w:tc>
        <w:tc>
          <w:tcPr>
            <w:tcW w:w="126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04"/>
        </w:trPr>
        <w:tc>
          <w:tcPr>
            <w:tcW w:w="4340" w:type="dxa"/>
            <w:vAlign w:val="bottom"/>
          </w:tcPr>
          <w:p>
            <w:pPr>
              <w:spacing w:after="0"/>
              <w:rPr>
                <w:sz w:val="24"/>
                <w:szCs w:val="24"/>
                <w:color w:val="auto"/>
              </w:rPr>
            </w:pPr>
          </w:p>
        </w:tc>
        <w:tc>
          <w:tcPr>
            <w:tcW w:w="7080" w:type="dxa"/>
            <w:vAlign w:val="bottom"/>
            <w:gridSpan w:val="2"/>
          </w:tcPr>
          <w:p>
            <w:pPr>
              <w:ind w:left="1240"/>
              <w:spacing w:after="0"/>
              <w:rPr>
                <w:sz w:val="20"/>
                <w:szCs w:val="20"/>
                <w:color w:val="auto"/>
              </w:rPr>
            </w:pPr>
            <w:r>
              <w:rPr>
                <w:rFonts w:ascii="Arial" w:cs="Arial" w:eastAsia="Arial" w:hAnsi="Arial"/>
                <w:sz w:val="18"/>
                <w:szCs w:val="18"/>
                <w:color w:val="auto"/>
              </w:rPr>
              <w:t>S-1</w:t>
            </w:r>
          </w:p>
        </w:tc>
      </w:tr>
      <w:tr>
        <w:trPr>
          <w:trHeight w:val="226"/>
        </w:trPr>
        <w:tc>
          <w:tcPr>
            <w:tcW w:w="43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20" w:type="dxa"/>
            <w:vAlign w:val="bottom"/>
          </w:tcPr>
          <w:p>
            <w:pPr>
              <w:ind w:left="440"/>
              <w:spacing w:after="0"/>
              <w:rPr>
                <w:sz w:val="20"/>
                <w:szCs w:val="20"/>
                <w:color w:val="auto"/>
              </w:rPr>
            </w:pPr>
            <w:r>
              <w:rPr>
                <w:rFonts w:ascii="Arial" w:cs="Arial" w:eastAsia="Arial" w:hAnsi="Arial"/>
                <w:sz w:val="14"/>
                <w:szCs w:val="14"/>
                <w:b w:val="1"/>
                <w:bCs w:val="1"/>
                <w:color w:val="auto"/>
              </w:rPr>
              <w:t>Signature</w:t>
            </w:r>
          </w:p>
        </w:tc>
        <w:tc>
          <w:tcPr>
            <w:tcW w:w="320" w:type="dxa"/>
            <w:vAlign w:val="bottom"/>
          </w:tcPr>
          <w:p>
            <w:pPr>
              <w:spacing w:after="0"/>
              <w:rPr>
                <w:sz w:val="14"/>
                <w:szCs w:val="14"/>
                <w:color w:val="auto"/>
              </w:rPr>
            </w:pPr>
          </w:p>
        </w:tc>
        <w:tc>
          <w:tcPr>
            <w:tcW w:w="5820" w:type="dxa"/>
            <w:vAlign w:val="bottom"/>
          </w:tcPr>
          <w:p>
            <w:pPr>
              <w:ind w:left="2880"/>
              <w:spacing w:after="0"/>
              <w:rPr>
                <w:sz w:val="20"/>
                <w:szCs w:val="20"/>
                <w:color w:val="auto"/>
              </w:rPr>
            </w:pPr>
            <w:r>
              <w:rPr>
                <w:rFonts w:ascii="Arial" w:cs="Arial" w:eastAsia="Arial" w:hAnsi="Arial"/>
                <w:sz w:val="14"/>
                <w:szCs w:val="14"/>
                <w:b w:val="1"/>
                <w:bCs w:val="1"/>
                <w:color w:val="auto"/>
              </w:rPr>
              <w:t>Title</w:t>
            </w:r>
          </w:p>
        </w:tc>
      </w:tr>
      <w:tr>
        <w:trPr>
          <w:trHeight w:val="230"/>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Frank R. Jarc</w:t>
            </w:r>
          </w:p>
        </w:tc>
        <w:tc>
          <w:tcPr>
            <w:tcW w:w="320" w:type="dxa"/>
            <w:vAlign w:val="bottom"/>
            <w:tcBorders>
              <w:bottom w:val="single" w:sz="8" w:color="auto"/>
            </w:tcBorders>
          </w:tcPr>
          <w:p>
            <w:pPr>
              <w:spacing w:after="0"/>
              <w:rPr>
                <w:sz w:val="20"/>
                <w:szCs w:val="20"/>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280" w:type="dxa"/>
            <w:vAlign w:val="bottom"/>
            <w:gridSpan w:val="3"/>
          </w:tcPr>
          <w:p>
            <w:pPr>
              <w:spacing w:after="0"/>
              <w:rPr>
                <w:sz w:val="20"/>
                <w:szCs w:val="20"/>
                <w:color w:val="auto"/>
              </w:rPr>
            </w:pPr>
            <w:r>
              <w:rPr>
                <w:rFonts w:ascii="Arial" w:cs="Arial" w:eastAsia="Arial" w:hAnsi="Arial"/>
                <w:sz w:val="18"/>
                <w:szCs w:val="18"/>
                <w:color w:val="auto"/>
              </w:rPr>
              <w:t>Frank R. Jarc</w:t>
            </w:r>
          </w:p>
        </w:tc>
        <w:tc>
          <w:tcPr>
            <w:tcW w:w="3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Conrad G. Goodkind</w:t>
            </w:r>
          </w:p>
        </w:tc>
        <w:tc>
          <w:tcPr>
            <w:tcW w:w="32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280" w:type="dxa"/>
            <w:vAlign w:val="bottom"/>
            <w:gridSpan w:val="3"/>
          </w:tcPr>
          <w:p>
            <w:pPr>
              <w:spacing w:after="0"/>
              <w:rPr>
                <w:sz w:val="20"/>
                <w:szCs w:val="20"/>
                <w:color w:val="auto"/>
              </w:rPr>
            </w:pPr>
            <w:r>
              <w:rPr>
                <w:rFonts w:ascii="Arial" w:cs="Arial" w:eastAsia="Arial" w:hAnsi="Arial"/>
                <w:sz w:val="18"/>
                <w:szCs w:val="18"/>
                <w:color w:val="auto"/>
              </w:rPr>
              <w:t>Conrad G. Goodkind</w:t>
            </w:r>
          </w:p>
        </w:tc>
        <w:tc>
          <w:tcPr>
            <w:tcW w:w="3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Gary E. Nei</w:t>
            </w:r>
          </w:p>
        </w:tc>
        <w:tc>
          <w:tcPr>
            <w:tcW w:w="32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280" w:type="dxa"/>
            <w:vAlign w:val="bottom"/>
            <w:gridSpan w:val="3"/>
          </w:tcPr>
          <w:p>
            <w:pPr>
              <w:spacing w:after="0"/>
              <w:rPr>
                <w:sz w:val="20"/>
                <w:szCs w:val="20"/>
                <w:color w:val="auto"/>
              </w:rPr>
            </w:pPr>
            <w:r>
              <w:rPr>
                <w:rFonts w:ascii="Arial" w:cs="Arial" w:eastAsia="Arial" w:hAnsi="Arial"/>
                <w:sz w:val="18"/>
                <w:szCs w:val="18"/>
                <w:color w:val="auto"/>
              </w:rPr>
              <w:t>Gary E. Nei</w:t>
            </w:r>
          </w:p>
        </w:tc>
        <w:tc>
          <w:tcPr>
            <w:tcW w:w="3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Patrick W. Allender</w:t>
            </w:r>
          </w:p>
        </w:tc>
        <w:tc>
          <w:tcPr>
            <w:tcW w:w="32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280" w:type="dxa"/>
            <w:vAlign w:val="bottom"/>
            <w:gridSpan w:val="3"/>
          </w:tcPr>
          <w:p>
            <w:pPr>
              <w:spacing w:after="0"/>
              <w:rPr>
                <w:sz w:val="20"/>
                <w:szCs w:val="20"/>
                <w:color w:val="auto"/>
              </w:rPr>
            </w:pPr>
            <w:r>
              <w:rPr>
                <w:rFonts w:ascii="Arial" w:cs="Arial" w:eastAsia="Arial" w:hAnsi="Arial"/>
                <w:sz w:val="18"/>
                <w:szCs w:val="18"/>
                <w:color w:val="auto"/>
              </w:rPr>
              <w:t>Patrick W. Allender</w:t>
            </w:r>
          </w:p>
        </w:tc>
        <w:tc>
          <w:tcPr>
            <w:tcW w:w="3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31"/>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Elizabeth P. Pungello</w:t>
            </w:r>
          </w:p>
        </w:tc>
        <w:tc>
          <w:tcPr>
            <w:tcW w:w="320" w:type="dxa"/>
            <w:vAlign w:val="bottom"/>
            <w:tcBorders>
              <w:bottom w:val="single" w:sz="8" w:color="auto"/>
            </w:tcBorders>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280" w:type="dxa"/>
            <w:vAlign w:val="bottom"/>
            <w:gridSpan w:val="3"/>
          </w:tcPr>
          <w:p>
            <w:pPr>
              <w:spacing w:after="0"/>
              <w:rPr>
                <w:sz w:val="20"/>
                <w:szCs w:val="20"/>
                <w:color w:val="auto"/>
              </w:rPr>
            </w:pPr>
            <w:r>
              <w:rPr>
                <w:rFonts w:ascii="Arial" w:cs="Arial" w:eastAsia="Arial" w:hAnsi="Arial"/>
                <w:sz w:val="18"/>
                <w:szCs w:val="18"/>
                <w:color w:val="auto"/>
              </w:rPr>
              <w:t>Elizabeth P. Pungello</w:t>
            </w:r>
          </w:p>
        </w:tc>
        <w:tc>
          <w:tcPr>
            <w:tcW w:w="3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296"/>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180"/>
              <w:spacing w:after="0"/>
              <w:rPr>
                <w:sz w:val="20"/>
                <w:szCs w:val="20"/>
                <w:color w:val="auto"/>
              </w:rPr>
            </w:pPr>
            <w:r>
              <w:rPr>
                <w:rFonts w:ascii="Arial" w:cs="Arial" w:eastAsia="Arial" w:hAnsi="Arial"/>
                <w:sz w:val="18"/>
                <w:szCs w:val="18"/>
                <w:color w:val="auto"/>
                <w:w w:val="95"/>
              </w:rPr>
              <w:t>Each of the above signatures is affixed as of October 16, 2009.</w:t>
            </w:r>
          </w:p>
        </w:tc>
        <w:tc>
          <w:tcPr>
            <w:tcW w:w="32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140" w:type="dxa"/>
            <w:vAlign w:val="bottom"/>
            <w:gridSpan w:val="2"/>
          </w:tcPr>
          <w:p>
            <w:pPr>
              <w:ind w:left="300"/>
              <w:spacing w:after="0"/>
              <w:rPr>
                <w:sz w:val="20"/>
                <w:szCs w:val="20"/>
                <w:color w:val="auto"/>
              </w:rPr>
            </w:pPr>
            <w:r>
              <w:rPr>
                <w:rFonts w:ascii="Arial" w:cs="Arial" w:eastAsia="Arial" w:hAnsi="Arial"/>
                <w:sz w:val="18"/>
                <w:szCs w:val="18"/>
                <w:color w:val="auto"/>
              </w:rPr>
              <w:t>S-2</w:t>
            </w: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001-14959)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S-8 REGISTRATION STATEMENT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420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4200" w:type="dxa"/>
            <w:vAlign w:val="bottom"/>
          </w:tcPr>
          <w:p>
            <w:pPr>
              <w:jc w:val="center"/>
              <w:spacing w:after="0"/>
              <w:rPr>
                <w:sz w:val="20"/>
                <w:szCs w:val="20"/>
                <w:color w:val="auto"/>
              </w:rPr>
            </w:pPr>
            <w:r>
              <w:rPr>
                <w:rFonts w:ascii="Arial" w:cs="Arial" w:eastAsia="Arial" w:hAnsi="Arial"/>
                <w:sz w:val="14"/>
                <w:szCs w:val="14"/>
                <w:b w:val="1"/>
                <w:bCs w:val="1"/>
                <w:color w:val="auto"/>
                <w:w w:val="96"/>
              </w:rPr>
              <w:t>Incorporated Herein</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4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by Reference To</w:t>
            </w:r>
          </w:p>
        </w:tc>
        <w:tc>
          <w:tcPr>
            <w:tcW w:w="12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411"/>
        </w:trPr>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Restated Articles of Incorporation of the Registrant</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w w:val="93"/>
              </w:rPr>
              <w:t>Exhibit 4.1 to the Registrant’s Registration Statement on</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Form S-3 (Registration No. 333-04155)</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Bylaws of the Registrant, as amended</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w w:val="92"/>
              </w:rPr>
              <w:t>Exhibit 3.2 to the Registrant’s Current Report on Form 8-</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K filed September 15, 2006</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Opinion of Quarles &amp; Brady LLP</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84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Consent of Deloitte &amp; Touche LLP</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84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Consent of Quarles &amp; Brady LLP</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Contained in Exhibit 5</w:t>
            </w:r>
          </w:p>
        </w:tc>
        <w:tc>
          <w:tcPr>
            <w:tcW w:w="0" w:type="dxa"/>
            <w:vAlign w:val="bottom"/>
          </w:tcPr>
          <w:p>
            <w:pPr>
              <w:spacing w:after="0"/>
              <w:rPr>
                <w:sz w:val="1"/>
                <w:szCs w:val="1"/>
                <w:color w:val="auto"/>
              </w:rPr>
            </w:pPr>
          </w:p>
        </w:tc>
      </w:tr>
      <w:tr>
        <w:trPr>
          <w:trHeight w:val="418"/>
        </w:trPr>
        <w:tc>
          <w:tcPr>
            <w:tcW w:w="8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Power of Attorney</w:t>
            </w: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Contained in Signatures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page to this Registration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Statement</w:t>
            </w:r>
          </w:p>
        </w:tc>
        <w:tc>
          <w:tcPr>
            <w:tcW w:w="0" w:type="dxa"/>
            <w:vAlign w:val="bottom"/>
          </w:tcPr>
          <w:p>
            <w:pPr>
              <w:spacing w:after="0"/>
              <w:rPr>
                <w:sz w:val="1"/>
                <w:szCs w:val="1"/>
                <w:color w:val="auto"/>
              </w:rPr>
            </w:pPr>
          </w:p>
        </w:tc>
      </w:tr>
      <w:tr>
        <w:trPr>
          <w:trHeight w:val="418"/>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Brady Corporation 2010 Omnibus</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Exhibit 10.28 to the Registrant’s Annual Report on</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Incentive Stock Plan</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Form 10-K filed September 28, 2009</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Brady Corporation 2010</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Exhibit 10.29 to the Registrant’s Annual Report on</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Non-Qualified Stock Option Plan For</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Form 10-K filed September 28, 2009</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Non-Employee Directors</w:t>
            </w:r>
          </w:p>
        </w:tc>
        <w:tc>
          <w:tcPr>
            <w:tcW w:w="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E-1</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Quarles &amp; Brady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411 East Wisconsin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 53202-4497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Phone: (414) 277-5000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(414)271-3552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www.quarles.com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16,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53201-0571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 Brady Corporation 2010 Omnibus Incentive Stock Plan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Brady Corporation 2010 Nonqualified Stock Option Plan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Non-employee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We are providing this opinion in connection with the Registration Statement of Brady Corporation (the “Company”) on Form S-8 (the “Registration Statement”) to be filed with the Securities and Exchange Commission under the Securities Act of 1933, as amended (the “Act”), with respect to the proposed issuance by the Company of up to 3,000,000 shares of Class A Nonvoting Common Stock, par value $.01 per share, of the Company pursuant to the Brady Corporation 2010 Omnibus Incentive Stock Plan and up to 200,000 shares of Class A Nonvoting Common Stock, par value $.01 per share, of the Company pursuant to the Brady Corporation 2010 Nonqualified Stock Option Plan for Non-employee Directors. The Brady Corporation 2010 Omnibus Incentive Stock Plan and the Brady Corporation 2010 Nonqualified Stock Option Plan for Non-employee Directors shall together be referred to herein as the “Plans” and the shares of Class A Nonvoting Common Stock, par value $.01 per share, of the Company issuable under the Plans shall be referred to herein as the “Shares.”</w:t>
      </w:r>
    </w:p>
    <w:p>
      <w:pPr>
        <w:spacing w:after="0" w:line="59"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have examined: (i) the Registration Statement; (ii) the Company’s Restated Articles of Incorporation and Bylaws, each as amended to date; (iii) the Plans; (iv) the corporate proceedings relating to the adoption and approval of the Plans and the authorization for the issuance of the Shares in accordance with the Plans; and (v) such other documents and records and such matters of law as we have deemed necessary in order to render this opinion. In giving such opinion, with respect to factual matters, we have relied upon certificates or representations made by duly authorized representatives of the Company and certificates of public officials.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the basis of the foregoing, we advise you that, in our opinion:</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is a corporation incorporated and validly existing under the laws of the State of Wisconsin.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left="660" w:hanging="436"/>
        <w:spacing w:after="0" w:line="27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Shares to be sold from time to time pursuant to the Plans which are original issuance or treasury shares, when issued as and for the consideration contemplated by the Registration Statement and the Plans, will be validly issued, fully paid and nonassessable by the Company, subject to the personal liability which may be imposed on shareholders by former Section 180.0622(2)(b) of the Wisconsin Business Corporation Law, as judicially interpreted, for debts incurred prior to June 14, 2006 (for debts incurred on or after such date, Section 180.0622(2)(b) has been repealed) owing to employees for services performed, but not exceeding six months service in any one case.</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Secretary, Hoyt R. Stastney, is a Partner of Quarles &amp; Brady LLP.</w:t>
      </w:r>
    </w:p>
    <w:p>
      <w:pPr>
        <w:spacing w:after="0" w:line="117" w:lineRule="exact"/>
        <w:rPr>
          <w:sz w:val="20"/>
          <w:szCs w:val="20"/>
          <w:color w:val="auto"/>
        </w:rPr>
      </w:pPr>
    </w:p>
    <w:p>
      <w:pPr>
        <w:ind w:right="320" w:firstLine="222"/>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our consent, we do not admit that we are “experts” within the meaning of Section 11 of the Act, or that we come within the category of persons whose consent is required by Section 7 of the Act.</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Quarles &amp; Brady LLP</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QUARLES &amp; BRADY LLP</w:t>
      </w:r>
    </w:p>
    <w:p>
      <w:pPr>
        <w:sectPr>
          <w:pgSz w:w="11900" w:h="16838" w:orient="portrait"/>
          <w:cols w:equalWidth="0" w:num="1">
            <w:col w:w="11420"/>
          </w:cols>
          <w:pgMar w:left="240" w:top="93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September 28, 2009, relating to the consolidated financial statements and financial statement schedule of Brady Corporation and the effectiveness of Brady Corporation’s internal control over financial reporting, appearing in the Annual Report on Form 10-K of Brady Corporation for the year ended July 31,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2"/>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0">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
      <w:numFmt w:val="bullet"/>
      <w:start w:val="1"/>
    </w:lvl>
  </w:abstractNum>
  <w:abstractNum w:abstractNumId="11">
    <w:nsid w:val="109CF92E"/>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lvl w:ilvl="3">
      <w:lvlJc w:val="left"/>
      <w:lvlText w:val="-"/>
      <w:numFmt w:val="bullet"/>
      <w:start w:val="1"/>
    </w:lvl>
  </w:abstractNum>
  <w:abstractNum w:abstractNumId="12">
    <w:nsid w:val="DED726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2019-12-10T06:06:20Z</dcterms:created>
  <dcterms:modified xsi:type="dcterms:W3CDTF">2019-12-10T06:06:20Z</dcterms:modified>
</cp:coreProperties>
</file>