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2814320</wp:posOffset>
            </wp:positionH>
            <wp:positionV relativeFrom="paragraph">
              <wp:posOffset>191135</wp:posOffset>
            </wp:positionV>
            <wp:extent cx="16097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9725" cy="7620"/>
                    </a:xfrm>
                    <a:prstGeom prst="rect">
                      <a:avLst/>
                    </a:prstGeom>
                    <a:noFill/>
                  </pic:spPr>
                </pic:pic>
              </a:graphicData>
            </a:graphic>
          </wp:anchor>
        </w:drawing>
      </w:r>
    </w:p>
    <w:p>
      <w:pPr>
        <w:spacing w:after="0" w:line="34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2814320</wp:posOffset>
            </wp:positionH>
            <wp:positionV relativeFrom="paragraph">
              <wp:posOffset>162560</wp:posOffset>
            </wp:positionV>
            <wp:extent cx="16097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9725" cy="7620"/>
                    </a:xfrm>
                    <a:prstGeom prst="rect">
                      <a:avLst/>
                    </a:prstGeom>
                    <a:noFill/>
                  </pic:spPr>
                </pic:pic>
              </a:graphicData>
            </a:graphic>
          </wp:anchor>
        </w:drawing>
      </w: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6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Securities Exchange Act of 1934</w:t>
      </w:r>
    </w:p>
    <w:p>
      <w:pPr>
        <w:spacing w:after="0" w:line="132"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Date of Report (Date of earliest event reported): September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2814320</wp:posOffset>
            </wp:positionH>
            <wp:positionV relativeFrom="paragraph">
              <wp:posOffset>197485</wp:posOffset>
            </wp:positionV>
            <wp:extent cx="16097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9725" cy="7620"/>
                    </a:xfrm>
                    <a:prstGeom prst="rect">
                      <a:avLst/>
                    </a:prstGeom>
                    <a:noFill/>
                  </pic:spPr>
                </pic:pic>
              </a:graphicData>
            </a:graphic>
          </wp:anchor>
        </w:drawing>
      </w:r>
    </w:p>
    <w:p>
      <w:pPr>
        <w:spacing w:after="0" w:line="349" w:lineRule="exact"/>
        <w:rPr>
          <w:sz w:val="24"/>
          <w:szCs w:val="24"/>
          <w:color w:val="auto"/>
        </w:rPr>
      </w:pPr>
    </w:p>
    <w:tbl>
      <w:tblPr>
        <w:tblLayout w:type="fixed"/>
        <w:tblInd w:w="2380" w:type="dxa"/>
        <w:tblCellMar>
          <w:top w:w="0" w:type="dxa"/>
          <w:left w:w="0" w:type="dxa"/>
          <w:bottom w:w="0" w:type="dxa"/>
          <w:right w:w="0" w:type="dxa"/>
        </w:tblCellMar>
      </w:tblPr>
      <w:tr>
        <w:trPr>
          <w:trHeight w:val="466"/>
        </w:trPr>
        <w:tc>
          <w:tcPr>
            <w:tcW w:w="980" w:type="dxa"/>
            <w:vAlign w:val="bottom"/>
          </w:tcPr>
          <w:p>
            <w:pPr>
              <w:spacing w:after="0"/>
              <w:rPr>
                <w:sz w:val="24"/>
                <w:szCs w:val="24"/>
                <w:color w:val="auto"/>
              </w:rPr>
            </w:pPr>
          </w:p>
        </w:tc>
        <w:tc>
          <w:tcPr>
            <w:tcW w:w="5800" w:type="dxa"/>
            <w:vAlign w:val="bottom"/>
            <w:gridSpan w:val="3"/>
          </w:tcPr>
          <w:p>
            <w:pPr>
              <w:jc w:val="center"/>
              <w:ind w:right="1056"/>
              <w:spacing w:after="0"/>
              <w:rPr>
                <w:sz w:val="20"/>
                <w:szCs w:val="20"/>
                <w:color w:val="auto"/>
              </w:rPr>
            </w:pPr>
            <w:r>
              <w:rPr>
                <w:rFonts w:ascii="Arial" w:cs="Arial" w:eastAsia="Arial" w:hAnsi="Arial"/>
                <w:sz w:val="38"/>
                <w:szCs w:val="38"/>
                <w:b w:val="1"/>
                <w:bCs w:val="1"/>
                <w:color w:val="auto"/>
              </w:rPr>
              <w:t>BRADY CORPORATION</w:t>
            </w:r>
          </w:p>
        </w:tc>
      </w:tr>
      <w:tr>
        <w:trPr>
          <w:trHeight w:val="209"/>
        </w:trPr>
        <w:tc>
          <w:tcPr>
            <w:tcW w:w="980" w:type="dxa"/>
            <w:vAlign w:val="bottom"/>
          </w:tcPr>
          <w:p>
            <w:pPr>
              <w:spacing w:after="0"/>
              <w:rPr>
                <w:sz w:val="18"/>
                <w:szCs w:val="18"/>
                <w:color w:val="auto"/>
              </w:rPr>
            </w:pPr>
          </w:p>
        </w:tc>
        <w:tc>
          <w:tcPr>
            <w:tcW w:w="580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8"/>
        </w:trPr>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00" w:type="dxa"/>
            <w:vAlign w:val="bottom"/>
          </w:tcPr>
          <w:p>
            <w:pPr>
              <w:spacing w:after="0"/>
              <w:rPr>
                <w:sz w:val="19"/>
                <w:szCs w:val="19"/>
                <w:color w:val="auto"/>
              </w:rPr>
            </w:pPr>
          </w:p>
        </w:tc>
      </w:tr>
      <w:tr>
        <w:trPr>
          <w:trHeight w:val="256"/>
        </w:trPr>
        <w:tc>
          <w:tcPr>
            <w:tcW w:w="9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720" w:type="dxa"/>
            <w:vAlign w:val="bottom"/>
            <w:gridSpan w:val="2"/>
          </w:tcPr>
          <w:p>
            <w:pPr>
              <w:jc w:val="center"/>
              <w:ind w:right="2136"/>
              <w:spacing w:after="0"/>
              <w:rPr>
                <w:sz w:val="20"/>
                <w:szCs w:val="20"/>
                <w:color w:val="auto"/>
              </w:rPr>
            </w:pPr>
            <w:r>
              <w:rPr>
                <w:rFonts w:ascii="Arial" w:cs="Arial" w:eastAsia="Arial" w:hAnsi="Arial"/>
                <w:sz w:val="16"/>
                <w:szCs w:val="16"/>
                <w:b w:val="1"/>
                <w:bCs w:val="1"/>
                <w:color w:val="auto"/>
                <w:w w:val="90"/>
              </w:rPr>
              <w:t>Commission File Number 1-14959</w:t>
            </w:r>
          </w:p>
        </w:tc>
      </w:tr>
      <w:tr>
        <w:trPr>
          <w:trHeight w:val="625"/>
        </w:trPr>
        <w:tc>
          <w:tcPr>
            <w:tcW w:w="980" w:type="dxa"/>
            <w:vAlign w:val="bottom"/>
          </w:tcPr>
          <w:p>
            <w:pPr>
              <w:jc w:val="center"/>
              <w:ind w:right="91"/>
              <w:spacing w:after="0"/>
              <w:rPr>
                <w:sz w:val="20"/>
                <w:szCs w:val="20"/>
                <w:color w:val="auto"/>
              </w:rPr>
            </w:pPr>
            <w:r>
              <w:rPr>
                <w:rFonts w:ascii="Arial" w:cs="Arial" w:eastAsia="Arial" w:hAnsi="Arial"/>
                <w:sz w:val="16"/>
                <w:szCs w:val="16"/>
                <w:b w:val="1"/>
                <w:bCs w:val="1"/>
                <w:color w:val="auto"/>
                <w:w w:val="87"/>
              </w:rPr>
              <w:t>Wisconsin</w:t>
            </w:r>
          </w:p>
        </w:tc>
        <w:tc>
          <w:tcPr>
            <w:tcW w:w="5800" w:type="dxa"/>
            <w:vAlign w:val="bottom"/>
            <w:gridSpan w:val="3"/>
          </w:tcPr>
          <w:p>
            <w:pPr>
              <w:jc w:val="center"/>
              <w:ind w:left="4721"/>
              <w:spacing w:after="0"/>
              <w:rPr>
                <w:sz w:val="20"/>
                <w:szCs w:val="20"/>
                <w:color w:val="auto"/>
              </w:rPr>
            </w:pPr>
            <w:r>
              <w:rPr>
                <w:rFonts w:ascii="Arial" w:cs="Arial" w:eastAsia="Arial" w:hAnsi="Arial"/>
                <w:sz w:val="16"/>
                <w:szCs w:val="16"/>
                <w:b w:val="1"/>
                <w:bCs w:val="1"/>
                <w:color w:val="auto"/>
                <w:w w:val="91"/>
              </w:rPr>
              <w:t>39-0971239</w:t>
            </w:r>
          </w:p>
        </w:tc>
      </w:tr>
      <w:tr>
        <w:trPr>
          <w:trHeight w:val="160"/>
        </w:trPr>
        <w:tc>
          <w:tcPr>
            <w:tcW w:w="980" w:type="dxa"/>
            <w:vAlign w:val="bottom"/>
          </w:tcPr>
          <w:p>
            <w:pPr>
              <w:jc w:val="center"/>
              <w:ind w:right="91"/>
              <w:spacing w:after="0"/>
              <w:rPr>
                <w:sz w:val="20"/>
                <w:szCs w:val="20"/>
                <w:color w:val="auto"/>
              </w:rPr>
            </w:pPr>
            <w:r>
              <w:rPr>
                <w:rFonts w:ascii="Arial" w:cs="Arial" w:eastAsia="Arial" w:hAnsi="Arial"/>
                <w:sz w:val="13"/>
                <w:szCs w:val="13"/>
                <w:b w:val="1"/>
                <w:bCs w:val="1"/>
                <w:color w:val="auto"/>
                <w:w w:val="88"/>
              </w:rPr>
              <w:t>(State of</w:t>
            </w:r>
          </w:p>
        </w:tc>
        <w:tc>
          <w:tcPr>
            <w:tcW w:w="10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0" w:type="dxa"/>
            <w:vAlign w:val="bottom"/>
          </w:tcPr>
          <w:p>
            <w:pPr>
              <w:jc w:val="center"/>
              <w:ind w:left="115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80" w:type="dxa"/>
            <w:vAlign w:val="bottom"/>
          </w:tcPr>
          <w:p>
            <w:pPr>
              <w:jc w:val="center"/>
              <w:ind w:right="111"/>
              <w:spacing w:after="0"/>
              <w:rPr>
                <w:sz w:val="20"/>
                <w:szCs w:val="20"/>
                <w:color w:val="auto"/>
              </w:rPr>
            </w:pPr>
            <w:r>
              <w:rPr>
                <w:rFonts w:ascii="Arial" w:cs="Arial" w:eastAsia="Arial" w:hAnsi="Arial"/>
                <w:sz w:val="13"/>
                <w:szCs w:val="13"/>
                <w:b w:val="1"/>
                <w:bCs w:val="1"/>
                <w:color w:val="auto"/>
                <w:w w:val="90"/>
              </w:rPr>
              <w:t>Incorporation)</w:t>
            </w:r>
          </w:p>
        </w:tc>
        <w:tc>
          <w:tcPr>
            <w:tcW w:w="10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0" w:type="dxa"/>
            <w:vAlign w:val="bottom"/>
          </w:tcPr>
          <w:p>
            <w:pPr>
              <w:jc w:val="center"/>
              <w:ind w:left="1136"/>
              <w:spacing w:after="0"/>
              <w:rPr>
                <w:sz w:val="20"/>
                <w:szCs w:val="20"/>
                <w:color w:val="auto"/>
              </w:rPr>
            </w:pPr>
            <w:r>
              <w:rPr>
                <w:rFonts w:ascii="Arial" w:cs="Arial" w:eastAsia="Arial" w:hAnsi="Arial"/>
                <w:sz w:val="13"/>
                <w:szCs w:val="13"/>
                <w:b w:val="1"/>
                <w:bCs w:val="1"/>
                <w:color w:val="auto"/>
                <w:w w:val="91"/>
              </w:rPr>
              <w:t>Identification No.)</w:t>
            </w:r>
          </w:p>
        </w:tc>
      </w:tr>
      <w:tr>
        <w:trPr>
          <w:trHeight w:val="192"/>
        </w:trPr>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720" w:type="dxa"/>
            <w:vAlign w:val="bottom"/>
            <w:gridSpan w:val="2"/>
          </w:tcPr>
          <w:p>
            <w:pPr>
              <w:jc w:val="center"/>
              <w:ind w:right="2136"/>
              <w:spacing w:after="0"/>
              <w:rPr>
                <w:sz w:val="20"/>
                <w:szCs w:val="20"/>
                <w:color w:val="auto"/>
              </w:rPr>
            </w:pPr>
            <w:r>
              <w:rPr>
                <w:rFonts w:ascii="Arial" w:cs="Arial" w:eastAsia="Arial" w:hAnsi="Arial"/>
                <w:sz w:val="16"/>
                <w:szCs w:val="16"/>
                <w:b w:val="1"/>
                <w:bCs w:val="1"/>
                <w:color w:val="auto"/>
                <w:w w:val="89"/>
              </w:rPr>
              <w:t>6555 West Good Hope Road</w:t>
            </w:r>
          </w:p>
        </w:tc>
      </w:tr>
      <w:tr>
        <w:trPr>
          <w:trHeight w:val="189"/>
        </w:trPr>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720" w:type="dxa"/>
            <w:vAlign w:val="bottom"/>
            <w:gridSpan w:val="2"/>
          </w:tcPr>
          <w:p>
            <w:pPr>
              <w:jc w:val="center"/>
              <w:ind w:right="215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6"/>
        </w:trPr>
        <w:tc>
          <w:tcPr>
            <w:tcW w:w="980" w:type="dxa"/>
            <w:vAlign w:val="bottom"/>
          </w:tcPr>
          <w:p>
            <w:pPr>
              <w:spacing w:after="0"/>
              <w:rPr>
                <w:sz w:val="14"/>
                <w:szCs w:val="14"/>
                <w:color w:val="auto"/>
              </w:rPr>
            </w:pPr>
          </w:p>
        </w:tc>
        <w:tc>
          <w:tcPr>
            <w:tcW w:w="5800" w:type="dxa"/>
            <w:vAlign w:val="bottom"/>
            <w:gridSpan w:val="3"/>
          </w:tcPr>
          <w:p>
            <w:pPr>
              <w:jc w:val="center"/>
              <w:ind w:right="1056"/>
              <w:spacing w:after="0"/>
              <w:rPr>
                <w:sz w:val="20"/>
                <w:szCs w:val="20"/>
                <w:color w:val="auto"/>
              </w:rPr>
            </w:pPr>
            <w:r>
              <w:rPr>
                <w:rFonts w:ascii="Arial" w:cs="Arial" w:eastAsia="Arial" w:hAnsi="Arial"/>
                <w:sz w:val="13"/>
                <w:szCs w:val="13"/>
                <w:b w:val="1"/>
                <w:bCs w:val="1"/>
                <w:color w:val="auto"/>
                <w:w w:val="88"/>
              </w:rPr>
              <w:t>(Address of Principal Executive Offices and Zip Code)</w:t>
            </w:r>
          </w:p>
        </w:tc>
      </w:tr>
      <w:tr>
        <w:trPr>
          <w:trHeight w:val="334"/>
        </w:trPr>
        <w:tc>
          <w:tcPr>
            <w:tcW w:w="980" w:type="dxa"/>
            <w:vAlign w:val="bottom"/>
          </w:tcPr>
          <w:p>
            <w:pPr>
              <w:spacing w:after="0"/>
              <w:rPr>
                <w:sz w:val="24"/>
                <w:szCs w:val="24"/>
                <w:color w:val="auto"/>
              </w:rPr>
            </w:pPr>
          </w:p>
        </w:tc>
        <w:tc>
          <w:tcPr>
            <w:tcW w:w="3600" w:type="dxa"/>
            <w:vAlign w:val="bottom"/>
            <w:gridSpan w:val="2"/>
          </w:tcPr>
          <w:p>
            <w:pPr>
              <w:jc w:val="center"/>
              <w:ind w:left="981"/>
              <w:spacing w:after="0"/>
              <w:rPr>
                <w:sz w:val="20"/>
                <w:szCs w:val="20"/>
                <w:color w:val="auto"/>
              </w:rPr>
            </w:pPr>
            <w:r>
              <w:rPr>
                <w:rFonts w:ascii="Arial" w:cs="Arial" w:eastAsia="Arial" w:hAnsi="Arial"/>
                <w:sz w:val="16"/>
                <w:szCs w:val="16"/>
                <w:b w:val="1"/>
                <w:bCs w:val="1"/>
                <w:color w:val="auto"/>
                <w:w w:val="91"/>
              </w:rPr>
              <w:t>(414) 358-6600</w:t>
            </w:r>
          </w:p>
        </w:tc>
        <w:tc>
          <w:tcPr>
            <w:tcW w:w="2200" w:type="dxa"/>
            <w:vAlign w:val="bottom"/>
          </w:tcPr>
          <w:p>
            <w:pPr>
              <w:spacing w:after="0"/>
              <w:rPr>
                <w:sz w:val="24"/>
                <w:szCs w:val="24"/>
                <w:color w:val="auto"/>
              </w:rPr>
            </w:pPr>
          </w:p>
        </w:tc>
      </w:tr>
      <w:tr>
        <w:trPr>
          <w:trHeight w:val="170"/>
        </w:trPr>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72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8"/>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2814320</wp:posOffset>
            </wp:positionH>
            <wp:positionV relativeFrom="paragraph">
              <wp:posOffset>158750</wp:posOffset>
            </wp:positionV>
            <wp:extent cx="16097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9725" cy="7620"/>
                    </a:xfrm>
                    <a:prstGeom prst="rect">
                      <a:avLst/>
                    </a:prstGeom>
                    <a:noFill/>
                  </pic:spPr>
                </pic:pic>
              </a:graphicData>
            </a:graphic>
          </wp:anchor>
        </w:drawing>
      </w:r>
    </w:p>
    <w:p>
      <w:pPr>
        <w:spacing w:after="0" w:line="302"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80" w:hanging="68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6" w:lineRule="exact"/>
        <w:rPr>
          <w:rFonts w:ascii="MS PGothic" w:cs="MS PGothic" w:eastAsia="MS PGothic" w:hAnsi="MS PGothic"/>
          <w:sz w:val="16"/>
          <w:szCs w:val="16"/>
          <w:color w:val="auto"/>
        </w:rPr>
      </w:pPr>
    </w:p>
    <w:p>
      <w:pPr>
        <w:ind w:left="680" w:hanging="68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6" w:lineRule="exact"/>
        <w:rPr>
          <w:rFonts w:ascii="MS PGothic" w:cs="MS PGothic" w:eastAsia="MS PGothic" w:hAnsi="MS PGothic"/>
          <w:sz w:val="16"/>
          <w:szCs w:val="16"/>
          <w:color w:val="auto"/>
        </w:rPr>
      </w:pPr>
    </w:p>
    <w:p>
      <w:pPr>
        <w:ind w:left="680" w:hanging="68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6" w:lineRule="exact"/>
        <w:rPr>
          <w:rFonts w:ascii="MS PGothic" w:cs="MS PGothic" w:eastAsia="MS PGothic" w:hAnsi="MS PGothic"/>
          <w:sz w:val="16"/>
          <w:szCs w:val="16"/>
          <w:color w:val="auto"/>
        </w:rPr>
      </w:pPr>
    </w:p>
    <w:p>
      <w:pPr>
        <w:ind w:left="680" w:hanging="68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280"/>
          </w:cols>
          <w:pgMar w:left="260" w:top="667" w:right="35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4"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On September 11, 2014, Brady Corporation (the "Company") issued a press release announcing its fiscal 2014 fourth quarter financial results. A copy of the press release announcing the fourth quarter financial results is being furnished to the Securities and Exchange Commission as Exhibit 99.1 attached hereto and is incorporated herein by reference.</w:t>
      </w:r>
    </w:p>
    <w:p>
      <w:pPr>
        <w:spacing w:after="0" w:line="30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2.06</w:t>
      </w:r>
      <w:r>
        <w:rPr>
          <w:sz w:val="20"/>
          <w:szCs w:val="20"/>
          <w:color w:val="auto"/>
        </w:rPr>
        <w:tab/>
      </w:r>
      <w:r>
        <w:rPr>
          <w:rFonts w:ascii="Arial" w:cs="Arial" w:eastAsia="Arial" w:hAnsi="Arial"/>
          <w:sz w:val="15"/>
          <w:szCs w:val="15"/>
          <w:color w:val="auto"/>
        </w:rPr>
        <w:t>MATERIAL IMPAIRMENTS</w:t>
      </w:r>
    </w:p>
    <w:p>
      <w:pPr>
        <w:spacing w:after="0" w:line="224" w:lineRule="exact"/>
        <w:rPr>
          <w:sz w:val="20"/>
          <w:szCs w:val="20"/>
          <w:color w:val="auto"/>
        </w:rPr>
      </w:pPr>
    </w:p>
    <w:p>
      <w:pPr>
        <w:jc w:val="both"/>
        <w:ind w:right="20" w:firstLine="625"/>
        <w:spacing w:after="0" w:line="289" w:lineRule="auto"/>
        <w:rPr>
          <w:sz w:val="20"/>
          <w:szCs w:val="20"/>
          <w:color w:val="auto"/>
        </w:rPr>
      </w:pPr>
      <w:r>
        <w:rPr>
          <w:rFonts w:ascii="Arial" w:cs="Arial" w:eastAsia="Arial" w:hAnsi="Arial"/>
          <w:sz w:val="15"/>
          <w:szCs w:val="15"/>
          <w:color w:val="auto"/>
        </w:rPr>
        <w:t>On September 9, 2014, the Company concluded that under generally accepted accounting principles a material charge of approximately $149 million for impairment of goodwill and other long-lived assets primarily within its PeopleID reporting unit will be recorded in the Company's fourth fiscal quarter ended July 31, 2014. This non-cash impairment charge does not impact the Company's future cash flow, liquidity, or compliance with its debt covenants in various agreements.</w:t>
      </w:r>
    </w:p>
    <w:p>
      <w:pPr>
        <w:spacing w:after="0" w:line="146" w:lineRule="exact"/>
        <w:rPr>
          <w:sz w:val="20"/>
          <w:szCs w:val="20"/>
          <w:color w:val="auto"/>
        </w:rPr>
      </w:pPr>
    </w:p>
    <w:p>
      <w:pPr>
        <w:jc w:val="both"/>
        <w:ind w:firstLine="625"/>
        <w:spacing w:after="0" w:line="308" w:lineRule="auto"/>
        <w:rPr>
          <w:sz w:val="20"/>
          <w:szCs w:val="20"/>
          <w:color w:val="auto"/>
        </w:rPr>
      </w:pPr>
      <w:r>
        <w:rPr>
          <w:rFonts w:ascii="Arial" w:cs="Arial" w:eastAsia="Arial" w:hAnsi="Arial"/>
          <w:sz w:val="14"/>
          <w:szCs w:val="14"/>
          <w:color w:val="auto"/>
        </w:rPr>
        <w:t>The PeopleID reporting unit is primarily comprised of the Company’s December 2012 acquisition of Precision Dynamics Corporation (“PDC”), which sells identification products into the healthcare industry. Organic sales within the PDC business declined in the low single digit percentages from fiscal 2013 to fiscal 2014. This was primarily due to a contraction in the overall healthcare industry, as the Company believes there was a decline of approximately 2% in hospital admission rates during fiscal 2014. Sales and profit growth may not materialize as expected within the PDC business given slower than anticipated industry growth and fewer sales synergies than originally planned.</w:t>
      </w:r>
    </w:p>
    <w:p>
      <w:pPr>
        <w:spacing w:after="0" w:line="135" w:lineRule="exact"/>
        <w:rPr>
          <w:sz w:val="20"/>
          <w:szCs w:val="20"/>
          <w:color w:val="auto"/>
        </w:rPr>
      </w:pPr>
    </w:p>
    <w:p>
      <w:pPr>
        <w:jc w:val="both"/>
        <w:ind w:firstLine="625"/>
        <w:spacing w:after="0" w:line="282" w:lineRule="auto"/>
        <w:rPr>
          <w:sz w:val="20"/>
          <w:szCs w:val="20"/>
          <w:color w:val="auto"/>
        </w:rPr>
      </w:pPr>
      <w:r>
        <w:rPr>
          <w:rFonts w:ascii="Arial" w:cs="Arial" w:eastAsia="Arial" w:hAnsi="Arial"/>
          <w:sz w:val="15"/>
          <w:szCs w:val="15"/>
          <w:color w:val="auto"/>
        </w:rPr>
        <w:t>As a result, management is implementing a modified strategy within the PDC business to focus on the full continuum of care within the healthcare industry. Although management believes the modified strategy will improve organic sales and profitability of the PeopleID reporting unit in future years, there is risk associated with any strategy. As such, the Company’s annual goodwill impairment test performed as of May 1, 2014, incorporated revised assumptions for the PeopleID reporting unit and resulted in an impairment of approximately $100 million in goodwill and approximately $49 million in other intangible assets during the three months ended July 31, 2014.</w:t>
      </w:r>
    </w:p>
    <w:p>
      <w:pPr>
        <w:sectPr>
          <w:pgSz w:w="11900" w:h="16838" w:orient="portrait"/>
          <w:cols w:equalWidth="0" w:num="1">
            <w:col w:w="11440"/>
          </w:cols>
          <w:pgMar w:left="240" w:top="680" w:right="219" w:bottom="1440" w:gutter="0" w:footer="0" w:header="0"/>
        </w:sectPr>
      </w:pPr>
    </w:p>
    <w:bookmarkStart w:id="2" w:name="page3"/>
    <w:bookmarkEnd w:id="2"/>
    <w:p>
      <w:pPr>
        <w:ind w:left="20"/>
        <w:spacing w:after="0"/>
        <w:tabs>
          <w:tab w:leader="none" w:pos="940" w:val="left"/>
        </w:tabs>
        <w:rPr>
          <w:sz w:val="20"/>
          <w:szCs w:val="20"/>
          <w:color w:val="auto"/>
        </w:rPr>
      </w:pPr>
      <w:r>
        <w:rPr>
          <w:rFonts w:ascii="Arial" w:cs="Arial" w:eastAsia="Arial" w:hAnsi="Arial"/>
          <w:sz w:val="16"/>
          <w:szCs w:val="16"/>
          <w:color w:val="auto"/>
        </w:rPr>
        <w:t>Item 5.02</w:t>
      </w:r>
      <w:r>
        <w:rPr>
          <w:sz w:val="20"/>
          <w:szCs w:val="20"/>
          <w:color w:val="auto"/>
        </w:rPr>
        <w:tab/>
      </w:r>
      <w:r>
        <w:rPr>
          <w:rFonts w:ascii="Arial" w:cs="Arial" w:eastAsia="Arial" w:hAnsi="Arial"/>
          <w:sz w:val="15"/>
          <w:szCs w:val="15"/>
          <w:color w:val="auto"/>
        </w:rPr>
        <w:t>DEPARTURE OF DIRECTORS OR CERTAIN OFFICERS; ELECTION OF DIRECTORS; APPOINTMENT</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OF CERTAIN OFFICERS; COMPENSATORY ARRANGEMENTS OF CERTAIN OFFICERS</w:t>
      </w:r>
    </w:p>
    <w:p>
      <w:pPr>
        <w:spacing w:after="0" w:line="212" w:lineRule="exact"/>
        <w:rPr>
          <w:sz w:val="20"/>
          <w:szCs w:val="20"/>
          <w:color w:val="auto"/>
        </w:rPr>
      </w:pPr>
    </w:p>
    <w:p>
      <w:pPr>
        <w:jc w:val="both"/>
        <w:ind w:right="20" w:firstLine="433"/>
        <w:spacing w:after="0" w:line="259" w:lineRule="auto"/>
        <w:rPr>
          <w:sz w:val="20"/>
          <w:szCs w:val="20"/>
          <w:color w:val="auto"/>
        </w:rPr>
      </w:pPr>
      <w:r>
        <w:rPr>
          <w:rFonts w:ascii="Arial" w:cs="Arial" w:eastAsia="Arial" w:hAnsi="Arial"/>
          <w:sz w:val="16"/>
          <w:szCs w:val="16"/>
          <w:color w:val="auto"/>
        </w:rPr>
        <w:t>On September 10, 2014, the Board of Directors of Brady Corporation (the “Company”) appointed Thomas J. Felmer to serve as the Company’s Senior Vice President and President - Workplace Safety, effective immediately. Biographical and compensatory information regarding Mr. Felmer may be found in the Company’s previous filings with the Securities and Exchange Commission (“SEC”). There will be no changes to Mr. Felmer’s compensation as previously described in the Company's filings with the SEC as a result of his appointment as President - Workplace Safety.</w:t>
      </w:r>
    </w:p>
    <w:p>
      <w:pPr>
        <w:spacing w:after="0" w:line="167" w:lineRule="exact"/>
        <w:rPr>
          <w:sz w:val="20"/>
          <w:szCs w:val="20"/>
          <w:color w:val="auto"/>
        </w:rPr>
      </w:pPr>
    </w:p>
    <w:p>
      <w:pPr>
        <w:jc w:val="both"/>
        <w:ind w:right="20" w:firstLine="433"/>
        <w:spacing w:after="0" w:line="277" w:lineRule="auto"/>
        <w:rPr>
          <w:sz w:val="20"/>
          <w:szCs w:val="20"/>
          <w:color w:val="auto"/>
        </w:rPr>
      </w:pPr>
      <w:r>
        <w:rPr>
          <w:rFonts w:ascii="Arial" w:cs="Arial" w:eastAsia="Arial" w:hAnsi="Arial"/>
          <w:sz w:val="16"/>
          <w:szCs w:val="16"/>
          <w:color w:val="auto"/>
        </w:rPr>
        <w:t>With Mr. Felmer’s appointment as President - Workplace Safety, the Board of Directors appointed Aaron J. Pearce to serve as Senior Vice President and Chief Financial Officer of the Company, effective immediately.</w:t>
      </w:r>
    </w:p>
    <w:p>
      <w:pPr>
        <w:spacing w:after="0" w:line="152" w:lineRule="exact"/>
        <w:rPr>
          <w:sz w:val="20"/>
          <w:szCs w:val="20"/>
          <w:color w:val="auto"/>
        </w:rPr>
      </w:pPr>
    </w:p>
    <w:p>
      <w:pPr>
        <w:jc w:val="both"/>
        <w:ind w:firstLine="433"/>
        <w:spacing w:after="0" w:line="282" w:lineRule="auto"/>
        <w:rPr>
          <w:sz w:val="20"/>
          <w:szCs w:val="20"/>
          <w:color w:val="auto"/>
        </w:rPr>
      </w:pPr>
      <w:r>
        <w:rPr>
          <w:rFonts w:ascii="Arial" w:cs="Arial" w:eastAsia="Arial" w:hAnsi="Arial"/>
          <w:sz w:val="15"/>
          <w:szCs w:val="15"/>
          <w:color w:val="auto"/>
        </w:rPr>
        <w:t>Aaron Pearce, age 43, joined the Company in 2004 as Director of Internal Audit. From 2006 to 2008, he served as Finance Director for the Company’s Asia Pacific Region, and from 2008 to 2010, served as Global Tax Director. In January 2010, Mr. Pearce was appointed Vice President, Treasurer and Director of Investor Relations, and in April 2013, was named Vice President - Finance, with responsibility for finance support to the Company’s Workplace Safety and ID Solutions businesses, financial planning and analysis, and investor relations. Prior to joining the Company, Mr. Pearce was an auditor with Deloitte &amp; Touche LLP from 1994 to 2004.</w:t>
      </w:r>
    </w:p>
    <w:p>
      <w:pPr>
        <w:spacing w:after="0" w:line="150"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6"/>
          <w:szCs w:val="16"/>
          <w:color w:val="auto"/>
        </w:rPr>
        <w:t>There are no arrangements or understandings between Mr. Pearce and any other persons pursuant to which he was selected as an officer of the Company, he has no family relationships with any of the Company’s directors or executive officers, and he has no direct or indirect material interest in any transaction required to be disclosed pursuant to Item 404(a) of Regulation S-K.</w:t>
      </w:r>
    </w:p>
    <w:p>
      <w:pPr>
        <w:spacing w:after="0" w:line="162" w:lineRule="exact"/>
        <w:rPr>
          <w:sz w:val="20"/>
          <w:szCs w:val="20"/>
          <w:color w:val="auto"/>
        </w:rPr>
      </w:pPr>
    </w:p>
    <w:p>
      <w:pPr>
        <w:jc w:val="both"/>
        <w:ind w:right="20" w:firstLine="433"/>
        <w:spacing w:after="0" w:line="277" w:lineRule="auto"/>
        <w:rPr>
          <w:sz w:val="20"/>
          <w:szCs w:val="20"/>
          <w:color w:val="auto"/>
        </w:rPr>
      </w:pPr>
      <w:r>
        <w:rPr>
          <w:rFonts w:ascii="Arial" w:cs="Arial" w:eastAsia="Arial" w:hAnsi="Arial"/>
          <w:sz w:val="16"/>
          <w:szCs w:val="16"/>
          <w:color w:val="auto"/>
        </w:rPr>
        <w:t>Mr. Pearce will receive an annual base salary of $300,000, with eligibility for an annual bonus at 65% of base salary, and participates in the Company's equity incentive and other benefit plans on a basis similar to other executive officers.</w:t>
      </w:r>
    </w:p>
    <w:p>
      <w:pPr>
        <w:spacing w:after="0" w:line="152" w:lineRule="exact"/>
        <w:rPr>
          <w:sz w:val="20"/>
          <w:szCs w:val="20"/>
          <w:color w:val="auto"/>
        </w:rPr>
      </w:pPr>
    </w:p>
    <w:p>
      <w:pPr>
        <w:jc w:val="both"/>
        <w:ind w:right="20" w:firstLine="433"/>
        <w:spacing w:after="0" w:line="351" w:lineRule="auto"/>
        <w:rPr>
          <w:sz w:val="20"/>
          <w:szCs w:val="20"/>
          <w:color w:val="auto"/>
        </w:rPr>
      </w:pPr>
      <w:r>
        <w:rPr>
          <w:rFonts w:ascii="Arial" w:cs="Arial" w:eastAsia="Arial" w:hAnsi="Arial"/>
          <w:sz w:val="14"/>
          <w:szCs w:val="14"/>
          <w:color w:val="auto"/>
        </w:rPr>
        <w:t>The appointments of Messrs. Felmer and Pearce were described in a press release issued by the Company in connection with its fiscal 2014 fourth quarter financial results disclosed in Item 2.02 hereto, which is furnished to the Securities and Exchange Commission as Exhibit 99.1 attached hereto and is incorporated herein by reference.</w:t>
      </w:r>
    </w:p>
    <w:p>
      <w:pPr>
        <w:spacing w:after="0" w:line="250"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8.01</w:t>
      </w:r>
      <w:r>
        <w:rPr>
          <w:sz w:val="20"/>
          <w:szCs w:val="20"/>
          <w:color w:val="auto"/>
        </w:rPr>
        <w:tab/>
      </w:r>
      <w:r>
        <w:rPr>
          <w:rFonts w:ascii="Arial" w:cs="Arial" w:eastAsia="Arial" w:hAnsi="Arial"/>
          <w:sz w:val="15"/>
          <w:szCs w:val="15"/>
          <w:color w:val="auto"/>
        </w:rPr>
        <w:t>OTHER EVENTS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Director Compensation</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On September 10, 2014, the Company's Board of Directors approved an annual stock-based compensation award of 4,250 time-based stock options and 1,450 shares of unrestricted stock for each non-management Director effective September 25, 2014.</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Increase in Annual Dividend</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On September 10, 2014, the Company announced that its Board of Directors had increased the annual cash dividend on its Class A Common Stock from $0.78 to $0.80 per share. A quarterly dividend in the amount of $0.20 per share will be paid on October 31, 2014, to shareholders of record as of the close of business on October 10, 2014. A copy of the press release regarding the dividend is attached hereto as Exhibit 99.2 and is incorporated herein by reference</w:t>
      </w:r>
    </w:p>
    <w:p>
      <w:pPr>
        <w:sectPr>
          <w:pgSz w:w="11900" w:h="16838" w:orient="portrait"/>
          <w:cols w:equalWidth="0" w:num="1">
            <w:col w:w="11440"/>
          </w:cols>
          <w:pgMar w:left="240" w:top="680" w:right="219" w:bottom="1440" w:gutter="0" w:footer="0" w:header="0"/>
        </w:sectPr>
      </w:pPr>
    </w:p>
    <w:bookmarkStart w:id="3" w:name="page4"/>
    <w:bookmarkEnd w:id="3"/>
    <w:p>
      <w:pPr>
        <w:spacing w:after="0" w:line="212" w:lineRule="auto"/>
        <w:framePr w:w="1740" w:h="143" w:wrap="auto" w:vAnchor="page" w:hAnchor="page" w:x="220" w:y="5871"/>
        <w:rPr>
          <w:rFonts w:ascii="Arial" w:cs="Arial" w:eastAsia="Arial" w:hAnsi="Arial"/>
          <w:sz w:val="14"/>
          <w:szCs w:val="14"/>
          <w:color w:val="auto"/>
        </w:rPr>
      </w:pPr>
      <w:r>
        <w:rPr>
          <w:rFonts w:ascii="Arial" w:cs="Arial" w:eastAsia="Arial" w:hAnsi="Arial"/>
          <w:sz w:val="14"/>
          <w:szCs w:val="14"/>
          <w:color w:val="auto"/>
        </w:rPr>
        <w:t>Date: September 11, 2014</w:t>
      </w:r>
    </w:p>
    <w:p>
      <w:pPr>
        <w:spacing w:after="0" w:line="198" w:lineRule="auto"/>
        <w:framePr w:w="1800" w:h="143" w:wrap="auto" w:vAnchor="page" w:hAnchor="page" w:x="6140" w:y="5055"/>
        <w:rPr>
          <w:rFonts w:ascii="Arial" w:cs="Arial" w:eastAsia="Arial" w:hAnsi="Arial"/>
          <w:sz w:val="15"/>
          <w:szCs w:val="15"/>
          <w:color w:val="auto"/>
        </w:rPr>
      </w:pPr>
      <w:r>
        <w:rPr>
          <w:rFonts w:ascii="Arial" w:cs="Arial" w:eastAsia="Arial" w:hAnsi="Arial"/>
          <w:sz w:val="15"/>
          <w:szCs w:val="15"/>
          <w:color w:val="auto"/>
        </w:rPr>
        <w:t>BRADY CORPORATION</w:t>
      </w:r>
    </w:p>
    <w:p>
      <w:pPr>
        <w:spacing w:after="0" w:line="198" w:lineRule="auto"/>
        <w:framePr w:w="1640" w:h="143" w:wrap="auto" w:vAnchor="page" w:hAnchor="page" w:x="6140" w:y="5871"/>
        <w:rPr>
          <w:rFonts w:ascii="Arial" w:cs="Arial" w:eastAsia="Arial" w:hAnsi="Arial"/>
          <w:sz w:val="15"/>
          <w:szCs w:val="15"/>
          <w:color w:val="auto"/>
        </w:rPr>
      </w:pPr>
      <w:r>
        <w:rPr>
          <w:rFonts w:ascii="Arial" w:cs="Arial" w:eastAsia="Arial" w:hAnsi="Arial"/>
          <w:sz w:val="15"/>
          <w:szCs w:val="15"/>
          <w:color w:val="auto"/>
        </w:rPr>
        <w:t>/s/ AARON J. PEARCE</w:t>
      </w:r>
    </w:p>
    <w:p>
      <w:pPr>
        <w:spacing w:after="0" w:line="212" w:lineRule="auto"/>
        <w:framePr w:w="1100" w:h="143" w:wrap="auto" w:vAnchor="page" w:hAnchor="page" w:x="6140" w:y="6124"/>
        <w:rPr>
          <w:rFonts w:ascii="Arial" w:cs="Arial" w:eastAsia="Arial" w:hAnsi="Arial"/>
          <w:sz w:val="14"/>
          <w:szCs w:val="14"/>
          <w:color w:val="auto"/>
        </w:rPr>
      </w:pPr>
      <w:r>
        <w:rPr>
          <w:rFonts w:ascii="Arial" w:cs="Arial" w:eastAsia="Arial" w:hAnsi="Arial"/>
          <w:sz w:val="14"/>
          <w:szCs w:val="14"/>
          <w:color w:val="auto"/>
        </w:rPr>
        <w:t>Aaron J. Pearce</w:t>
      </w:r>
    </w:p>
    <w:p>
      <w:pPr>
        <w:spacing w:after="0" w:line="249" w:lineRule="auto"/>
        <w:framePr w:w="1640" w:h="335" w:wrap="auto" w:vAnchor="page" w:hAnchor="page" w:x="6140" w:y="6364"/>
        <w:rPr>
          <w:rFonts w:ascii="Arial" w:cs="Arial" w:eastAsia="Arial" w:hAnsi="Arial"/>
          <w:sz w:val="14"/>
          <w:szCs w:val="14"/>
          <w:color w:val="auto"/>
        </w:rPr>
      </w:pPr>
      <w:r>
        <w:rPr>
          <w:rFonts w:ascii="Arial" w:cs="Arial" w:eastAsia="Arial" w:hAnsi="Arial"/>
          <w:sz w:val="14"/>
          <w:szCs w:val="14"/>
          <w:color w:val="auto"/>
        </w:rPr>
        <w:t>Senior Vice President &amp; Chief Financial Officer</w:t>
      </w:r>
    </w:p>
    <w:p>
      <w:pPr>
        <w:spacing w:after="0" w:line="198" w:lineRule="auto"/>
        <w:framePr w:w="980" w:h="143" w:wrap="auto" w:vAnchor="page" w:hAnchor="page" w:x="5460" w:y="4021"/>
        <w:rPr>
          <w:rFonts w:ascii="Arial" w:cs="Arial" w:eastAsia="Arial" w:hAnsi="Arial"/>
          <w:sz w:val="15"/>
          <w:szCs w:val="15"/>
          <w:color w:val="auto"/>
        </w:rPr>
      </w:pPr>
      <w:r>
        <w:rPr>
          <w:rFonts w:ascii="Arial" w:cs="Arial" w:eastAsia="Arial" w:hAnsi="Arial"/>
          <w:sz w:val="15"/>
          <w:szCs w:val="15"/>
          <w:color w:val="auto"/>
        </w:rPr>
        <w:t>SIGNATURE</w:t>
      </w:r>
    </w:p>
    <w:p>
      <w:pPr>
        <w:spacing w:after="0" w:line="218" w:lineRule="auto"/>
        <w:framePr w:w="11520" w:h="335" w:wrap="auto" w:vAnchor="page" w:hAnchor="page" w:x="200" w:y="4358"/>
        <w:rPr>
          <w:rFonts w:ascii="Arial" w:cs="Arial" w:eastAsia="Arial" w:hAnsi="Arial"/>
          <w:sz w:val="16"/>
          <w:szCs w:val="16"/>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12" w:lineRule="auto"/>
        <w:framePr w:w="6840" w:h="143" w:wrap="auto" w:vAnchor="page" w:hAnchor="page" w:x="1060" w:y="2844"/>
        <w:rPr>
          <w:rFonts w:ascii="Arial" w:cs="Arial" w:eastAsia="Arial" w:hAnsi="Arial"/>
          <w:sz w:val="14"/>
          <w:szCs w:val="14"/>
          <w:color w:val="auto"/>
        </w:rPr>
      </w:pPr>
      <w:r>
        <w:rPr>
          <w:rFonts w:ascii="Arial" w:cs="Arial" w:eastAsia="Arial" w:hAnsi="Arial"/>
          <w:sz w:val="14"/>
          <w:szCs w:val="14"/>
          <w:color w:val="auto"/>
        </w:rPr>
        <w:t>Press Release of Brady Corporation, dated September 10, 2014, relating to increase in quarterly dividend.</w:t>
      </w:r>
    </w:p>
    <w:p>
      <w:pPr>
        <w:spacing w:after="0" w:line="218" w:lineRule="auto"/>
        <w:framePr w:w="7580" w:h="335" w:wrap="auto" w:vAnchor="page" w:hAnchor="page" w:x="1060" w:y="3157"/>
        <w:rPr>
          <w:rFonts w:ascii="Arial" w:cs="Arial" w:eastAsia="Arial" w:hAnsi="Arial"/>
          <w:sz w:val="16"/>
          <w:szCs w:val="16"/>
          <w:color w:val="auto"/>
        </w:rPr>
      </w:pPr>
      <w:r>
        <w:rPr>
          <w:rFonts w:ascii="Arial" w:cs="Arial" w:eastAsia="Arial" w:hAnsi="Arial"/>
          <w:sz w:val="16"/>
          <w:szCs w:val="16"/>
          <w:color w:val="auto"/>
        </w:rPr>
        <w:t>Informational slides provided by Brady Corporation, dated September 11, 2014, relating to fourth quarter fiscal 2014 financial results.</w:t>
      </w:r>
    </w:p>
    <w:p>
      <w:pPr>
        <w:spacing w:after="0" w:line="212" w:lineRule="auto"/>
        <w:framePr w:w="360" w:h="143" w:wrap="auto" w:vAnchor="page" w:hAnchor="page" w:x="220" w:y="2844"/>
        <w:rPr>
          <w:rFonts w:ascii="Arial" w:cs="Arial" w:eastAsia="Arial" w:hAnsi="Arial"/>
          <w:sz w:val="14"/>
          <w:szCs w:val="14"/>
          <w:color w:val="auto"/>
        </w:rPr>
      </w:pPr>
      <w:r>
        <w:rPr>
          <w:rFonts w:ascii="Arial" w:cs="Arial" w:eastAsia="Arial" w:hAnsi="Arial"/>
          <w:sz w:val="14"/>
          <w:szCs w:val="14"/>
          <w:color w:val="auto"/>
        </w:rPr>
        <w:t>99.2</w:t>
      </w:r>
    </w:p>
    <w:p>
      <w:pPr>
        <w:spacing w:after="0" w:line="212" w:lineRule="auto"/>
        <w:framePr w:w="360" w:h="143" w:wrap="auto" w:vAnchor="page" w:hAnchor="page" w:x="220" w:y="3085"/>
        <w:rPr>
          <w:rFonts w:ascii="Arial" w:cs="Arial" w:eastAsia="Arial" w:hAnsi="Arial"/>
          <w:sz w:val="14"/>
          <w:szCs w:val="14"/>
          <w:color w:val="auto"/>
        </w:rPr>
      </w:pPr>
      <w:r>
        <w:rPr>
          <w:rFonts w:ascii="Arial" w:cs="Arial" w:eastAsia="Arial" w:hAnsi="Arial"/>
          <w:sz w:val="14"/>
          <w:szCs w:val="14"/>
          <w:color w:val="auto"/>
        </w:rPr>
        <w:t>99.3</w:t>
      </w:r>
    </w:p>
    <w:p>
      <w:pPr>
        <w:spacing w:after="0" w:line="186" w:lineRule="auto"/>
        <w:framePr w:w="960" w:h="143" w:wrap="auto" w:vAnchor="page" w:hAnchor="page" w:x="200" w:y="1102"/>
        <w:rPr>
          <w:rFonts w:ascii="Arial" w:cs="Arial" w:eastAsia="Arial" w:hAnsi="Arial"/>
          <w:sz w:val="16"/>
          <w:szCs w:val="16"/>
          <w:color w:val="auto"/>
        </w:rPr>
      </w:pPr>
      <w:r>
        <w:rPr>
          <w:rFonts w:ascii="Arial" w:cs="Arial" w:eastAsia="Arial" w:hAnsi="Arial"/>
          <w:sz w:val="16"/>
          <w:szCs w:val="16"/>
          <w:color w:val="auto"/>
        </w:rPr>
        <w:t>(d)  Exhibits</w:t>
      </w:r>
    </w:p>
    <w:p>
      <w:pPr>
        <w:spacing w:after="0" w:line="212" w:lineRule="auto"/>
        <w:framePr w:w="3260" w:h="143" w:wrap="auto" w:vAnchor="page" w:hAnchor="page" w:x="200" w:y="1487"/>
        <w:rPr>
          <w:rFonts w:ascii="Arial" w:cs="Arial" w:eastAsia="Arial" w:hAnsi="Arial"/>
          <w:sz w:val="14"/>
          <w:szCs w:val="14"/>
          <w:color w:val="auto"/>
        </w:rPr>
      </w:pPr>
      <w:r>
        <w:rPr>
          <w:rFonts w:ascii="Arial" w:cs="Arial" w:eastAsia="Arial" w:hAnsi="Arial"/>
          <w:sz w:val="14"/>
          <w:szCs w:val="14"/>
          <w:color w:val="auto"/>
        </w:rPr>
        <w:t>The following are filed as Exhibits to this Report.</w:t>
      </w:r>
    </w:p>
    <w:p>
      <w:pPr>
        <w:spacing w:after="0" w:line="198" w:lineRule="auto"/>
        <w:framePr w:w="2360" w:h="143" w:wrap="auto" w:vAnchor="page" w:hAnchor="page" w:x="220" w:y="2015"/>
        <w:rPr>
          <w:rFonts w:ascii="Arial" w:cs="Arial" w:eastAsia="Arial" w:hAnsi="Arial"/>
          <w:sz w:val="15"/>
          <w:szCs w:val="15"/>
          <w:color w:val="auto"/>
        </w:rPr>
      </w:pPr>
      <w:r>
        <w:rPr>
          <w:rFonts w:ascii="Arial" w:cs="Arial" w:eastAsia="Arial" w:hAnsi="Arial"/>
          <w:sz w:val="15"/>
          <w:szCs w:val="15"/>
          <w:color w:val="auto"/>
        </w:rPr>
        <w:t>Exhibit No. Description of Exhibit</w:t>
      </w:r>
    </w:p>
    <w:p>
      <w:pPr>
        <w:spacing w:after="0" w:line="212" w:lineRule="auto"/>
        <w:framePr w:w="360" w:h="143" w:wrap="auto" w:vAnchor="page" w:hAnchor="page" w:x="220" w:y="2268"/>
        <w:rPr>
          <w:rFonts w:ascii="Arial" w:cs="Arial" w:eastAsia="Arial" w:hAnsi="Arial"/>
          <w:sz w:val="11"/>
          <w:szCs w:val="11"/>
          <w:color w:val="auto"/>
        </w:rPr>
      </w:pPr>
      <w:r>
        <w:rPr>
          <w:rFonts w:ascii="Arial" w:cs="Arial" w:eastAsia="Arial" w:hAnsi="Arial"/>
          <w:sz w:val="16"/>
          <w:szCs w:val="16"/>
          <w:color w:val="auto"/>
          <w:vertAlign w:val="superscript"/>
        </w:rPr>
        <w:t>99.1</w:t>
      </w:r>
    </w:p>
    <w:p>
      <w:pPr>
        <w:spacing w:after="0" w:line="212" w:lineRule="auto"/>
        <w:framePr w:w="7620" w:h="143" w:wrap="auto" w:vAnchor="page" w:hAnchor="page" w:x="1060" w:y="2340"/>
        <w:rPr>
          <w:rFonts w:ascii="Arial" w:cs="Arial" w:eastAsia="Arial" w:hAnsi="Arial"/>
          <w:sz w:val="14"/>
          <w:szCs w:val="14"/>
          <w:color w:val="auto"/>
        </w:rPr>
      </w:pPr>
      <w:r>
        <w:rPr>
          <w:rFonts w:ascii="Arial" w:cs="Arial" w:eastAsia="Arial" w:hAnsi="Arial"/>
          <w:sz w:val="14"/>
          <w:szCs w:val="14"/>
          <w:color w:val="auto"/>
        </w:rPr>
        <w:t>Press Release of Brady Corporation, dated September 11, 2014, relating to fourth quarter fiscal 2014 financial results.</w:t>
      </w:r>
    </w:p>
    <w:p>
      <w:pPr>
        <w:spacing w:after="0" w:line="212" w:lineRule="auto"/>
        <w:framePr w:w="700" w:h="143" w:wrap="auto" w:vAnchor="page" w:hAnchor="page" w:x="220" w:y="694"/>
        <w:rPr>
          <w:rFonts w:ascii="Arial" w:cs="Arial" w:eastAsia="Arial" w:hAnsi="Arial"/>
          <w:sz w:val="14"/>
          <w:szCs w:val="14"/>
          <w:color w:val="auto"/>
        </w:rPr>
      </w:pPr>
      <w:r>
        <w:rPr>
          <w:rFonts w:ascii="Arial" w:cs="Arial" w:eastAsia="Arial" w:hAnsi="Arial"/>
          <w:sz w:val="14"/>
          <w:szCs w:val="14"/>
          <w:color w:val="auto"/>
        </w:rPr>
        <w:t>Item 9.01</w:t>
      </w:r>
    </w:p>
    <w:p>
      <w:pPr>
        <w:spacing w:after="0"/>
        <w:rPr>
          <w:sz w:val="20"/>
          <w:szCs w:val="20"/>
          <w:color w:val="auto"/>
        </w:rPr>
      </w:pPr>
      <w:r>
        <w:rPr>
          <w:rFonts w:ascii="Arial" w:cs="Arial" w:eastAsia="Arial" w:hAnsi="Arial"/>
          <w:sz w:val="15"/>
          <w:szCs w:val="15"/>
          <w:color w:val="auto"/>
        </w:rPr>
        <w:t>FINANCIAL STATEMENTS AND EXHIBITS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-611505</wp:posOffset>
            </wp:positionH>
            <wp:positionV relativeFrom="paragraph">
              <wp:posOffset>875030</wp:posOffset>
            </wp:positionV>
            <wp:extent cx="54921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92115" cy="762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3323590</wp:posOffset>
            </wp:positionV>
            <wp:extent cx="35013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1390" cy="7620"/>
                    </a:xfrm>
                    <a:prstGeom prst="rect">
                      <a:avLst/>
                    </a:prstGeom>
                    <a:noFill/>
                  </pic:spPr>
                </pic:pic>
              </a:graphicData>
            </a:graphic>
          </wp:anchor>
        </w:drawing>
      </w:r>
    </w:p>
    <w:p>
      <w:pPr>
        <w:sectPr>
          <w:pgSz w:w="11900" w:h="16838" w:orient="portrait"/>
          <w:cols w:equalWidth="0" w:num="1">
            <w:col w:w="9259"/>
          </w:cols>
          <w:pgMar w:left="1200" w:top="6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7760" w:type="dxa"/>
            <w:vAlign w:val="bottom"/>
          </w:tcPr>
          <w:p>
            <w:pPr>
              <w:ind w:left="424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08"/>
        </w:trPr>
        <w:tc>
          <w:tcPr>
            <w:tcW w:w="880" w:type="dxa"/>
            <w:vAlign w:val="bottom"/>
          </w:tcPr>
          <w:p>
            <w:pPr>
              <w:ind w:left="20"/>
              <w:spacing w:after="0"/>
              <w:rPr>
                <w:sz w:val="20"/>
                <w:szCs w:val="20"/>
                <w:color w:val="auto"/>
              </w:rPr>
            </w:pPr>
            <w:r>
              <w:rPr>
                <w:rFonts w:ascii="Arial" w:cs="Arial" w:eastAsia="Arial" w:hAnsi="Arial"/>
                <w:sz w:val="14"/>
                <w:szCs w:val="14"/>
                <w:color w:val="auto"/>
              </w:rPr>
              <w:t>EXHIBIT</w:t>
            </w:r>
          </w:p>
        </w:tc>
        <w:tc>
          <w:tcPr>
            <w:tcW w:w="7760" w:type="dxa"/>
            <w:vAlign w:val="bottom"/>
            <w:vMerge w:val="restart"/>
          </w:tcPr>
          <w:p>
            <w:pPr>
              <w:ind w:left="26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NUMBER</w:t>
            </w:r>
          </w:p>
        </w:tc>
        <w:tc>
          <w:tcPr>
            <w:tcW w:w="7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8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80" w:type="dxa"/>
            <w:vAlign w:val="bottom"/>
          </w:tcPr>
          <w:p>
            <w:pPr>
              <w:ind w:left="20"/>
              <w:spacing w:after="0"/>
              <w:rPr>
                <w:sz w:val="20"/>
                <w:szCs w:val="20"/>
                <w:color w:val="auto"/>
              </w:rPr>
            </w:pPr>
            <w:r>
              <w:rPr>
                <w:rFonts w:ascii="Arial" w:cs="Arial" w:eastAsia="Arial" w:hAnsi="Arial"/>
                <w:sz w:val="16"/>
                <w:szCs w:val="16"/>
                <w:color w:val="auto"/>
              </w:rPr>
              <w:t>99.1</w:t>
            </w:r>
          </w:p>
        </w:tc>
        <w:tc>
          <w:tcPr>
            <w:tcW w:w="7760" w:type="dxa"/>
            <w:vAlign w:val="bottom"/>
            <w:vMerge w:val="restart"/>
          </w:tcPr>
          <w:p>
            <w:pPr>
              <w:ind w:left="260"/>
              <w:spacing w:after="0"/>
              <w:rPr>
                <w:sz w:val="20"/>
                <w:szCs w:val="20"/>
                <w:color w:val="auto"/>
              </w:rPr>
            </w:pPr>
            <w:r>
              <w:rPr>
                <w:rFonts w:ascii="Arial" w:cs="Arial" w:eastAsia="Arial" w:hAnsi="Arial"/>
                <w:sz w:val="16"/>
                <w:szCs w:val="16"/>
                <w:color w:val="auto"/>
                <w:w w:val="96"/>
              </w:rPr>
              <w:t>Press Release of Brady Corporation, dated September 11, 2014, relating to fourth quarter fiscal 2014 financial</w:t>
            </w:r>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7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880" w:type="dxa"/>
            <w:vAlign w:val="bottom"/>
          </w:tcPr>
          <w:p>
            <w:pPr>
              <w:spacing w:after="0"/>
              <w:rPr>
                <w:sz w:val="17"/>
                <w:szCs w:val="17"/>
                <w:color w:val="auto"/>
              </w:rPr>
            </w:pPr>
          </w:p>
        </w:tc>
        <w:tc>
          <w:tcPr>
            <w:tcW w:w="7760" w:type="dxa"/>
            <w:vAlign w:val="bottom"/>
          </w:tcPr>
          <w:p>
            <w:pPr>
              <w:ind w:left="26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505"/>
        </w:trPr>
        <w:tc>
          <w:tcPr>
            <w:tcW w:w="880" w:type="dxa"/>
            <w:vAlign w:val="bottom"/>
          </w:tcPr>
          <w:p>
            <w:pPr>
              <w:ind w:left="20"/>
              <w:spacing w:after="0"/>
              <w:rPr>
                <w:sz w:val="20"/>
                <w:szCs w:val="20"/>
                <w:color w:val="auto"/>
              </w:rPr>
            </w:pPr>
            <w:r>
              <w:rPr>
                <w:rFonts w:ascii="Arial" w:cs="Arial" w:eastAsia="Arial" w:hAnsi="Arial"/>
                <w:sz w:val="16"/>
                <w:szCs w:val="16"/>
                <w:color w:val="auto"/>
              </w:rPr>
              <w:t>99.2</w:t>
            </w:r>
          </w:p>
        </w:tc>
        <w:tc>
          <w:tcPr>
            <w:tcW w:w="7760" w:type="dxa"/>
            <w:vAlign w:val="bottom"/>
          </w:tcPr>
          <w:p>
            <w:pPr>
              <w:ind w:left="260"/>
              <w:spacing w:after="0"/>
              <w:rPr>
                <w:sz w:val="20"/>
                <w:szCs w:val="20"/>
                <w:color w:val="auto"/>
              </w:rPr>
            </w:pPr>
            <w:r>
              <w:rPr>
                <w:rFonts w:ascii="Arial" w:cs="Arial" w:eastAsia="Arial" w:hAnsi="Arial"/>
                <w:sz w:val="16"/>
                <w:szCs w:val="16"/>
                <w:color w:val="auto"/>
                <w:w w:val="99"/>
              </w:rPr>
              <w:t>Press Release of Brady Corporation, dated September 10, 2014, relating to increase in quarterly dividend.</w:t>
            </w:r>
          </w:p>
        </w:tc>
        <w:tc>
          <w:tcPr>
            <w:tcW w:w="0" w:type="dxa"/>
            <w:vAlign w:val="bottom"/>
          </w:tcPr>
          <w:p>
            <w:pPr>
              <w:spacing w:after="0"/>
              <w:rPr>
                <w:sz w:val="1"/>
                <w:szCs w:val="1"/>
                <w:color w:val="auto"/>
              </w:rPr>
            </w:pPr>
          </w:p>
        </w:tc>
      </w:tr>
      <w:tr>
        <w:trPr>
          <w:trHeight w:val="240"/>
        </w:trPr>
        <w:tc>
          <w:tcPr>
            <w:tcW w:w="880" w:type="dxa"/>
            <w:vAlign w:val="bottom"/>
          </w:tcPr>
          <w:p>
            <w:pPr>
              <w:ind w:left="20"/>
              <w:spacing w:after="0"/>
              <w:rPr>
                <w:sz w:val="20"/>
                <w:szCs w:val="20"/>
                <w:color w:val="auto"/>
              </w:rPr>
            </w:pPr>
            <w:r>
              <w:rPr>
                <w:rFonts w:ascii="Arial" w:cs="Arial" w:eastAsia="Arial" w:hAnsi="Arial"/>
                <w:sz w:val="16"/>
                <w:szCs w:val="16"/>
                <w:color w:val="auto"/>
              </w:rPr>
              <w:t>99.3</w:t>
            </w:r>
          </w:p>
        </w:tc>
        <w:tc>
          <w:tcPr>
            <w:tcW w:w="7760" w:type="dxa"/>
            <w:vAlign w:val="bottom"/>
            <w:vMerge w:val="restart"/>
          </w:tcPr>
          <w:p>
            <w:pPr>
              <w:ind w:left="260"/>
              <w:spacing w:after="0"/>
              <w:rPr>
                <w:sz w:val="20"/>
                <w:szCs w:val="20"/>
                <w:color w:val="auto"/>
              </w:rPr>
            </w:pPr>
            <w:r>
              <w:rPr>
                <w:rFonts w:ascii="Arial" w:cs="Arial" w:eastAsia="Arial" w:hAnsi="Arial"/>
                <w:sz w:val="16"/>
                <w:szCs w:val="16"/>
                <w:color w:val="auto"/>
                <w:w w:val="96"/>
              </w:rPr>
              <w:t>Informational slides provided by Brady Corporation, dated September 11, 2014, relating to fourth quarter fiscal</w:t>
            </w:r>
          </w:p>
        </w:tc>
        <w:tc>
          <w:tcPr>
            <w:tcW w:w="0" w:type="dxa"/>
            <w:vAlign w:val="bottom"/>
          </w:tcPr>
          <w:p>
            <w:pPr>
              <w:spacing w:after="0"/>
              <w:rPr>
                <w:sz w:val="1"/>
                <w:szCs w:val="1"/>
                <w:color w:val="auto"/>
              </w:rPr>
            </w:pPr>
          </w:p>
        </w:tc>
      </w:tr>
      <w:tr>
        <w:trPr>
          <w:trHeight w:val="72"/>
        </w:trPr>
        <w:tc>
          <w:tcPr>
            <w:tcW w:w="880" w:type="dxa"/>
            <w:vAlign w:val="bottom"/>
          </w:tcPr>
          <w:p>
            <w:pPr>
              <w:spacing w:after="0"/>
              <w:rPr>
                <w:sz w:val="6"/>
                <w:szCs w:val="6"/>
                <w:color w:val="auto"/>
              </w:rPr>
            </w:pPr>
          </w:p>
        </w:tc>
        <w:tc>
          <w:tcPr>
            <w:tcW w:w="7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6"/>
          <w:szCs w:val="16"/>
          <w:color w:val="auto"/>
        </w:rPr>
        <w:t>2014 financial results.</w:t>
      </w:r>
    </w:p>
    <w:p>
      <w:pPr>
        <w:sectPr>
          <w:pgSz w:w="11900" w:h="16838" w:orient="portrait"/>
          <w:cols w:equalWidth="0" w:num="1">
            <w:col w:w="10219"/>
          </w:cols>
          <w:pgMar w:left="240" w:top="728"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 More Information: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Investor contact: Aaron Pearce 414-438-6895</w:t>
      </w:r>
    </w:p>
    <w:p>
      <w:pPr>
        <w:spacing w:after="0"/>
        <w:rPr>
          <w:sz w:val="20"/>
          <w:szCs w:val="20"/>
          <w:color w:val="auto"/>
        </w:rPr>
      </w:pPr>
      <w:r>
        <w:rPr>
          <w:rFonts w:ascii="Arial" w:cs="Arial" w:eastAsia="Arial" w:hAnsi="Arial"/>
          <w:sz w:val="17"/>
          <w:szCs w:val="17"/>
          <w:color w:val="auto"/>
        </w:rPr>
        <w:t>Media contact: Carole Herbstreit 414-438-6882</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Brady Corporation Reports Fiscal 2014 Fourth Quarter Results and Impairment Charges, and Announces Executive Appointments</w:t>
      </w:r>
    </w:p>
    <w:p>
      <w:pPr>
        <w:spacing w:after="0" w:line="241" w:lineRule="exact"/>
        <w:rPr>
          <w:sz w:val="20"/>
          <w:szCs w:val="20"/>
          <w:color w:val="auto"/>
        </w:rPr>
      </w:pPr>
    </w:p>
    <w:p>
      <w:pPr>
        <w:ind w:left="580" w:right="20" w:hanging="296"/>
        <w:spacing w:after="0" w:line="353"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Fourth quarter organic revenue growth was 1.1 percent, with 0.9 percent organic growth in Workplace Safety and 1.2 percent organic growth in Identification Solutions.</w:t>
      </w:r>
    </w:p>
    <w:p>
      <w:pPr>
        <w:spacing w:after="0" w:line="1" w:lineRule="exact"/>
        <w:rPr>
          <w:rFonts w:ascii="Arial" w:cs="Arial" w:eastAsia="Arial" w:hAnsi="Arial"/>
          <w:sz w:val="17"/>
          <w:szCs w:val="17"/>
          <w:color w:val="auto"/>
        </w:rPr>
      </w:pPr>
    </w:p>
    <w:p>
      <w:pPr>
        <w:ind w:left="580" w:right="20" w:hanging="296"/>
        <w:spacing w:after="0" w:line="353"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Non-GAAP earnings from continuing operations per diluted Class A Nonvoting Common Share* were $0.41 during the fourth quarter ended July 31, 2014 compared to $0.55 in the same quarter of the prior year.</w:t>
      </w:r>
    </w:p>
    <w:p>
      <w:pPr>
        <w:spacing w:after="0" w:line="1" w:lineRule="exact"/>
        <w:rPr>
          <w:rFonts w:ascii="Arial" w:cs="Arial" w:eastAsia="Arial" w:hAnsi="Arial"/>
          <w:sz w:val="17"/>
          <w:szCs w:val="17"/>
          <w:color w:val="auto"/>
        </w:rPr>
      </w:pPr>
    </w:p>
    <w:p>
      <w:pPr>
        <w:ind w:left="580" w:right="20" w:hanging="296"/>
        <w:spacing w:after="0" w:line="353"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earnings from continuing operations were impacted by the impairment charges of $148.6 million primarily due to the write down of intangible assets in the Company’s PeopleID reporting unit.</w:t>
      </w:r>
    </w:p>
    <w:p>
      <w:pPr>
        <w:spacing w:after="0" w:line="1" w:lineRule="exact"/>
        <w:rPr>
          <w:rFonts w:ascii="Arial" w:cs="Arial" w:eastAsia="Arial" w:hAnsi="Arial"/>
          <w:sz w:val="17"/>
          <w:szCs w:val="17"/>
          <w:color w:val="auto"/>
        </w:rPr>
      </w:pPr>
    </w:p>
    <w:p>
      <w:pPr>
        <w:ind w:left="580" w:hanging="2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August 1, 2014, Brady completed the final phase of the divestiture of the die-cut business.</w:t>
      </w:r>
    </w:p>
    <w:p>
      <w:pPr>
        <w:spacing w:after="0" w:line="92" w:lineRule="exact"/>
        <w:rPr>
          <w:rFonts w:ascii="Arial" w:cs="Arial" w:eastAsia="Arial" w:hAnsi="Arial"/>
          <w:sz w:val="17"/>
          <w:szCs w:val="17"/>
          <w:color w:val="auto"/>
        </w:rPr>
      </w:pPr>
    </w:p>
    <w:p>
      <w:pPr>
        <w:ind w:left="580" w:right="20" w:hanging="296"/>
        <w:spacing w:after="0" w:line="353"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Fiscal 2015 Non-GAAP earnings from continuing operations per diluted Class A Nonvoting Common Share* guidance is initiated at a range from $1.50 to $1.70.</w:t>
      </w:r>
    </w:p>
    <w:p>
      <w:pPr>
        <w:spacing w:after="0" w:line="1" w:lineRule="exact"/>
        <w:rPr>
          <w:rFonts w:ascii="Arial" w:cs="Arial" w:eastAsia="Arial" w:hAnsi="Arial"/>
          <w:sz w:val="17"/>
          <w:szCs w:val="17"/>
          <w:color w:val="auto"/>
        </w:rPr>
      </w:pPr>
    </w:p>
    <w:p>
      <w:pPr>
        <w:ind w:left="580" w:right="20" w:hanging="296"/>
        <w:spacing w:after="0" w:line="376"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Thomas J. Felmer has been appointed Senior Vice President and President of Brady’s Workplace Safety business. Aaron J. Pearce replaces Felmer as Senior Vice President and Chief Financial Officer.</w:t>
      </w:r>
    </w:p>
    <w:p>
      <w:pPr>
        <w:spacing w:after="0" w:line="252"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MILWAUKEE (September 11, 2014)--Brady Corporation (NYSE: BRC) (“Brady” or “Company”), a world leader in identification solutions, today reported its financial results for the fiscal 2014 fourth quarter ended July 31, 2014.</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 Ended July 31, 2014 Financial Results:</w:t>
      </w:r>
    </w:p>
    <w:p>
      <w:pPr>
        <w:spacing w:after="0" w:line="97" w:lineRule="exact"/>
        <w:rPr>
          <w:sz w:val="20"/>
          <w:szCs w:val="20"/>
          <w:color w:val="auto"/>
        </w:rPr>
      </w:pPr>
    </w:p>
    <w:p>
      <w:pPr>
        <w:jc w:val="both"/>
        <w:ind w:right="20" w:firstLine="577"/>
        <w:spacing w:after="0" w:line="376" w:lineRule="auto"/>
        <w:rPr>
          <w:sz w:val="20"/>
          <w:szCs w:val="20"/>
          <w:color w:val="auto"/>
        </w:rPr>
      </w:pPr>
      <w:r>
        <w:rPr>
          <w:rFonts w:ascii="Arial" w:cs="Arial" w:eastAsia="Arial" w:hAnsi="Arial"/>
          <w:sz w:val="16"/>
          <w:szCs w:val="16"/>
          <w:color w:val="auto"/>
        </w:rPr>
        <w:t>Sales from continuing operations for the quarter ended July 31, 2014 increased 2.0 percent to $316.7 million compared to the fourth quarter of fiscal 2013. Total organic sales increased 1.1 percent. By segment, organic sales were up 1.2 percent in Identification Solutions and 0.9 percent in Workplace Safety.</w:t>
      </w:r>
    </w:p>
    <w:p>
      <w:pPr>
        <w:jc w:val="both"/>
        <w:ind w:firstLine="577"/>
        <w:spacing w:after="0" w:line="353" w:lineRule="auto"/>
        <w:rPr>
          <w:sz w:val="20"/>
          <w:szCs w:val="20"/>
          <w:color w:val="auto"/>
        </w:rPr>
      </w:pPr>
      <w:r>
        <w:rPr>
          <w:rFonts w:ascii="Arial" w:cs="Arial" w:eastAsia="Arial" w:hAnsi="Arial"/>
          <w:sz w:val="17"/>
          <w:szCs w:val="17"/>
          <w:color w:val="auto"/>
        </w:rPr>
        <w:t>During the fourth quarter ended July 31, 2014, the Company recorded an impairment charge of $148.6 million primarily related to the write down of intangible assets in the Company’s PeopleID reporting unit. This reporting unit includes the December 2012 acquisition of Precision Dynamics Corporation (“PDC”), which primarily sells identification products into the healthcare industry. PDC’s organic sales declined low single digits for the fiscal year ended July 31, 2014 and are forecasted to grow at a slower pace than originally anticipated. This lack of historical sales growth and reduced forecasts for future sales growth are the main drivers for this impairment charge. In the fourth quarter of last year, the Company also incurred an impairment charge of $204.4 million related to the Company’s North American Workplace Safety reporting unit and its Asia reporting unit.</w:t>
      </w:r>
    </w:p>
    <w:p>
      <w:pPr>
        <w:spacing w:after="0" w:line="5" w:lineRule="exact"/>
        <w:rPr>
          <w:sz w:val="20"/>
          <w:szCs w:val="20"/>
          <w:color w:val="auto"/>
        </w:rPr>
      </w:pPr>
    </w:p>
    <w:p>
      <w:pPr>
        <w:jc w:val="both"/>
        <w:ind w:right="20" w:firstLine="577"/>
        <w:spacing w:after="0" w:line="458" w:lineRule="auto"/>
        <w:rPr>
          <w:sz w:val="20"/>
          <w:szCs w:val="20"/>
          <w:color w:val="auto"/>
        </w:rPr>
      </w:pPr>
      <w:r>
        <w:rPr>
          <w:rFonts w:ascii="Arial" w:cs="Arial" w:eastAsia="Arial" w:hAnsi="Arial"/>
          <w:sz w:val="15"/>
          <w:szCs w:val="15"/>
          <w:color w:val="auto"/>
        </w:rPr>
        <w:t>Net (loss) from continuing operations for the quarter ended July 31, 2014 was $(97.0) million compared to $(175.6) million in the same quarter last year. Non-GAAP net earnings from continuing operations* for the quarter ended July 31, 2014, were $21.0 million compared to $28.6 million in the same quarter last year.</w:t>
      </w:r>
    </w:p>
    <w:p>
      <w:pPr>
        <w:sectPr>
          <w:pgSz w:w="11900" w:h="16838" w:orient="portrait"/>
          <w:cols w:equalWidth="0" w:num="1">
            <w:col w:w="11440"/>
          </w:cols>
          <w:pgMar w:left="240" w:top="527" w:right="219" w:bottom="1440" w:gutter="0" w:footer="0" w:header="0"/>
        </w:sectPr>
      </w:pPr>
    </w:p>
    <w:bookmarkStart w:id="6" w:name="page7"/>
    <w:bookmarkEnd w:id="6"/>
    <w:p>
      <w:pPr>
        <w:jc w:val="both"/>
        <w:ind w:firstLine="577"/>
        <w:spacing w:after="0" w:line="365" w:lineRule="auto"/>
        <w:rPr>
          <w:sz w:val="20"/>
          <w:szCs w:val="20"/>
          <w:color w:val="auto"/>
        </w:rPr>
      </w:pPr>
      <w:r>
        <w:rPr>
          <w:rFonts w:ascii="Arial" w:cs="Arial" w:eastAsia="Arial" w:hAnsi="Arial"/>
          <w:sz w:val="17"/>
          <w:szCs w:val="17"/>
          <w:color w:val="auto"/>
        </w:rPr>
        <w:t>Net (loss) from continuing operations per Class A Nonvoting Common Share was $(1.89) for the fourth quarter ended July 31, 2014 compared to $(3.40) in the same quarter last year. Non-GAAP earnings from continuing operations per diluted Class A Nonvoting Common Share* were $0.41 in the fourth quarter of fiscal 2014 and $0.55 per share in the fourth quarter of fiscal 2013.</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July 31, 2014 Financial Results:</w:t>
      </w:r>
    </w:p>
    <w:p>
      <w:pPr>
        <w:spacing w:after="0" w:line="97" w:lineRule="exact"/>
        <w:rPr>
          <w:sz w:val="20"/>
          <w:szCs w:val="20"/>
          <w:color w:val="auto"/>
        </w:rPr>
      </w:pPr>
    </w:p>
    <w:p>
      <w:pPr>
        <w:jc w:val="both"/>
        <w:ind w:right="20" w:firstLine="577"/>
        <w:spacing w:after="0" w:line="376" w:lineRule="auto"/>
        <w:rPr>
          <w:sz w:val="20"/>
          <w:szCs w:val="20"/>
          <w:color w:val="auto"/>
        </w:rPr>
      </w:pPr>
      <w:r>
        <w:rPr>
          <w:rFonts w:ascii="Arial" w:cs="Arial" w:eastAsia="Arial" w:hAnsi="Arial"/>
          <w:sz w:val="16"/>
          <w:szCs w:val="16"/>
          <w:color w:val="auto"/>
        </w:rPr>
        <w:t>Sales from continuing operations for the year ended July 31, 2014 were up 5.8 percent to $1.23 billion compared to $1.16 billion in fiscal 2013. Organic sales were up 0.2 percent. By segment, organic sales were up 2.9 percent in Identification Solutions and down 4.6 percent in Workplace Safety.</w:t>
      </w:r>
    </w:p>
    <w:p>
      <w:pPr>
        <w:jc w:val="both"/>
        <w:ind w:firstLine="577"/>
        <w:spacing w:after="0" w:line="401" w:lineRule="auto"/>
        <w:rPr>
          <w:sz w:val="20"/>
          <w:szCs w:val="20"/>
          <w:color w:val="auto"/>
        </w:rPr>
      </w:pPr>
      <w:r>
        <w:rPr>
          <w:rFonts w:ascii="Arial" w:cs="Arial" w:eastAsia="Arial" w:hAnsi="Arial"/>
          <w:sz w:val="15"/>
          <w:szCs w:val="15"/>
          <w:color w:val="auto"/>
        </w:rPr>
        <w:t>Net (loss) from continuing operations for the year ended July 31, 2014 was $(48.1) million compared to $(138.3) million for the year ended July 31, 2013. Non-GAAP net earnings from continuing operations* for the year ended July 31, 2014 were $79.5 million compared to $102.4 million for the year ended July 31, 2013.</w:t>
      </w:r>
    </w:p>
    <w:p>
      <w:pPr>
        <w:jc w:val="both"/>
        <w:ind w:right="20" w:firstLine="577"/>
        <w:spacing w:after="0" w:line="365" w:lineRule="auto"/>
        <w:rPr>
          <w:sz w:val="20"/>
          <w:szCs w:val="20"/>
          <w:color w:val="auto"/>
        </w:rPr>
      </w:pPr>
      <w:r>
        <w:rPr>
          <w:rFonts w:ascii="Arial" w:cs="Arial" w:eastAsia="Arial" w:hAnsi="Arial"/>
          <w:sz w:val="17"/>
          <w:szCs w:val="17"/>
          <w:color w:val="auto"/>
        </w:rPr>
        <w:t>Net (loss) from continuing operations per Class A Nonvoting Common Share was $(0.93) for the year ended July 31, 2014 compared to $(2.70) for the year ended July 31, 2013. Non-GAAP earnings from continuing operations per diluted Class A Nonvoting Common Share* were $1.53 for the year ended July 31, 2014 and $1.98 per share for the year ended July 31, 2013.</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Commentary:</w:t>
      </w:r>
    </w:p>
    <w:p>
      <w:pPr>
        <w:spacing w:after="0" w:line="97" w:lineRule="exact"/>
        <w:rPr>
          <w:sz w:val="20"/>
          <w:szCs w:val="20"/>
          <w:color w:val="auto"/>
        </w:rPr>
      </w:pPr>
    </w:p>
    <w:p>
      <w:pPr>
        <w:jc w:val="both"/>
        <w:ind w:firstLine="577"/>
        <w:spacing w:after="0" w:line="353" w:lineRule="auto"/>
        <w:rPr>
          <w:sz w:val="20"/>
          <w:szCs w:val="20"/>
          <w:color w:val="auto"/>
        </w:rPr>
      </w:pPr>
      <w:r>
        <w:rPr>
          <w:rFonts w:ascii="Arial" w:cs="Arial" w:eastAsia="Arial" w:hAnsi="Arial"/>
          <w:sz w:val="17"/>
          <w:szCs w:val="17"/>
          <w:color w:val="auto"/>
        </w:rPr>
        <w:t>“We were encouraged by our revenue growth in the fourth quarter, which marks the second consecutive quarter of organic sales growth. This marks the first quarter of growth in our Workplace Safety business since fiscal 2012 as we continue to add new customers, increase revenues over the internet and realize returns from increased catalog advertising,” said Brady President and CEO J. Michael Nauman.</w:t>
      </w:r>
    </w:p>
    <w:p>
      <w:pPr>
        <w:spacing w:after="0" w:line="2" w:lineRule="exact"/>
        <w:rPr>
          <w:sz w:val="20"/>
          <w:szCs w:val="20"/>
          <w:color w:val="auto"/>
        </w:rPr>
      </w:pPr>
    </w:p>
    <w:p>
      <w:pPr>
        <w:jc w:val="both"/>
        <w:ind w:firstLine="577"/>
        <w:spacing w:after="0" w:line="401" w:lineRule="auto"/>
        <w:rPr>
          <w:sz w:val="20"/>
          <w:szCs w:val="20"/>
          <w:color w:val="auto"/>
        </w:rPr>
      </w:pPr>
      <w:r>
        <w:rPr>
          <w:rFonts w:ascii="Arial" w:cs="Arial" w:eastAsia="Arial" w:hAnsi="Arial"/>
          <w:sz w:val="15"/>
          <w:szCs w:val="15"/>
          <w:color w:val="auto"/>
        </w:rPr>
        <w:t>“Although we had organic sales growth, we were not pleased with our profitability performance as we continued to incur costs related to the consolidation of our facilities and have been experiencing challenges in terms of sales mix and pricing. Our overall facility consolidation efforts have been scaled back, and we will continue to execute the facility consolidation activities in a manner that will allow us to maintain the highest service levels and least disruptions to our customers while still achieving efficiency gains over the long run. We are focused on executing business fundamentals to drive organic sales growth while deemphasizing acquisitions at this time. We are increasing our investments in R&amp;D to create sustainable processes for developing new innovative products that generate significant value for our customers. We will also focus on penetrating specific vertical markets in our Identification Solutions business in order to drive sales growth within our current industries including healthcare; food and beverage; chemical, oil and gas; and aerospace and mass transit, as well as expand our presence and product offering in selected markets in Asia. This accelerated investment in Identification Solutions will be evident in our fiscal 2015 financial results and is included in our guidance for next year,” said Nauman.</w:t>
      </w:r>
    </w:p>
    <w:p>
      <w:pPr>
        <w:spacing w:after="0" w:line="1" w:lineRule="exact"/>
        <w:rPr>
          <w:sz w:val="20"/>
          <w:szCs w:val="20"/>
          <w:color w:val="auto"/>
        </w:rPr>
      </w:pPr>
    </w:p>
    <w:p>
      <w:pPr>
        <w:jc w:val="both"/>
        <w:ind w:right="20" w:firstLine="577"/>
        <w:spacing w:after="0" w:line="376" w:lineRule="auto"/>
        <w:rPr>
          <w:sz w:val="20"/>
          <w:szCs w:val="20"/>
          <w:color w:val="auto"/>
        </w:rPr>
      </w:pPr>
      <w:r>
        <w:rPr>
          <w:rFonts w:ascii="Arial" w:cs="Arial" w:eastAsia="Arial" w:hAnsi="Arial"/>
          <w:sz w:val="17"/>
          <w:szCs w:val="17"/>
          <w:color w:val="auto"/>
        </w:rPr>
        <w:t>“Although our fourth quarter profitability and cash flow did not meet our expectations, we continue to have a strong balance sheet which strengthened during the quarter as we repaid an additional $32.7 million of debt,” said Brady’s Chief Financial Officer Aaron J. Pearce.</w:t>
      </w:r>
    </w:p>
    <w:p>
      <w:pPr>
        <w:sectPr>
          <w:pgSz w:w="11900" w:h="16838" w:orient="portrait"/>
          <w:cols w:equalWidth="0" w:num="1">
            <w:col w:w="11440"/>
          </w:cols>
          <w:pgMar w:left="240" w:top="576" w:right="2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Fiscal 2015 Guidance:</w:t>
      </w:r>
    </w:p>
    <w:p>
      <w:pPr>
        <w:spacing w:after="0" w:line="97" w:lineRule="exact"/>
        <w:rPr>
          <w:sz w:val="20"/>
          <w:szCs w:val="20"/>
          <w:color w:val="auto"/>
        </w:rPr>
      </w:pPr>
    </w:p>
    <w:p>
      <w:pPr>
        <w:jc w:val="both"/>
        <w:ind w:firstLine="577"/>
        <w:spacing w:after="0" w:line="359" w:lineRule="auto"/>
        <w:rPr>
          <w:sz w:val="20"/>
          <w:szCs w:val="20"/>
          <w:color w:val="auto"/>
        </w:rPr>
      </w:pPr>
      <w:r>
        <w:rPr>
          <w:rFonts w:ascii="Arial" w:cs="Arial" w:eastAsia="Arial" w:hAnsi="Arial"/>
          <w:sz w:val="17"/>
          <w:szCs w:val="17"/>
          <w:color w:val="auto"/>
        </w:rPr>
        <w:t>The Company anticipates low single-digit organic sales growth in fiscal 2015, with organic sales growth in both the Identification Solutions and Workplace Safety businesses. Brady also expects earnings from continuing operations per diluted Class A Nonvoting Common Share of between $1.50 and $1.70, exclusive of restructuring charges and other non-routine charges. This guidance is based on current exchange rates, a full-year income tax rate in the mid-to-upper 20 percent range. We also anticipate approximately $15 million of restructuring charges in fiscal 2015 and capital expenditures of approximately $30 million in fiscal 2015 before returning to a more normalized level in fiscal 2016.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Appointments:</w:t>
      </w:r>
    </w:p>
    <w:p>
      <w:pPr>
        <w:spacing w:after="0" w:line="97" w:lineRule="exact"/>
        <w:rPr>
          <w:sz w:val="20"/>
          <w:szCs w:val="20"/>
          <w:color w:val="auto"/>
        </w:rPr>
      </w:pPr>
    </w:p>
    <w:p>
      <w:pPr>
        <w:jc w:val="both"/>
        <w:ind w:right="20" w:firstLine="433"/>
        <w:spacing w:after="0" w:line="353" w:lineRule="auto"/>
        <w:rPr>
          <w:sz w:val="20"/>
          <w:szCs w:val="20"/>
          <w:color w:val="auto"/>
        </w:rPr>
      </w:pPr>
      <w:r>
        <w:rPr>
          <w:rFonts w:ascii="Arial" w:cs="Arial" w:eastAsia="Arial" w:hAnsi="Arial"/>
          <w:sz w:val="17"/>
          <w:szCs w:val="17"/>
          <w:color w:val="auto"/>
        </w:rPr>
        <w:t>Brady’s Board of Directors has appointed Thomas J. Felmer to serve as the Company’s Senior Vice President and President - Workplace Safety. Mr. Felmer most recently served as Senior Vice President and CFO. He joined Brady in 1989 and has held various Group President and general management positions across several Brady businesses in both the U.S. and Europe.</w:t>
      </w:r>
    </w:p>
    <w:p>
      <w:pPr>
        <w:spacing w:after="0" w:line="2" w:lineRule="exact"/>
        <w:rPr>
          <w:sz w:val="20"/>
          <w:szCs w:val="20"/>
          <w:color w:val="auto"/>
        </w:rPr>
      </w:pPr>
    </w:p>
    <w:p>
      <w:pPr>
        <w:jc w:val="both"/>
        <w:ind w:firstLine="433"/>
        <w:spacing w:after="0" w:line="376" w:lineRule="auto"/>
        <w:rPr>
          <w:sz w:val="20"/>
          <w:szCs w:val="20"/>
          <w:color w:val="auto"/>
        </w:rPr>
      </w:pPr>
      <w:r>
        <w:rPr>
          <w:rFonts w:ascii="Arial" w:cs="Arial" w:eastAsia="Arial" w:hAnsi="Arial"/>
          <w:sz w:val="16"/>
          <w:szCs w:val="16"/>
          <w:color w:val="auto"/>
        </w:rPr>
        <w:t>With Mr. Felmer’s appointment as President - Workplace Safety, the Board has appointed Aaron J. Pearce to serve as Senior Vice President and Chief Financial Officer of the Company. Mr. Pearce joined Brady in 2004 as Director of Internal Audit, and has held various financial leadership positions including Finance Director for the Company’s Asia Pacific Region; Global Tax Director; Vice President, Treasurer and Director of Investor Relations; and Vice President - Finance, with responsibility for finance support to the Company’s Workplace Safety and ID Solutions businesses, as well as financial planning and analysis.</w:t>
      </w:r>
    </w:p>
    <w:p>
      <w:pPr>
        <w:jc w:val="both"/>
        <w:ind w:right="20" w:firstLine="484"/>
        <w:spacing w:after="0" w:line="429" w:lineRule="auto"/>
        <w:rPr>
          <w:sz w:val="20"/>
          <w:szCs w:val="20"/>
          <w:color w:val="auto"/>
        </w:rPr>
      </w:pPr>
      <w:r>
        <w:rPr>
          <w:rFonts w:ascii="Arial" w:cs="Arial" w:eastAsia="Arial" w:hAnsi="Arial"/>
          <w:sz w:val="15"/>
          <w:szCs w:val="15"/>
          <w:color w:val="auto"/>
        </w:rPr>
        <w:t>“Tom Felmer is a talented executive who has been with Brady for more than 25 years and I am pleased that he has accepted the role of President of Workplace Safety and that he will continue his excellent work leading the turnaround of this business unit,” said Brady President and CEO J. Michael Nauman. “Aaron Pearce brings a broad range of financial experience and intimate knowledge of Brady’s business to the role of CFO and I look forward to working with him in this capacity.”</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2014 fourth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 today.</w:t>
      </w:r>
    </w:p>
    <w:p>
      <w:pPr>
        <w:spacing w:after="0" w:line="200" w:lineRule="exact"/>
        <w:rPr>
          <w:sz w:val="20"/>
          <w:szCs w:val="20"/>
          <w:color w:val="auto"/>
        </w:rPr>
      </w:pPr>
    </w:p>
    <w:p>
      <w:pPr>
        <w:spacing w:after="0" w:line="204" w:lineRule="exact"/>
        <w:rPr>
          <w:sz w:val="20"/>
          <w:szCs w:val="20"/>
          <w:color w:val="auto"/>
        </w:rPr>
      </w:pPr>
    </w:p>
    <w:p>
      <w:pPr>
        <w:jc w:val="both"/>
        <w:ind w:firstLine="577"/>
        <w:spacing w:after="0" w:line="358"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education, medical and a variety of other industries. Brady is headquartered in Milwaukee, Wisconsin and as of August 1, 2014, employed approximately 6,400 people in its worldwide businesses. Brady’s fiscal 2014 sales were approximately $1.23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 See accompanying notes for Non-GAAP measures.</w:t>
      </w:r>
    </w:p>
    <w:p>
      <w:pPr>
        <w:sectPr>
          <w:pgSz w:w="11900" w:h="16838" w:orient="portrait"/>
          <w:cols w:equalWidth="0" w:num="1">
            <w:col w:w="11440"/>
          </w:cols>
          <w:pgMar w:left="240" w:top="572"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w:t>
      </w:r>
    </w:p>
    <w:p>
      <w:pPr>
        <w:spacing w:after="0" w:line="4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the length or severity of the current worldwide economic downturn or timing or strength of a subsequent recovery; future financial performance of major markets Brady serves, which include, without limitation, telecommunications, hard disk drive, manufacturing, electrical, construction, laboratory, education, governmental, public utility, computer, healthcare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risks associated with identifying, completing, and integrating acquisitions; risks associated with divestitures and businesses held for sale; risks associated with restructuring plans; environmental, health and safety compliance costs and liabilities; risk associated with loss of key talent; risk associated with product liability claims;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risk, associated with our ownership structure;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2013.</w:t>
      </w:r>
    </w:p>
    <w:p>
      <w:pPr>
        <w:spacing w:after="0" w:line="15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40" w:top="576" w:right="21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(Unaudited; Dollars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5"/>
          </w:tcPr>
          <w:p>
            <w:pPr>
              <w:ind w:left="40"/>
              <w:spacing w:after="0"/>
              <w:rPr>
                <w:sz w:val="20"/>
                <w:szCs w:val="20"/>
                <w:color w:val="auto"/>
              </w:rPr>
            </w:pPr>
            <w:r>
              <w:rPr>
                <w:rFonts w:ascii="Arial" w:cs="Arial" w:eastAsia="Arial" w:hAnsi="Arial"/>
                <w:sz w:val="16"/>
                <w:szCs w:val="16"/>
                <w:color w:val="auto"/>
              </w:rPr>
              <w:t>Three months ended July 31,</w:t>
            </w:r>
          </w:p>
        </w:tc>
        <w:tc>
          <w:tcPr>
            <w:tcW w:w="120" w:type="dxa"/>
            <w:vAlign w:val="bottom"/>
          </w:tcPr>
          <w:p>
            <w:pPr>
              <w:spacing w:after="0"/>
              <w:rPr>
                <w:sz w:val="17"/>
                <w:szCs w:val="17"/>
                <w:color w:val="auto"/>
              </w:rPr>
            </w:pPr>
          </w:p>
        </w:tc>
        <w:tc>
          <w:tcPr>
            <w:tcW w:w="2080" w:type="dxa"/>
            <w:vAlign w:val="bottom"/>
            <w:gridSpan w:val="4"/>
          </w:tcPr>
          <w:p>
            <w:pPr>
              <w:jc w:val="right"/>
              <w:ind w:right="20"/>
              <w:spacing w:after="0"/>
              <w:rPr>
                <w:sz w:val="20"/>
                <w:szCs w:val="20"/>
                <w:color w:val="auto"/>
              </w:rPr>
            </w:pPr>
            <w:r>
              <w:rPr>
                <w:rFonts w:ascii="Arial" w:cs="Arial" w:eastAsia="Arial" w:hAnsi="Arial"/>
                <w:sz w:val="16"/>
                <w:szCs w:val="16"/>
                <w:color w:val="auto"/>
                <w:w w:val="89"/>
              </w:rPr>
              <w:t>Twelve Months Ended July 31,</w:t>
            </w:r>
          </w:p>
        </w:tc>
      </w:tr>
      <w:tr>
        <w:trPr>
          <w:trHeight w:val="24"/>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8"/>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8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00"/>
              <w:spacing w:after="0"/>
              <w:rPr>
                <w:sz w:val="20"/>
                <w:szCs w:val="20"/>
                <w:color w:val="auto"/>
              </w:rPr>
            </w:pPr>
            <w:r>
              <w:rPr>
                <w:rFonts w:ascii="Arial" w:cs="Arial" w:eastAsia="Arial" w:hAnsi="Arial"/>
                <w:sz w:val="16"/>
                <w:szCs w:val="16"/>
                <w:color w:val="auto"/>
              </w:rPr>
              <w:t>2014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80"/>
              <w:spacing w:after="0"/>
              <w:rPr>
                <w:sz w:val="20"/>
                <w:szCs w:val="20"/>
                <w:color w:val="auto"/>
              </w:rPr>
            </w:pPr>
            <w:r>
              <w:rPr>
                <w:rFonts w:ascii="Arial" w:cs="Arial" w:eastAsia="Arial" w:hAnsi="Arial"/>
                <w:sz w:val="16"/>
                <w:szCs w:val="16"/>
                <w:color w:val="auto"/>
              </w:rPr>
              <w:t>2013</w:t>
            </w:r>
          </w:p>
        </w:tc>
      </w:tr>
      <w:tr>
        <w:trPr>
          <w:trHeight w:val="24"/>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316,733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310,592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1,225,034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1,157,792</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162,672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152,722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615,470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548,444</w:t>
            </w:r>
          </w:p>
        </w:tc>
      </w:tr>
      <w:tr>
        <w:trPr>
          <w:trHeight w:val="24"/>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157,870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609,564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609,348</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35,048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33,552</w:t>
            </w:r>
          </w:p>
        </w:tc>
      </w:tr>
      <w:tr>
        <w:trPr>
          <w:trHeight w:val="216"/>
        </w:trPr>
        <w:tc>
          <w:tcPr>
            <w:tcW w:w="410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106,983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452,164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427,858</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Restructuring charges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15,573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15,012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26,046</w:t>
            </w:r>
          </w:p>
        </w:tc>
      </w:tr>
      <w:tr>
        <w:trPr>
          <w:trHeight w:val="216"/>
        </w:trPr>
        <w:tc>
          <w:tcPr>
            <w:tcW w:w="4100" w:type="dxa"/>
            <w:vAlign w:val="bottom"/>
          </w:tcPr>
          <w:p>
            <w:pPr>
              <w:ind w:left="340"/>
              <w:spacing w:after="0"/>
              <w:rPr>
                <w:sz w:val="20"/>
                <w:szCs w:val="20"/>
                <w:color w:val="auto"/>
              </w:rPr>
            </w:pPr>
            <w:r>
              <w:rPr>
                <w:rFonts w:ascii="Arial" w:cs="Arial" w:eastAsia="Arial" w:hAnsi="Arial"/>
                <w:sz w:val="16"/>
                <w:szCs w:val="16"/>
                <w:color w:val="auto"/>
              </w:rPr>
              <w:t>Impairment charges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148,551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204,448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148,551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204,448</w:t>
            </w:r>
          </w:p>
        </w:tc>
      </w:tr>
      <w:tr>
        <w:trPr>
          <w:trHeight w:val="24"/>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336,394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650,775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691,904</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(116,013)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(41,211)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(82,556)</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and (expense):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6"/>
        </w:trPr>
        <w:tc>
          <w:tcPr>
            <w:tcW w:w="4100" w:type="dxa"/>
            <w:vAlign w:val="bottom"/>
          </w:tcPr>
          <w:p>
            <w:pPr>
              <w:ind w:left="340"/>
              <w:spacing w:after="0"/>
              <w:rPr>
                <w:sz w:val="20"/>
                <w:szCs w:val="20"/>
                <w:color w:val="auto"/>
              </w:rPr>
            </w:pPr>
            <w:r>
              <w:rPr>
                <w:rFonts w:ascii="Arial" w:cs="Arial" w:eastAsia="Arial" w:hAnsi="Arial"/>
                <w:sz w:val="16"/>
                <w:szCs w:val="16"/>
                <w:color w:val="auto"/>
              </w:rPr>
              <w:t>Investment and other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3,523</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r>
      <w:tr>
        <w:trPr>
          <w:trHeight w:val="208"/>
        </w:trPr>
        <w:tc>
          <w:tcPr>
            <w:tcW w:w="4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42,583</w:t>
            </w:r>
          </w:p>
        </w:tc>
      </w:tr>
      <w:tr>
        <w:trPr>
          <w:trHeight w:val="208"/>
        </w:trPr>
        <w:tc>
          <w:tcPr>
            <w:tcW w:w="4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(175,557)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r>
      <w:tr>
        <w:trPr>
          <w:trHeight w:val="240"/>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(Loss) earnings from discontinued operations, net of income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(16,278)</w:t>
            </w:r>
          </w:p>
        </w:tc>
      </w:tr>
      <w:tr>
        <w:trPr>
          <w:trHeight w:val="232"/>
        </w:trPr>
        <w:tc>
          <w:tcPr>
            <w:tcW w:w="4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3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(177,271)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8"/>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per Class A Nonvoting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(0.93)</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per Class B Nonvoting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(0.95)</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(Loss) earnings from discontinued operations per Class A</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Nonvoting 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(Loss) earnings from discontinued operations per Class B</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Voting 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per Class A Nonvoting 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(0.89)</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Dividends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0.195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0.78</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0.76</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Loss per Class B Voting Common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0.74</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Weighted average common shares outstanding (in thousands):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51,689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51,866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51,330</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51,689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51,866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51,330</w:t>
            </w:r>
          </w:p>
        </w:tc>
      </w:tr>
      <w:tr>
        <w:trPr>
          <w:trHeight w:val="24"/>
        </w:trPr>
        <w:tc>
          <w:tcPr>
            <w:tcW w:w="4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35" w:right="1440" w:bottom="542"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(Unaudited;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gridSpan w:val="3"/>
          </w:tcPr>
          <w:p>
            <w:pPr>
              <w:ind w:left="80"/>
              <w:spacing w:after="0"/>
              <w:rPr>
                <w:sz w:val="20"/>
                <w:szCs w:val="20"/>
                <w:color w:val="auto"/>
              </w:rPr>
            </w:pPr>
            <w:r>
              <w:rPr>
                <w:rFonts w:ascii="Arial" w:cs="Arial" w:eastAsia="Arial" w:hAnsi="Arial"/>
                <w:sz w:val="16"/>
                <w:szCs w:val="16"/>
                <w:color w:val="auto"/>
              </w:rPr>
              <w:t>July 31, 2014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July 31, 2013</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jc w:val="center"/>
              <w:ind w:right="2920"/>
              <w:spacing w:after="0" w:line="172" w:lineRule="exact"/>
              <w:rPr>
                <w:sz w:val="20"/>
                <w:szCs w:val="20"/>
                <w:color w:val="auto"/>
              </w:rPr>
            </w:pPr>
            <w:r>
              <w:rPr>
                <w:rFonts w:ascii="Arial" w:cs="Arial" w:eastAsia="Arial" w:hAnsi="Arial"/>
                <w:sz w:val="16"/>
                <w:szCs w:val="16"/>
                <w:b w:val="1"/>
                <w:bCs w:val="1"/>
                <w:color w:val="auto"/>
                <w:w w:val="93"/>
              </w:rPr>
              <w:t>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600" w:type="dxa"/>
            <w:vAlign w:val="bottom"/>
            <w:tcBorders>
              <w:top w:val="single" w:sz="8" w:color="auto"/>
            </w:tcBorders>
          </w:tcPr>
          <w:p>
            <w:pPr>
              <w:spacing w:after="0"/>
              <w:rPr>
                <w:sz w:val="18"/>
                <w:szCs w:val="18"/>
                <w:color w:val="auto"/>
              </w:rPr>
            </w:pPr>
          </w:p>
        </w:tc>
        <w:tc>
          <w:tcPr>
            <w:tcW w:w="292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91,058</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Accounts receivable—net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169,261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Finished products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73,096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64,544</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14,776</w:t>
            </w:r>
          </w:p>
        </w:tc>
        <w:tc>
          <w:tcPr>
            <w:tcW w:w="0" w:type="dxa"/>
            <w:vAlign w:val="bottom"/>
          </w:tcPr>
          <w:p>
            <w:pPr>
              <w:spacing w:after="0"/>
              <w:rPr>
                <w:sz w:val="1"/>
                <w:szCs w:val="1"/>
                <w:color w:val="auto"/>
              </w:rPr>
            </w:pPr>
          </w:p>
        </w:tc>
      </w:tr>
      <w:tr>
        <w:trPr>
          <w:trHeight w:val="216"/>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Raw materials and supplies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113,275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94,707</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Assets held for sale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119,864</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37,600</w:t>
            </w:r>
          </w:p>
        </w:tc>
        <w:tc>
          <w:tcPr>
            <w:tcW w:w="0" w:type="dxa"/>
            <w:vAlign w:val="bottom"/>
          </w:tcPr>
          <w:p>
            <w:pPr>
              <w:spacing w:after="0"/>
              <w:rPr>
                <w:sz w:val="1"/>
                <w:szCs w:val="1"/>
                <w:color w:val="auto"/>
              </w:rPr>
            </w:pPr>
          </w:p>
        </w:tc>
      </w:tr>
      <w:tr>
        <w:trPr>
          <w:trHeight w:val="208"/>
        </w:trPr>
        <w:tc>
          <w:tcPr>
            <w:tcW w:w="6420" w:type="dxa"/>
            <w:vAlign w:val="bottom"/>
            <w:gridSpan w:val="5"/>
          </w:tcPr>
          <w:p>
            <w:pPr>
              <w:ind w:left="4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463,842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512,490</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156,851</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8,623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21,325</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Cost: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Land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7,861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Buildings and improvements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91,471</w:t>
            </w:r>
          </w:p>
        </w:tc>
        <w:tc>
          <w:tcPr>
            <w:tcW w:w="0" w:type="dxa"/>
            <w:vAlign w:val="bottom"/>
          </w:tcPr>
          <w:p>
            <w:pPr>
              <w:spacing w:after="0"/>
              <w:rPr>
                <w:sz w:val="1"/>
                <w:szCs w:val="1"/>
                <w:color w:val="auto"/>
              </w:rPr>
            </w:pPr>
          </w:p>
        </w:tc>
      </w:tr>
      <w:tr>
        <w:trPr>
          <w:trHeight w:val="216"/>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266,787</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11,842</w:t>
            </w: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410,650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377,961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276,479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255,803</w:t>
            </w:r>
          </w:p>
        </w:tc>
        <w:tc>
          <w:tcPr>
            <w:tcW w:w="0" w:type="dxa"/>
            <w:vAlign w:val="bottom"/>
          </w:tcPr>
          <w:p>
            <w:pPr>
              <w:spacing w:after="0"/>
              <w:rPr>
                <w:sz w:val="1"/>
                <w:szCs w:val="1"/>
                <w:color w:val="auto"/>
              </w:rPr>
            </w:pPr>
          </w:p>
        </w:tc>
      </w:tr>
      <w:tr>
        <w:trPr>
          <w:trHeight w:val="208"/>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Property, plant and equipment—net</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134,171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122,158</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1,253,665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6420" w:type="dxa"/>
            <w:vAlign w:val="bottom"/>
            <w:gridSpan w:val="5"/>
            <w:vMerge w:val="restart"/>
          </w:tcPr>
          <w:p>
            <w:pPr>
              <w:jc w:val="center"/>
              <w:ind w:right="20"/>
              <w:spacing w:after="0"/>
              <w:rPr>
                <w:sz w:val="20"/>
                <w:szCs w:val="20"/>
                <w:color w:val="auto"/>
              </w:rPr>
            </w:pPr>
            <w:r>
              <w:rPr>
                <w:rFonts w:ascii="Arial" w:cs="Arial" w:eastAsia="Arial" w:hAnsi="Arial"/>
                <w:sz w:val="16"/>
                <w:szCs w:val="16"/>
                <w:b w:val="1"/>
                <w:bCs w:val="1"/>
                <w:color w:val="auto"/>
              </w:rPr>
              <w:t>LIABILITIES AND STOCKHOLDERS’ INVESTMENT</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4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240" w:type="dxa"/>
            <w:vAlign w:val="bottom"/>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Notes payable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61,422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50,613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82,519</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Wages and amounts withheld from employees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42,413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Liabilities held for sale</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Taxes, other than income taxes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8,243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36,806</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Current maturities on 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08"/>
        </w:trPr>
        <w:tc>
          <w:tcPr>
            <w:tcW w:w="6420" w:type="dxa"/>
            <w:vAlign w:val="bottom"/>
            <w:gridSpan w:val="5"/>
          </w:tcPr>
          <w:p>
            <w:pPr>
              <w:ind w:left="4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291,945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323,497</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Long-term obligations, less current maturities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201,150</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69,348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83,239</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520,589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607,886</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Stockholders’ investment: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Common stock:</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420" w:type="dxa"/>
            <w:vAlign w:val="bottom"/>
            <w:gridSpan w:val="5"/>
          </w:tcPr>
          <w:p>
            <w:pPr>
              <w:ind w:left="420"/>
              <w:spacing w:after="0"/>
              <w:rPr>
                <w:sz w:val="20"/>
                <w:szCs w:val="20"/>
                <w:color w:val="auto"/>
              </w:rPr>
            </w:pPr>
            <w:r>
              <w:rPr>
                <w:rFonts w:ascii="Arial" w:cs="Arial" w:eastAsia="Arial" w:hAnsi="Arial"/>
                <w:sz w:val="16"/>
                <w:szCs w:val="16"/>
                <w:color w:val="auto"/>
                <w:w w:val="92"/>
              </w:rPr>
              <w:t>Class A nonvoting common stock—Issued 51,261,487 and 51,261,487 shares, respectively</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and outstanding 47,704,196 and 48,408,544 shares, respectively</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Class B voting common stock—Issued and outstanding, 3,538,628 shares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311,811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306,191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Earnings retained in the business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452,057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538,512</w:t>
            </w:r>
          </w:p>
        </w:tc>
        <w:tc>
          <w:tcPr>
            <w:tcW w:w="0" w:type="dxa"/>
            <w:vAlign w:val="bottom"/>
          </w:tcPr>
          <w:p>
            <w:pPr>
              <w:spacing w:after="0"/>
              <w:rPr>
                <w:sz w:val="1"/>
                <w:szCs w:val="1"/>
                <w:color w:val="auto"/>
              </w:rPr>
            </w:pPr>
          </w:p>
        </w:tc>
      </w:tr>
      <w:tr>
        <w:trPr>
          <w:trHeight w:val="204"/>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Treasury stock—3,477,291 and 2,626,276 shares, respectively of Class A nonvoting</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common stock, at cost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(93,337)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(69,797)</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b w:val="1"/>
                <w:bCs w:val="1"/>
                <w:color w:val="auto"/>
              </w:rPr>
              <w:t>Total stockholders’ investment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733,076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830,797</w:t>
            </w:r>
          </w:p>
        </w:tc>
        <w:tc>
          <w:tcPr>
            <w:tcW w:w="0" w:type="dxa"/>
            <w:vAlign w:val="bottom"/>
          </w:tcPr>
          <w:p>
            <w:pPr>
              <w:spacing w:after="0"/>
              <w:rPr>
                <w:sz w:val="1"/>
                <w:szCs w:val="1"/>
                <w:color w:val="auto"/>
              </w:rPr>
            </w:pPr>
          </w:p>
        </w:tc>
      </w:tr>
      <w:tr>
        <w:trPr>
          <w:trHeight w:val="226"/>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1,253,665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5" w:right="1440"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(Unaudited;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1140" w:type="dxa"/>
            <w:vAlign w:val="bottom"/>
            <w:gridSpan w:val="3"/>
          </w:tcPr>
          <w:p>
            <w:pPr>
              <w:ind w:left="80"/>
              <w:spacing w:after="0"/>
              <w:rPr>
                <w:sz w:val="20"/>
                <w:szCs w:val="20"/>
                <w:color w:val="auto"/>
              </w:rPr>
            </w:pPr>
            <w:r>
              <w:rPr>
                <w:rFonts w:ascii="Arial" w:cs="Arial" w:eastAsia="Arial" w:hAnsi="Arial"/>
                <w:sz w:val="16"/>
                <w:szCs w:val="16"/>
                <w:color w:val="auto"/>
              </w:rPr>
              <w:t>July 31, 2014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July 31, 2013</w:t>
            </w:r>
          </w:p>
        </w:tc>
      </w:tr>
      <w:tr>
        <w:trPr>
          <w:trHeight w:val="24"/>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2"/>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(45,968)</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(154,535)</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44,598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48,725</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Non-cash portion of restructuring charges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3,699</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Non-cash portion of stock-based compensation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1,736</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Impairment charges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Loss on write-down of assets held for sale</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15,658</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Loss on sales of businesses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21,630</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Changes in operating assets and liabilities (net of effects of business acquisitions/divestitures):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4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1,535</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w:t>
            </w:r>
          </w:p>
        </w:tc>
      </w:tr>
      <w:tr>
        <w:trPr>
          <w:trHeight w:val="216"/>
        </w:trPr>
        <w:tc>
          <w:tcPr>
            <w:tcW w:w="6420" w:type="dxa"/>
            <w:vAlign w:val="bottom"/>
          </w:tcPr>
          <w:p>
            <w:pPr>
              <w:ind w:left="42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5,036</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r>
      <w:tr>
        <w:trPr>
          <w:trHeight w:val="216"/>
        </w:trPr>
        <w:tc>
          <w:tcPr>
            <w:tcW w:w="642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(7,722)</w:t>
            </w:r>
          </w:p>
        </w:tc>
      </w:tr>
      <w:tr>
        <w:trPr>
          <w:trHeight w:val="24"/>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2"/>
        </w:trPr>
        <w:tc>
          <w:tcPr>
            <w:tcW w:w="6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143,503</w:t>
            </w:r>
          </w:p>
        </w:tc>
      </w:tr>
      <w:tr>
        <w:trPr>
          <w:trHeight w:val="240"/>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(35,687)</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(301,157)</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Sales of businesses, net of cash retained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54,242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10,178</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08"/>
        </w:trPr>
        <w:tc>
          <w:tcPr>
            <w:tcW w:w="6420" w:type="dxa"/>
            <w:vAlign w:val="bottom"/>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(325,766)</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Payment of dividends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(39,243)</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Proceeds from issuance of common stock</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20,324</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Purchase of treasury stock</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(5,121)</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Proceeds from borrowings on notes payable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220,000</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Repayment of borrowings on notes payable</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(181,000)</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Proceeds from borrowings on line of credit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11,613</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Repayment of borrowings on line of credit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Principal payments on debt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(61,264)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(61,264)</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4"/>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2"/>
              </w:rPr>
              <w:t>Income tax benefit from the exercise of stock options and deferred compensation distributions,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and other</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r>
      <w:tr>
        <w:trPr>
          <w:trHeight w:val="208"/>
        </w:trPr>
        <w:tc>
          <w:tcPr>
            <w:tcW w:w="6420" w:type="dxa"/>
            <w:vAlign w:val="bottom"/>
          </w:tcPr>
          <w:p>
            <w:pPr>
              <w:ind w:left="56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(115,387)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(33,060)</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(214,842)</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305,900</w:t>
            </w:r>
          </w:p>
        </w:tc>
      </w:tr>
      <w:tr>
        <w:trPr>
          <w:trHeight w:val="232"/>
        </w:trPr>
        <w:tc>
          <w:tcPr>
            <w:tcW w:w="6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91,058</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2"/>
        </w:trPr>
        <w:tc>
          <w:tcPr>
            <w:tcW w:w="6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 net of capitalized interest</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17,162</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Income taxes, net of refunds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34,030</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Fair value of assets acquired, net of cash</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168,724</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Liabilities assumed</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(37,747)</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170,180</w:t>
            </w:r>
          </w:p>
        </w:tc>
      </w:tr>
      <w:tr>
        <w:trPr>
          <w:trHeight w:val="24"/>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6"/>
        </w:trPr>
        <w:tc>
          <w:tcPr>
            <w:tcW w:w="64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paid for acquisitions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301,157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5" w:right="1440"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(Unaudited; Dollars in Thousands)</w:t>
      </w:r>
    </w:p>
    <w:p>
      <w:pPr>
        <w:spacing w:after="0" w:line="156" w:lineRule="exact"/>
        <w:rPr>
          <w:sz w:val="20"/>
          <w:szCs w:val="20"/>
          <w:color w:val="auto"/>
        </w:rPr>
      </w:pPr>
    </w:p>
    <w:tbl>
      <w:tblPr>
        <w:tblLayout w:type="fixed"/>
        <w:tblInd w:w="2980" w:type="dxa"/>
        <w:tblCellMar>
          <w:top w:w="0" w:type="dxa"/>
          <w:left w:w="0" w:type="dxa"/>
          <w:bottom w:w="0" w:type="dxa"/>
          <w:right w:w="0" w:type="dxa"/>
        </w:tblCellMar>
      </w:tblPr>
      <w:tr>
        <w:trPr>
          <w:trHeight w:val="182"/>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Fiscal 2014</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Fiscal 2013</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0"/>
        </w:trPr>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860" w:type="dxa"/>
            <w:vAlign w:val="bottom"/>
            <w:gridSpan w:val="2"/>
          </w:tcPr>
          <w:p>
            <w:pPr>
              <w:ind w:left="300"/>
              <w:spacing w:after="0"/>
              <w:rPr>
                <w:sz w:val="20"/>
                <w:szCs w:val="20"/>
                <w:color w:val="auto"/>
              </w:rPr>
            </w:pPr>
            <w:r>
              <w:rPr>
                <w:rFonts w:ascii="Arial" w:cs="Arial" w:eastAsia="Arial" w:hAnsi="Arial"/>
                <w:sz w:val="14"/>
                <w:szCs w:val="14"/>
                <w:color w:val="auto"/>
              </w:rPr>
              <w:t>Q1</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Q2</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Q3</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Q4</w:t>
            </w: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YTD</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Q1</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Q2</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Q3</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Q4</w:t>
            </w:r>
          </w:p>
        </w:tc>
        <w:tc>
          <w:tcPr>
            <w:tcW w:w="760" w:type="dxa"/>
            <w:vAlign w:val="bottom"/>
          </w:tcPr>
          <w:p>
            <w:pPr>
              <w:ind w:left="240"/>
              <w:spacing w:after="0"/>
              <w:rPr>
                <w:sz w:val="20"/>
                <w:szCs w:val="20"/>
                <w:color w:val="auto"/>
              </w:rPr>
            </w:pPr>
            <w:r>
              <w:rPr>
                <w:rFonts w:ascii="Arial" w:cs="Arial" w:eastAsia="Arial" w:hAnsi="Arial"/>
                <w:sz w:val="14"/>
                <w:szCs w:val="14"/>
                <w:color w:val="auto"/>
              </w:rPr>
              <w:t>YTD</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317740" cy="160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16002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SALES TO EXTERNAL CUSTOMERS</w:t>
      </w:r>
    </w:p>
    <w:p>
      <w:pPr>
        <w:sectPr>
          <w:pgSz w:w="11900" w:h="16838" w:orient="portrait"/>
          <w:cols w:equalWidth="0" w:num="1">
            <w:col w:w="11520"/>
          </w:cols>
          <w:pgMar w:left="240" w:top="535" w:right="139" w:bottom="1440" w:gutter="0" w:footer="0" w:header="0"/>
        </w:sectPr>
      </w:pP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ID Solutions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Workplace Safety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SALES INFORMATION</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ID Solutions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Organic</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Currency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Acquisitions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Workplace Safety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Organic</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Currency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Acquisitions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Total Company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Organic</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Currency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Acquisitions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SEGMENT PROFIT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ID Solutions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Workplace Safety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SEGMENT PROFIT AS A PERCENT OF SALES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ID Solutions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Workplace Safety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segment profit</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Unallocated amounts: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Administrative costs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Restructuring charges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Impairment charges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Investment and other income</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Interest expense</w:t>
      </w:r>
    </w:p>
    <w:p>
      <w:pPr>
        <w:spacing w:after="0" w:line="31" w:lineRule="exact"/>
        <w:rPr>
          <w:sz w:val="20"/>
          <w:szCs w:val="20"/>
          <w:color w:val="auto"/>
        </w:rPr>
      </w:pPr>
    </w:p>
    <w:p>
      <w:pPr>
        <w:ind w:left="20" w:right="200"/>
        <w:spacing w:after="0" w:line="236" w:lineRule="auto"/>
        <w:rPr>
          <w:sz w:val="20"/>
          <w:szCs w:val="20"/>
          <w:color w:val="auto"/>
        </w:rPr>
      </w:pPr>
      <w:r>
        <w:rPr>
          <w:rFonts w:ascii="Arial" w:cs="Arial" w:eastAsia="Arial" w:hAnsi="Arial"/>
          <w:sz w:val="13"/>
          <w:szCs w:val="13"/>
          <w:color w:val="auto"/>
        </w:rPr>
        <w:t>Earnings (loss) from continuing operations before income taxes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spacing w:after="0"/>
              <w:rPr>
                <w:sz w:val="20"/>
                <w:szCs w:val="20"/>
                <w:color w:val="auto"/>
              </w:rPr>
            </w:pPr>
            <w:r>
              <w:rPr>
                <w:rFonts w:ascii="Arial" w:cs="Arial" w:eastAsia="Arial" w:hAnsi="Arial"/>
                <w:sz w:val="14"/>
                <w:szCs w:val="14"/>
                <w:color w:val="auto"/>
              </w:rPr>
              <w:t>$209,546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$194,732</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$206,448</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$214,397</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$825,123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$162,393</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$168,234</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$197,417</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$211,071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$739,115</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97,984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96,462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103,129</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102,336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399,911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109,622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104,468</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105,066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99,521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418,677</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$307,530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$291,194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$309,577</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$316,733</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$1,225,034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$272,015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$272,702</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$302,483</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$310,592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$1,157,792</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3"/>
        </w:trPr>
        <w:tc>
          <w:tcPr>
            <w:tcW w:w="76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26.0 %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13.8 %</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28.2 %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29.0 %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30.7 %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26"/>
        </w:trPr>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40"/>
        </w:trPr>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26"/>
        </w:trPr>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15.6 %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43"/>
        </w:trPr>
        <w:tc>
          <w:tcPr>
            <w:tcW w:w="760" w:type="dxa"/>
            <w:vAlign w:val="bottom"/>
          </w:tcPr>
          <w:p>
            <w:pPr>
              <w:jc w:val="right"/>
              <w:spacing w:after="0"/>
              <w:rPr>
                <w:sz w:val="20"/>
                <w:szCs w:val="20"/>
                <w:color w:val="auto"/>
              </w:rPr>
            </w:pPr>
            <w:r>
              <w:rPr>
                <w:rFonts w:ascii="Arial" w:cs="Arial" w:eastAsia="Arial" w:hAnsi="Arial"/>
                <w:sz w:val="14"/>
                <w:szCs w:val="14"/>
                <w:color w:val="auto"/>
              </w:rPr>
              <w:t>$50,967</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$37,526</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$44,302</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$43,334</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$176,129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$44,580</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$34,643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$46,787</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$48,379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$174,389</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18,374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14,668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14,771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18,425</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66,238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27,829</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23,600</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23,453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20,360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95,242</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$69,341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$52,194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$59,073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$61,759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$242,367</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$72,409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$58,243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$70,240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$68,739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$269,631</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26"/>
        </w:trPr>
        <w:tc>
          <w:tcPr>
            <w:tcW w:w="760" w:type="dxa"/>
            <w:vAlign w:val="bottom"/>
          </w:tcPr>
          <w:p>
            <w:pPr>
              <w:jc w:val="right"/>
              <w:spacing w:after="0"/>
              <w:rPr>
                <w:sz w:val="20"/>
                <w:szCs w:val="20"/>
                <w:color w:val="auto"/>
              </w:rPr>
            </w:pPr>
            <w:r>
              <w:rPr>
                <w:rFonts w:ascii="Arial" w:cs="Arial" w:eastAsia="Arial" w:hAnsi="Arial"/>
                <w:sz w:val="14"/>
                <w:szCs w:val="14"/>
                <w:color w:val="auto"/>
              </w:rPr>
              <w:t>24.3 %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27.5 %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22.9 %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23.6 %</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18.8 %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25.4 %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22.3 %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20.5 %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22.7 %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22.5 %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19.8 %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26.6 %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23.3 %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19"/>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Fiscal 2014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Fiscal 2013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
        </w:trPr>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860" w:type="dxa"/>
            <w:vAlign w:val="bottom"/>
            <w:gridSpan w:val="2"/>
          </w:tcPr>
          <w:p>
            <w:pPr>
              <w:ind w:left="300"/>
              <w:spacing w:after="0"/>
              <w:rPr>
                <w:sz w:val="20"/>
                <w:szCs w:val="20"/>
                <w:color w:val="auto"/>
              </w:rPr>
            </w:pPr>
            <w:r>
              <w:rPr>
                <w:rFonts w:ascii="Arial" w:cs="Arial" w:eastAsia="Arial" w:hAnsi="Arial"/>
                <w:sz w:val="14"/>
                <w:szCs w:val="14"/>
                <w:color w:val="auto"/>
              </w:rPr>
              <w:t>Q1</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Q2</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Q3</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Q4</w:t>
            </w: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YTD</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Q1</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Q2</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Q3</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YTD</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$69,341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$52,194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$59,073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$61,759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$242,367</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$72,409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$58,243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$70,240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$68,739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$269,631</w:t>
            </w:r>
          </w:p>
        </w:tc>
      </w:tr>
      <w:tr>
        <w:trPr>
          <w:trHeight w:val="480"/>
        </w:trPr>
        <w:tc>
          <w:tcPr>
            <w:tcW w:w="760" w:type="dxa"/>
            <w:vAlign w:val="bottom"/>
          </w:tcPr>
          <w:p>
            <w:pPr>
              <w:jc w:val="right"/>
              <w:spacing w:after="0"/>
              <w:rPr>
                <w:sz w:val="20"/>
                <w:szCs w:val="20"/>
                <w:color w:val="auto"/>
              </w:rPr>
            </w:pPr>
            <w:r>
              <w:rPr>
                <w:rFonts w:ascii="Arial" w:cs="Arial" w:eastAsia="Arial" w:hAnsi="Arial"/>
                <w:sz w:val="14"/>
                <w:szCs w:val="14"/>
                <w:color w:val="auto"/>
              </w:rPr>
              <w:t>(32,813)</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(29,524)</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(29,267)</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(28,411)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(120,015)</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(29,174)</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(34,513)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(30,765)</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(27,242)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(121,693)</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(6,839)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(4,324)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(3,039)</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(15,012)</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(1,933)</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(8,540)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(15,573)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(26,046)</w:t>
            </w:r>
          </w:p>
        </w:tc>
      </w:tr>
      <w:tr>
        <w:trPr>
          <w:trHeight w:val="240"/>
        </w:trPr>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(148,551)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(148,551)</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(204,448)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(204,448)</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872</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898</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3,523</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(3,381)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(3,522)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(14,300)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(4,406)</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(3,887)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(16,641)</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760" w:type="dxa"/>
            <w:vAlign w:val="bottom"/>
          </w:tcPr>
          <w:p>
            <w:pPr>
              <w:jc w:val="right"/>
              <w:spacing w:after="0"/>
              <w:rPr>
                <w:sz w:val="20"/>
                <w:szCs w:val="20"/>
                <w:color w:val="auto"/>
              </w:rPr>
            </w:pPr>
            <w:r>
              <w:rPr>
                <w:rFonts w:ascii="Arial" w:cs="Arial" w:eastAsia="Arial" w:hAnsi="Arial"/>
                <w:sz w:val="14"/>
                <w:szCs w:val="14"/>
                <w:color w:val="auto"/>
              </w:rPr>
              <w:t>$26,729</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$14,925</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$24,258</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$(119,021)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$(53,109)</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$39,468</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$18,289</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$27,882</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$(181,314)</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$(95,674)</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-6246495</wp:posOffset>
            </wp:positionV>
            <wp:extent cx="7317740" cy="152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-5934075</wp:posOffset>
            </wp:positionV>
            <wp:extent cx="7317740" cy="152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-5628640</wp:posOffset>
            </wp:positionV>
            <wp:extent cx="7317740" cy="152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-5323840</wp:posOffset>
            </wp:positionV>
            <wp:extent cx="7317740" cy="152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-5018405</wp:posOffset>
            </wp:positionV>
            <wp:extent cx="7317740" cy="16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16002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-4690745</wp:posOffset>
            </wp:positionV>
            <wp:extent cx="7317740" cy="152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-4385310</wp:posOffset>
            </wp:positionV>
            <wp:extent cx="7317740" cy="152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-4072890</wp:posOffset>
            </wp:positionV>
            <wp:extent cx="7317740" cy="167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16764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-3752215</wp:posOffset>
            </wp:positionV>
            <wp:extent cx="7317740" cy="152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-3447415</wp:posOffset>
            </wp:positionV>
            <wp:extent cx="7317740" cy="16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16002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-3134360</wp:posOffset>
            </wp:positionV>
            <wp:extent cx="7317740" cy="152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-2829560</wp:posOffset>
            </wp:positionV>
            <wp:extent cx="7317740" cy="152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-2516505</wp:posOffset>
            </wp:positionV>
            <wp:extent cx="7317740" cy="167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16764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-2196465</wp:posOffset>
            </wp:positionV>
            <wp:extent cx="7317740" cy="152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-1883410</wp:posOffset>
            </wp:positionV>
            <wp:extent cx="7317740" cy="152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-1593850</wp:posOffset>
            </wp:positionV>
            <wp:extent cx="7317740" cy="152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-1280795</wp:posOffset>
            </wp:positionV>
            <wp:extent cx="7317740" cy="15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-975995</wp:posOffset>
            </wp:positionV>
            <wp:extent cx="7317740" cy="152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-670560</wp:posOffset>
            </wp:positionV>
            <wp:extent cx="7317740" cy="152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-365760</wp:posOffset>
            </wp:positionV>
            <wp:extent cx="7317740" cy="152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152400"/>
                    </a:xfrm>
                    <a:prstGeom prst="rect">
                      <a:avLst/>
                    </a:prstGeom>
                    <a:noFill/>
                  </pic:spPr>
                </pic:pic>
              </a:graphicData>
            </a:graphic>
          </wp:anchor>
        </w:drawing>
      </w:r>
    </w:p>
    <w:p>
      <w:pPr>
        <w:sectPr>
          <w:pgSz w:w="11900" w:h="16838" w:orient="portrait"/>
          <w:cols w:equalWidth="0" w:num="2">
            <w:col w:w="2780" w:space="200"/>
            <w:col w:w="8540"/>
          </w:cols>
          <w:pgMar w:left="240" w:top="535" w:right="139" w:bottom="1440" w:gutter="0" w:footer="0" w:header="0"/>
          <w:type w:val="continuous"/>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GAAP TO NON-GAAP MEASURES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(Unaudited; Dollars in Thousands, Except Per Share Amounts)</w:t>
      </w:r>
    </w:p>
    <w:p>
      <w:pPr>
        <w:spacing w:after="0" w:line="308" w:lineRule="exact"/>
        <w:rPr>
          <w:sz w:val="20"/>
          <w:szCs w:val="20"/>
          <w:color w:val="auto"/>
        </w:rPr>
      </w:pPr>
    </w:p>
    <w:p>
      <w:pPr>
        <w:ind w:left="20" w:right="2479"/>
        <w:spacing w:after="0" w:line="300"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Earnings from Continuing Operations Before Income Taxes Excluding Certain Items:</w:t>
      </w:r>
    </w:p>
    <w:p>
      <w:pPr>
        <w:spacing w:after="0" w:line="60" w:lineRule="exact"/>
        <w:rPr>
          <w:sz w:val="20"/>
          <w:szCs w:val="20"/>
          <w:color w:val="auto"/>
        </w:rPr>
      </w:pPr>
    </w:p>
    <w:p>
      <w:pPr>
        <w:jc w:val="both"/>
        <w:ind w:left="60" w:right="1679"/>
        <w:spacing w:after="0" w:line="276" w:lineRule="auto"/>
        <w:rPr>
          <w:sz w:val="20"/>
          <w:szCs w:val="20"/>
          <w:color w:val="auto"/>
        </w:rPr>
      </w:pPr>
      <w:r>
        <w:rPr>
          <w:rFonts w:ascii="Arial" w:cs="Arial" w:eastAsia="Arial" w:hAnsi="Arial"/>
          <w:sz w:val="15"/>
          <w:szCs w:val="15"/>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Statements of Earnings data. We do not view these items to be part of our sustainable results. We believe this profit measure provides an important perspective of underlying business trends and results and provides a more comparable measure from year to year. The table below provides a reconciliation of Loss from Continuing Operations Before Income Taxes to Earnings from Continuing Operations Before Income Taxes Excluding Certain Items: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2160" w:type="dxa"/>
            <w:vAlign w:val="bottom"/>
            <w:gridSpan w:val="6"/>
          </w:tcPr>
          <w:p>
            <w:pPr>
              <w:ind w:left="100"/>
              <w:spacing w:after="0"/>
              <w:rPr>
                <w:sz w:val="20"/>
                <w:szCs w:val="20"/>
                <w:color w:val="auto"/>
              </w:rPr>
            </w:pPr>
            <w:r>
              <w:rPr>
                <w:rFonts w:ascii="Arial" w:cs="Arial" w:eastAsia="Arial" w:hAnsi="Arial"/>
                <w:sz w:val="16"/>
                <w:szCs w:val="16"/>
                <w:color w:val="auto"/>
                <w:w w:val="97"/>
              </w:rPr>
              <w:t>Three Months Ended July 31,</w:t>
            </w:r>
          </w:p>
        </w:tc>
        <w:tc>
          <w:tcPr>
            <w:tcW w:w="220" w:type="dxa"/>
            <w:vAlign w:val="bottom"/>
          </w:tcPr>
          <w:p>
            <w:pPr>
              <w:spacing w:after="0"/>
              <w:rPr>
                <w:sz w:val="17"/>
                <w:szCs w:val="17"/>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6"/>
                <w:szCs w:val="16"/>
                <w:color w:val="auto"/>
              </w:rPr>
              <w:t>Year Ended July 31,</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Loss from Continuing Operations Before Income Taxes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measure)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(181,314)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0" w:type="dxa"/>
            <w:vAlign w:val="bottom"/>
          </w:tcPr>
          <w:p>
            <w:pPr>
              <w:spacing w:after="0"/>
              <w:rPr>
                <w:sz w:val="1"/>
                <w:szCs w:val="1"/>
                <w:color w:val="auto"/>
              </w:rPr>
            </w:pPr>
          </w:p>
        </w:tc>
      </w:tr>
      <w:tr>
        <w:trPr>
          <w:trHeight w:val="216"/>
        </w:trPr>
        <w:tc>
          <w:tcPr>
            <w:tcW w:w="4300" w:type="dxa"/>
            <w:vAlign w:val="bottom"/>
          </w:tcPr>
          <w:p>
            <w:pPr>
              <w:ind w:left="380"/>
              <w:spacing w:after="0"/>
              <w:rPr>
                <w:sz w:val="20"/>
                <w:szCs w:val="20"/>
                <w:color w:val="auto"/>
              </w:rPr>
            </w:pPr>
            <w:r>
              <w:rPr>
                <w:rFonts w:ascii="Arial" w:cs="Arial" w:eastAsia="Arial" w:hAnsi="Arial"/>
                <w:sz w:val="16"/>
                <w:szCs w:val="16"/>
                <w:color w:val="auto"/>
              </w:rPr>
              <w:t>PDC acquisition-related expenses</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income tax charges</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15,573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26,046</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204,448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line="180" w:lineRule="exact"/>
              <w:rPr>
                <w:sz w:val="20"/>
                <w:szCs w:val="20"/>
                <w:color w:val="auto"/>
              </w:rPr>
            </w:pPr>
            <w:r>
              <w:rPr>
                <w:rFonts w:ascii="Arial" w:cs="Arial" w:eastAsia="Arial" w:hAnsi="Arial"/>
                <w:sz w:val="16"/>
                <w:szCs w:val="16"/>
                <w:b w:val="1"/>
                <w:bCs w:val="1"/>
                <w:color w:val="auto"/>
                <w:w w:val="94"/>
              </w:rPr>
              <w:t>Earnings from Continuing Operations Before Income Taxes</w:t>
            </w: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30,340</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34,475</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110,454</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135,718</w:t>
            </w: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Excluding Certain Items (non-GAAP measure)</w:t>
            </w: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Income Taxes on Continuing Operations Excluding Certain Items:</w:t>
      </w:r>
    </w:p>
    <w:p>
      <w:pPr>
        <w:spacing w:after="0" w:line="60" w:lineRule="exact"/>
        <w:rPr>
          <w:sz w:val="20"/>
          <w:szCs w:val="20"/>
          <w:color w:val="auto"/>
        </w:rPr>
      </w:pPr>
    </w:p>
    <w:p>
      <w:pPr>
        <w:jc w:val="both"/>
        <w:ind w:left="60" w:right="1679"/>
        <w:spacing w:after="0" w:line="256" w:lineRule="auto"/>
        <w:rPr>
          <w:sz w:val="20"/>
          <w:szCs w:val="20"/>
          <w:color w:val="auto"/>
        </w:rPr>
      </w:pPr>
      <w:r>
        <w:rPr>
          <w:rFonts w:ascii="Arial" w:cs="Arial" w:eastAsia="Arial" w:hAnsi="Arial"/>
          <w:sz w:val="16"/>
          <w:szCs w:val="16"/>
          <w:color w:val="auto"/>
        </w:rPr>
        <w:t>Brady is presenting the Non-GAAP measure "Income Taxes on Continuing Operations Excluding Certain Items." This is not a calculation based upon GAAP. The amounts included in this Non-GAAP measure are derived from amounts included in the Consolidated Statements of Earnings data.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2160" w:type="dxa"/>
            <w:vAlign w:val="bottom"/>
            <w:gridSpan w:val="6"/>
          </w:tcPr>
          <w:p>
            <w:pPr>
              <w:ind w:left="100"/>
              <w:spacing w:after="0"/>
              <w:rPr>
                <w:sz w:val="20"/>
                <w:szCs w:val="20"/>
                <w:color w:val="auto"/>
              </w:rPr>
            </w:pPr>
            <w:r>
              <w:rPr>
                <w:rFonts w:ascii="Arial" w:cs="Arial" w:eastAsia="Arial" w:hAnsi="Arial"/>
                <w:sz w:val="16"/>
                <w:szCs w:val="16"/>
                <w:color w:val="auto"/>
                <w:w w:val="97"/>
              </w:rPr>
              <w:t>Three Months Ended July 31,</w:t>
            </w:r>
          </w:p>
        </w:tc>
        <w:tc>
          <w:tcPr>
            <w:tcW w:w="220" w:type="dxa"/>
            <w:vAlign w:val="bottom"/>
          </w:tcPr>
          <w:p>
            <w:pPr>
              <w:spacing w:after="0"/>
              <w:rPr>
                <w:sz w:val="17"/>
                <w:szCs w:val="17"/>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6"/>
                <w:szCs w:val="16"/>
                <w:color w:val="auto"/>
              </w:rPr>
              <w:t>Year Ended July 31,</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Income Taxes on Continuing Operations (GAAP measure)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42,583</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16"/>
        </w:trPr>
        <w:tc>
          <w:tcPr>
            <w:tcW w:w="4300" w:type="dxa"/>
            <w:vAlign w:val="bottom"/>
          </w:tcPr>
          <w:p>
            <w:pPr>
              <w:ind w:left="380"/>
              <w:spacing w:after="0"/>
              <w:rPr>
                <w:sz w:val="20"/>
                <w:szCs w:val="20"/>
                <w:color w:val="auto"/>
              </w:rPr>
            </w:pPr>
            <w:r>
              <w:rPr>
                <w:rFonts w:ascii="Arial" w:cs="Arial" w:eastAsia="Arial" w:hAnsi="Arial"/>
                <w:sz w:val="16"/>
                <w:szCs w:val="16"/>
                <w:color w:val="auto"/>
              </w:rPr>
              <w:t>PDC acquisition-related expenses</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income tax charges</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(28,976)</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4,337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7,157</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12,892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12,892</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line="180" w:lineRule="exact"/>
              <w:rPr>
                <w:sz w:val="20"/>
                <w:szCs w:val="20"/>
                <w:color w:val="auto"/>
              </w:rPr>
            </w:pPr>
            <w:r>
              <w:rPr>
                <w:rFonts w:ascii="Arial" w:cs="Arial" w:eastAsia="Arial" w:hAnsi="Arial"/>
                <w:sz w:val="16"/>
                <w:szCs w:val="16"/>
                <w:b w:val="1"/>
                <w:bCs w:val="1"/>
                <w:color w:val="auto"/>
                <w:w w:val="95"/>
              </w:rPr>
              <w:t>Income Taxes on Continuing Operations Excluding Certain</w:t>
            </w: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9,347</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5,888</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30,945</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33,270</w:t>
            </w: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Items (non-GAAP measure)</w:t>
            </w: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6"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t>Net Earnings from Continuing Operations Excluding Certain Items:</w:t>
      </w:r>
    </w:p>
    <w:p>
      <w:pPr>
        <w:spacing w:after="0" w:line="60" w:lineRule="exact"/>
        <w:rPr>
          <w:sz w:val="20"/>
          <w:szCs w:val="20"/>
          <w:color w:val="auto"/>
        </w:rPr>
      </w:pPr>
    </w:p>
    <w:p>
      <w:pPr>
        <w:jc w:val="both"/>
        <w:ind w:left="20" w:right="1679"/>
        <w:spacing w:after="0" w:line="256" w:lineRule="auto"/>
        <w:rPr>
          <w:sz w:val="20"/>
          <w:szCs w:val="20"/>
          <w:color w:val="auto"/>
        </w:rPr>
      </w:pPr>
      <w:r>
        <w:rPr>
          <w:rFonts w:ascii="Arial" w:cs="Arial" w:eastAsia="Arial" w:hAnsi="Arial"/>
          <w:sz w:val="16"/>
          <w:szCs w:val="16"/>
          <w:color w:val="auto"/>
        </w:rPr>
        <w:t>Brady is presenting the Non-GAAP measure "Net Earnings from Continuing Operations Excluding Certain Items." This is not a calculation based upon GAAP. The amounts included in this Non-GAAP measure are derived from amounts included in the Consolidated Statements of Earnings data. We do not view these items to be part of our sustainable results. We believe this measure provides an important perspective of underlying business trends and results and provides a more comparable measure from year to year. The table below provides a reconciliation of Net Loss from Continuing Operations to Net Earnings from Continuing Operations Excluding Certain Items: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2140" w:type="dxa"/>
            <w:vAlign w:val="bottom"/>
            <w:gridSpan w:val="6"/>
          </w:tcPr>
          <w:p>
            <w:pPr>
              <w:ind w:left="80"/>
              <w:spacing w:after="0"/>
              <w:rPr>
                <w:sz w:val="20"/>
                <w:szCs w:val="20"/>
                <w:color w:val="auto"/>
              </w:rPr>
            </w:pPr>
            <w:r>
              <w:rPr>
                <w:rFonts w:ascii="Arial" w:cs="Arial" w:eastAsia="Arial" w:hAnsi="Arial"/>
                <w:sz w:val="16"/>
                <w:szCs w:val="16"/>
                <w:color w:val="auto"/>
                <w:w w:val="97"/>
              </w:rPr>
              <w:t>Three Months Ended July 31,</w:t>
            </w:r>
          </w:p>
        </w:tc>
        <w:tc>
          <w:tcPr>
            <w:tcW w:w="220" w:type="dxa"/>
            <w:vAlign w:val="bottom"/>
          </w:tcPr>
          <w:p>
            <w:pPr>
              <w:spacing w:after="0"/>
              <w:rPr>
                <w:sz w:val="17"/>
                <w:szCs w:val="17"/>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6"/>
                <w:szCs w:val="16"/>
                <w:color w:val="auto"/>
              </w:rPr>
              <w:t>Year Ended July 31,</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from Continuing Operations (GAAP measure)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(175,557)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216"/>
        </w:trPr>
        <w:tc>
          <w:tcPr>
            <w:tcW w:w="4320" w:type="dxa"/>
            <w:vAlign w:val="bottom"/>
          </w:tcPr>
          <w:p>
            <w:pPr>
              <w:ind w:left="380"/>
              <w:spacing w:after="0"/>
              <w:rPr>
                <w:sz w:val="20"/>
                <w:szCs w:val="20"/>
                <w:color w:val="auto"/>
              </w:rPr>
            </w:pPr>
            <w:r>
              <w:rPr>
                <w:rFonts w:ascii="Arial" w:cs="Arial" w:eastAsia="Arial" w:hAnsi="Arial"/>
                <w:sz w:val="16"/>
                <w:szCs w:val="16"/>
                <w:color w:val="auto"/>
              </w:rPr>
              <w:t>PDC acquisition-related expenses</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income tax charges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28,976</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11,236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191,556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191,556</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line="180" w:lineRule="exact"/>
              <w:rPr>
                <w:sz w:val="20"/>
                <w:szCs w:val="20"/>
                <w:color w:val="auto"/>
              </w:rPr>
            </w:pPr>
            <w:r>
              <w:rPr>
                <w:rFonts w:ascii="Arial" w:cs="Arial" w:eastAsia="Arial" w:hAnsi="Arial"/>
                <w:sz w:val="16"/>
                <w:szCs w:val="16"/>
                <w:b w:val="1"/>
                <w:bCs w:val="1"/>
                <w:color w:val="auto"/>
              </w:rPr>
              <w:t>Net Earnings from Continuing Operations Excluding</w:t>
            </w: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20,993</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28,587</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79,509</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102,448</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Certain Items (non-GAAP measure)</w:t>
            </w: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679"/>
        <w:spacing w:after="0" w:line="274" w:lineRule="auto"/>
        <w:rPr>
          <w:sz w:val="20"/>
          <w:szCs w:val="20"/>
          <w:color w:val="auto"/>
        </w:rPr>
      </w:pPr>
      <w:r>
        <w:rPr>
          <w:rFonts w:ascii="Arial" w:cs="Arial" w:eastAsia="Arial" w:hAnsi="Arial"/>
          <w:sz w:val="15"/>
          <w:szCs w:val="15"/>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Loss from Continuing Operations Per Diluted Class A Nonvoting Common Share to Net Earnings from Continuing Operations Per Diluted Class A Nonvoting Common Share Excluding Certain Items: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2140" w:type="dxa"/>
            <w:vAlign w:val="bottom"/>
            <w:gridSpan w:val="6"/>
          </w:tcPr>
          <w:p>
            <w:pPr>
              <w:ind w:left="80"/>
              <w:spacing w:after="0"/>
              <w:rPr>
                <w:sz w:val="20"/>
                <w:szCs w:val="20"/>
                <w:color w:val="auto"/>
              </w:rPr>
            </w:pPr>
            <w:r>
              <w:rPr>
                <w:rFonts w:ascii="Arial" w:cs="Arial" w:eastAsia="Arial" w:hAnsi="Arial"/>
                <w:sz w:val="16"/>
                <w:szCs w:val="16"/>
                <w:color w:val="auto"/>
                <w:w w:val="97"/>
              </w:rPr>
              <w:t>Three Months Ended July 31,</w:t>
            </w:r>
          </w:p>
        </w:tc>
        <w:tc>
          <w:tcPr>
            <w:tcW w:w="220" w:type="dxa"/>
            <w:vAlign w:val="bottom"/>
          </w:tcPr>
          <w:p>
            <w:pPr>
              <w:spacing w:after="0"/>
              <w:rPr>
                <w:sz w:val="17"/>
                <w:szCs w:val="17"/>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6"/>
                <w:szCs w:val="16"/>
                <w:color w:val="auto"/>
              </w:rPr>
              <w:t>Year Ended July 31,</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w w:val="97"/>
              </w:rPr>
              <w:t>Net Loss from Continuing Operations Per Diluted Class A</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Nonvoting Share (GAAP measure)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4320" w:type="dxa"/>
            <w:vAlign w:val="bottom"/>
          </w:tcPr>
          <w:p>
            <w:pPr>
              <w:ind w:left="380"/>
              <w:spacing w:after="0"/>
              <w:rPr>
                <w:sz w:val="20"/>
                <w:szCs w:val="20"/>
                <w:color w:val="auto"/>
              </w:rPr>
            </w:pPr>
            <w:r>
              <w:rPr>
                <w:rFonts w:ascii="Arial" w:cs="Arial" w:eastAsia="Arial" w:hAnsi="Arial"/>
                <w:sz w:val="16"/>
                <w:szCs w:val="16"/>
                <w:color w:val="auto"/>
              </w:rPr>
              <w:t>PDC acquisition-related expenses</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income tax charges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line="180" w:lineRule="exact"/>
              <w:rPr>
                <w:sz w:val="20"/>
                <w:szCs w:val="20"/>
                <w:color w:val="auto"/>
              </w:rPr>
            </w:pPr>
            <w:r>
              <w:rPr>
                <w:rFonts w:ascii="Arial" w:cs="Arial" w:eastAsia="Arial" w:hAnsi="Arial"/>
                <w:sz w:val="16"/>
                <w:szCs w:val="16"/>
                <w:b w:val="1"/>
                <w:bCs w:val="1"/>
                <w:color w:val="auto"/>
                <w:w w:val="94"/>
              </w:rPr>
              <w:t>Net Earnings from Continuing Operations Per Diluted Class</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A Nonvoting Share Excluding Certain Items (non-GAAP</w:t>
            </w:r>
          </w:p>
        </w:tc>
        <w:tc>
          <w:tcPr>
            <w:tcW w:w="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0.41</w:t>
            </w:r>
          </w:p>
        </w:tc>
        <w:tc>
          <w:tcPr>
            <w:tcW w:w="100" w:type="dxa"/>
            <w:vAlign w:val="bottom"/>
          </w:tcPr>
          <w:p>
            <w:pPr>
              <w:spacing w:after="0"/>
              <w:rPr>
                <w:sz w:val="16"/>
                <w:szCs w:val="16"/>
                <w:color w:val="auto"/>
              </w:rPr>
            </w:pPr>
          </w:p>
        </w:tc>
        <w:tc>
          <w:tcPr>
            <w:tcW w:w="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0.55</w:t>
            </w:r>
          </w:p>
        </w:tc>
        <w:tc>
          <w:tcPr>
            <w:tcW w:w="80" w:type="dxa"/>
            <w:vAlign w:val="bottom"/>
          </w:tcPr>
          <w:p>
            <w:pPr>
              <w:spacing w:after="0"/>
              <w:rPr>
                <w:sz w:val="16"/>
                <w:szCs w:val="16"/>
                <w:color w:val="auto"/>
              </w:rPr>
            </w:pPr>
          </w:p>
        </w:tc>
        <w:tc>
          <w:tcPr>
            <w:tcW w:w="2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1.53</w:t>
            </w:r>
          </w:p>
        </w:tc>
        <w:tc>
          <w:tcPr>
            <w:tcW w:w="100" w:type="dxa"/>
            <w:vAlign w:val="bottom"/>
          </w:tcPr>
          <w:p>
            <w:pPr>
              <w:spacing w:after="0"/>
              <w:rPr>
                <w:sz w:val="16"/>
                <w:szCs w:val="16"/>
                <w:color w:val="auto"/>
              </w:rPr>
            </w:pPr>
          </w:p>
        </w:tc>
        <w:tc>
          <w:tcPr>
            <w:tcW w:w="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1.98</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measure)</w:t>
            </w: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79"/>
          </w:cols>
          <w:pgMar w:left="280" w:top="892"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Aaron Pearce (414) 438-6895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dividend to shareholders for the 29th consecutive year</w:t>
      </w:r>
    </w:p>
    <w:p>
      <w:pPr>
        <w:spacing w:after="0" w:line="328" w:lineRule="exact"/>
        <w:rPr>
          <w:sz w:val="20"/>
          <w:szCs w:val="20"/>
          <w:color w:val="auto"/>
        </w:rPr>
      </w:pPr>
    </w:p>
    <w:p>
      <w:pPr>
        <w:ind w:right="180"/>
        <w:spacing w:after="0" w:line="452" w:lineRule="auto"/>
        <w:rPr>
          <w:sz w:val="20"/>
          <w:szCs w:val="20"/>
          <w:color w:val="auto"/>
        </w:rPr>
      </w:pPr>
      <w:r>
        <w:rPr>
          <w:rFonts w:ascii="Arial" w:cs="Arial" w:eastAsia="Arial" w:hAnsi="Arial"/>
          <w:sz w:val="15"/>
          <w:szCs w:val="15"/>
          <w:color w:val="auto"/>
        </w:rPr>
        <w:t>MILWAUKEE (September 10, 2014)---Brady Corporation’s (NYSE: BRC) Board of Directors has announced an increase in its annual dividend to shareholders of the company’s Class A Common stock from $0.78 per share to $0.80 per share. A quarterly dividend of $0.20 per share will be paid on October 31, 2014 to shareholders of record at the close of business on October 10, 2014. This dividend represents the 29th consecutive annual increase in dividends.</w:t>
      </w:r>
    </w:p>
    <w:p>
      <w:pPr>
        <w:spacing w:after="0" w:line="227" w:lineRule="exact"/>
        <w:rPr>
          <w:sz w:val="20"/>
          <w:szCs w:val="20"/>
          <w:color w:val="auto"/>
        </w:rPr>
      </w:pPr>
    </w:p>
    <w:p>
      <w:pPr>
        <w:ind w:right="140" w:firstLine="577"/>
        <w:spacing w:after="0" w:line="351" w:lineRule="auto"/>
        <w:rPr>
          <w:sz w:val="20"/>
          <w:szCs w:val="20"/>
          <w:color w:val="auto"/>
        </w:rPr>
      </w:pPr>
      <w:r>
        <w:rPr>
          <w:rFonts w:ascii="Arial" w:cs="Arial" w:eastAsia="Arial" w:hAnsi="Arial"/>
          <w:sz w:val="18"/>
          <w:szCs w:val="18"/>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education, medical and a variety of other industries. Brady is headquartered in Milwaukee, Wis. and as of August 1, 2014 employed approximately 6,400 people in its worldwide businesses. Brady stock trades on the New York Stock Exchange under the symbol BRC. More information is available on the Internet at </w:t>
      </w:r>
      <w:r>
        <w:rPr>
          <w:rFonts w:ascii="Arial" w:cs="Arial" w:eastAsia="Arial" w:hAnsi="Arial"/>
          <w:sz w:val="18"/>
          <w:szCs w:val="18"/>
          <w:u w:val="single" w:color="auto"/>
          <w:color w:val="0000FF"/>
        </w:rPr>
        <w:t>www.bradycorp.com.</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40"/>
          </w:cols>
          <w:pgMar w:left="240" w:top="527" w:right="219" w:bottom="144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332740</wp:posOffset>
            </wp:positionV>
            <wp:extent cx="7175500" cy="5525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32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5532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32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5532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32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5500" cy="5532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32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5532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2019-12-05T20:56:02Z</dcterms:created>
  <dcterms:modified xsi:type="dcterms:W3CDTF">2019-12-05T20:56:02Z</dcterms:modified>
</cp:coreProperties>
</file>