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22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225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Pearce Aaron James</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09/25/2014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26"/>
        <w:spacing w:after="0"/>
        <w:rPr>
          <w:sz w:val="20"/>
          <w:szCs w:val="20"/>
          <w:color w:val="auto"/>
        </w:rPr>
      </w:pPr>
      <w:r>
        <w:rPr>
          <w:rFonts w:ascii="Arial" w:cs="Arial" w:eastAsia="Arial" w:hAnsi="Arial"/>
          <w:sz w:val="17"/>
          <w:szCs w:val="17"/>
          <w:color w:val="0000FF"/>
        </w:rPr>
        <w:t>SR VP &amp; CFO</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MILWAUKEE</w:t>
            </w:r>
          </w:p>
        </w:tc>
        <w:tc>
          <w:tcPr>
            <w:tcW w:w="960" w:type="dxa"/>
            <w:vAlign w:val="bottom"/>
          </w:tcPr>
          <w:p>
            <w:pPr>
              <w:ind w:left="12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53223</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09/25/2014</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85"/>
              </w:rPr>
              <w:t>10,634</w:t>
            </w:r>
            <w:r>
              <w:rPr>
                <w:rFonts w:ascii="Arial" w:cs="Arial" w:eastAsia="Arial" w:hAnsi="Arial"/>
                <w:sz w:val="22"/>
                <w:szCs w:val="22"/>
                <w:color w:val="008000"/>
                <w:w w:val="85"/>
                <w:vertAlign w:val="superscript"/>
              </w:rPr>
              <w:t>(1)</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14,002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gridSpan w:val="2"/>
          </w:tcPr>
          <w:p>
            <w:pPr>
              <w:jc w:val="center"/>
              <w:ind w:right="11"/>
              <w:spacing w:after="0"/>
              <w:rPr>
                <w:sz w:val="20"/>
                <w:szCs w:val="20"/>
                <w:color w:val="auto"/>
              </w:rPr>
            </w:pPr>
            <w:r>
              <w:rPr>
                <w:rFonts w:ascii="Arial" w:cs="Arial" w:eastAsia="Arial" w:hAnsi="Arial"/>
                <w:sz w:val="13"/>
                <w:szCs w:val="13"/>
                <w:color w:val="0000FF"/>
                <w:w w:val="93"/>
              </w:rPr>
              <w:t>Class A</w:t>
            </w:r>
          </w:p>
        </w:tc>
        <w:tc>
          <w:tcPr>
            <w:tcW w:w="560" w:type="dxa"/>
            <w:vAlign w:val="bottom"/>
            <w:vMerge w:val="restart"/>
          </w:tcPr>
          <w:p>
            <w:pPr>
              <w:jc w:val="right"/>
              <w:ind w:right="13"/>
              <w:spacing w:after="0"/>
              <w:rPr>
                <w:sz w:val="20"/>
                <w:szCs w:val="20"/>
                <w:color w:val="auto"/>
              </w:rPr>
            </w:pPr>
            <w:r>
              <w:rPr>
                <w:rFonts w:ascii="Arial" w:cs="Arial" w:eastAsia="Arial" w:hAnsi="Arial"/>
                <w:sz w:val="17"/>
                <w:szCs w:val="17"/>
                <w:color w:val="0000FF"/>
                <w:w w:val="88"/>
              </w:rPr>
              <w:t>34,825</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22.66</w:t>
            </w:r>
          </w:p>
        </w:tc>
        <w:tc>
          <w:tcPr>
            <w:tcW w:w="1080" w:type="dxa"/>
            <w:vAlign w:val="bottom"/>
            <w:vMerge w:val="restart"/>
          </w:tcPr>
          <w:p>
            <w:pPr>
              <w:jc w:val="right"/>
              <w:ind w:right="138"/>
              <w:spacing w:after="0" w:line="148" w:lineRule="exact"/>
              <w:rPr>
                <w:sz w:val="20"/>
                <w:szCs w:val="20"/>
                <w:color w:val="auto"/>
              </w:rPr>
            </w:pPr>
            <w:r>
              <w:rPr>
                <w:rFonts w:ascii="Arial" w:cs="Arial" w:eastAsia="Arial" w:hAnsi="Arial"/>
                <w:sz w:val="13"/>
                <w:szCs w:val="13"/>
                <w:color w:val="0000FF"/>
              </w:rPr>
              <w:t>09/25/2014</w:t>
            </w:r>
          </w:p>
        </w:tc>
        <w:tc>
          <w:tcPr>
            <w:tcW w:w="1180" w:type="dxa"/>
            <w:vAlign w:val="bottom"/>
          </w:tcPr>
          <w:p>
            <w:pPr>
              <w:spacing w:after="0"/>
              <w:rPr>
                <w:sz w:val="5"/>
                <w:szCs w:val="5"/>
                <w:color w:val="auto"/>
              </w:rPr>
            </w:pPr>
          </w:p>
        </w:tc>
        <w:tc>
          <w:tcPr>
            <w:tcW w:w="76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34,825</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09/25/2024</w:t>
            </w:r>
          </w:p>
        </w:tc>
        <w:tc>
          <w:tcPr>
            <w:tcW w:w="70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780" w:type="dxa"/>
            <w:vAlign w:val="bottom"/>
            <w:gridSpan w:val="2"/>
            <w:vMerge w:val="restart"/>
          </w:tcPr>
          <w:p>
            <w:pPr>
              <w:ind w:left="3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w w:val="90"/>
              </w:rPr>
              <w:t>34,825</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restart"/>
          </w:tcPr>
          <w:p>
            <w:pPr>
              <w:jc w:val="center"/>
              <w:ind w:right="171"/>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Heidi Knueppel, Attorney-In-</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09/29/2014</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8000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2019-12-16T04:22:03Z</dcterms:created>
  <dcterms:modified xsi:type="dcterms:W3CDTF">2019-12-16T04:22:03Z</dcterms:modified>
</cp:coreProperties>
</file>