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6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61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4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or the Securities Exchange Act of 1934 (§240.12b-2 of this chapter).</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8.01</w:t>
        <w:tab/>
        <w:t>OTHER EVENTS</w:t>
      </w:r>
    </w:p>
    <w:p>
      <w:pPr>
        <w:spacing w:after="0" w:line="2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2023, Brady Corporation (the “Company”) entered into an agreement to sell its PremiSys® software and hardware assets to SGI Matrix, LLC, an affiliate of ACRE Operating Group, LLC, for approximately $8 million to be paid at time of closing, with an additional $1 million to be paid as deferred purchase price on the twelve-month anniversary of the closing. PremiSys® provides software and related support, maintenance and third party open platform hardware and has annual sales of approximately $12 million. The sale transaction is subject to customary terms and conditions and is expected to close during the Company’s fiscal year ending July 31,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report,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Uncertainties relating to the forward-looking statements contained in this Form 8-K arise from any possible delay in or failure to consummate the sale transaction due to unsatisfied closing conditions or otherwise; any failure of the buyer to pay the deferred purchase price; as well as risks described from time to time in Brady’s U.S. Securities and Exchange Commission filings, including, but not limited to, those factors listed in the “Risk Factors” section within Item 1A of Part I of Brady’s Form 10-K for the year ended July 31, 2022.</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2023</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2023-02-27T06:03:58Z</dcterms:created>
  <dcterms:modified xsi:type="dcterms:W3CDTF">2023-02-27T06:03:58Z</dcterms:modified>
</cp:coreProperties>
</file>