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November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65"/>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39-0971239</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4"/>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37"/>
        </w:trPr>
        <w:tc>
          <w:tcPr>
            <w:tcW w:w="28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20"/>
                <w:szCs w:val="20"/>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4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r>
    </w:tbl>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r>
    </w:tbl>
    <w:p>
      <w:pPr>
        <w:spacing w:after="0" w:line="162" w:lineRule="exact"/>
        <w:rPr>
          <w:sz w:val="24"/>
          <w:szCs w:val="24"/>
          <w:color w:val="auto"/>
        </w:rPr>
      </w:pPr>
    </w:p>
    <w:p>
      <w:pPr>
        <w:ind w:right="46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2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18, 2021, Brady Corporation (the “Company”) issued a press release announcing its fiscal 2022 first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5.07</w:t>
      </w:r>
      <w:r>
        <w:rPr>
          <w:sz w:val="20"/>
          <w:szCs w:val="20"/>
          <w:color w:val="auto"/>
        </w:rPr>
        <w:tab/>
      </w:r>
      <w:r>
        <w:rPr>
          <w:rFonts w:ascii="Arial" w:cs="Arial" w:eastAsia="Arial" w:hAnsi="Arial"/>
          <w:sz w:val="11"/>
          <w:szCs w:val="11"/>
          <w:color w:val="auto"/>
        </w:rPr>
        <w:t>SUBMISSIONS OF MATTERS TO A VOTE OF SECURITY HOLDERS</w:t>
      </w:r>
    </w:p>
    <w:p>
      <w:pPr>
        <w:spacing w:after="0" w:line="22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17, 2021,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Patrick W. Allender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David S. Bem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Elizabeth P. Bruno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Nancy L. Gioia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Frank W. Harris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 Michael Nauman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Bradley C. Richardson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Michelle E. Williams</w:t>
      </w:r>
    </w:p>
    <w:p>
      <w:pPr>
        <w:spacing w:after="0" w:line="294"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18, 2021, the Company hosted a conference call related to its fiscal 2022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69"/>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10120" w:type="dxa"/>
            <w:vAlign w:val="bottom"/>
            <w:gridSpan w:val="3"/>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of Brady Corporation, dated November 18, 2021, relating to first quarter fiscal 2022 financial results.</w:t>
              </w:r>
            </w:hyperlink>
          </w:p>
        </w:tc>
      </w:tr>
      <w:tr>
        <w:trPr>
          <w:trHeight w:val="20"/>
        </w:trPr>
        <w:tc>
          <w:tcPr>
            <w:tcW w:w="118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10120" w:type="dxa"/>
            <w:vAlign w:val="bottom"/>
            <w:gridSpan w:val="3"/>
          </w:tcPr>
          <w:p>
            <w:pPr>
              <w:spacing w:after="0"/>
              <w:rPr>
                <w:rFonts w:ascii="Arial" w:cs="Arial" w:eastAsia="Arial" w:hAnsi="Arial"/>
                <w:sz w:val="12"/>
                <w:szCs w:val="12"/>
                <w:color w:val="0000FF"/>
              </w:rPr>
            </w:pPr>
            <w:hyperlink w:anchor="page13">
              <w:r>
                <w:rPr>
                  <w:rFonts w:ascii="Arial" w:cs="Arial" w:eastAsia="Arial" w:hAnsi="Arial"/>
                  <w:sz w:val="12"/>
                  <w:szCs w:val="12"/>
                  <w:color w:val="0000FF"/>
                </w:rPr>
                <w:t>Informational slides provided by Brady Corporation, dated November 18, 2021, relating to first quarter fiscal 2022 financial results.</w:t>
              </w:r>
            </w:hyperlink>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632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3800" w:type="dxa"/>
            <w:vAlign w:val="bottom"/>
          </w:tcPr>
          <w:p>
            <w:pPr>
              <w:spacing w:after="0"/>
              <w:rPr>
                <w:sz w:val="19"/>
                <w:szCs w:val="19"/>
                <w:color w:val="auto"/>
              </w:rPr>
            </w:pPr>
          </w:p>
        </w:tc>
      </w:tr>
      <w:tr>
        <w:trPr>
          <w:trHeight w:val="909"/>
        </w:trPr>
        <w:tc>
          <w:tcPr>
            <w:tcW w:w="11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 w:name="page3"/>
    <w:bookmarkEnd w:id="2"/>
    <w:p>
      <w:pPr>
        <w:ind w:left="532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18, 2021</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0159"/>
          </w:cols>
          <w:pgMar w:left="300" w:top="64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2022 First Quarter Results</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16.0 percent. Organic sales increased 7.0 percent.</w:t>
      </w:r>
    </w:p>
    <w:p>
      <w:pPr>
        <w:spacing w:after="0" w:line="55" w:lineRule="exact"/>
        <w:rPr>
          <w:rFonts w:ascii="Arial" w:cs="Arial" w:eastAsia="Arial" w:hAnsi="Arial"/>
          <w:sz w:val="14"/>
          <w:szCs w:val="14"/>
          <w:color w:val="auto"/>
        </w:rPr>
      </w:pPr>
    </w:p>
    <w:p>
      <w:pPr>
        <w:ind w:left="420" w:hanging="212"/>
        <w:spacing w:after="0" w:line="317"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Income before income taxes increased 5.8 percent to $44.7 million in the first quarter of fiscal 2022 compared to $42.2 million in the first quarter of fiscal 2021. Income Before Income Taxes Excluding Amortization* increased 11.3 percent to $48.5 million in the first quarter of fiscal 2022 compared to $43.6 million in the first quarter of fiscal 2021.</w:t>
      </w:r>
    </w:p>
    <w:p>
      <w:pPr>
        <w:spacing w:after="0" w:line="3" w:lineRule="exact"/>
        <w:rPr>
          <w:rFonts w:ascii="Arial" w:cs="Arial" w:eastAsia="Arial" w:hAnsi="Arial"/>
          <w:sz w:val="14"/>
          <w:szCs w:val="14"/>
          <w:color w:val="auto"/>
        </w:rPr>
      </w:pPr>
    </w:p>
    <w:p>
      <w:pPr>
        <w:ind w:left="420" w:hanging="212"/>
        <w:spacing w:after="0" w:line="339"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 the first quarter of fiscal 2022 increased 4.7 percent to $0.67 compared to $0.64 in the same quarter of the prior year. Diluted EPS Excluding Amortization* increased 9.1 percent to $0.72 in the first quarter of fiscal 2022 compared to $0.66 in the same quarter of the prior year.</w:t>
      </w:r>
    </w:p>
    <w:p>
      <w:pPr>
        <w:spacing w:after="0" w:line="128"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(November 18, 2021) -- Brady Corporation (NYSE: BRC) (“Brady” or “Company”), a world leader in identification solutions, today reported its financial results for its fiscal 2022 first quarter ended October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October 31, 2021 Financial Results: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before income taxes and losses of unconsolidated affiliate increased 5.8 percent to $44.7 million for the quarter ended October 31, 2021, compared to $42.2 million in the same quarter last year.</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 Excluding Amortization* for the quarter ended October 31, 2021 was $48.5 million, an increase of 11.3 percent compared to the first quarter of last year.</w:t>
      </w:r>
    </w:p>
    <w:p>
      <w:pPr>
        <w:spacing w:after="0" w:line="58"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3"/>
          <w:szCs w:val="13"/>
          <w:color w:val="auto"/>
        </w:rPr>
        <w:t>Net income for the quarter ended October 31, 2021 was $35.0 million compared to $33.5 million in the same quarter last year. Earnings per diluted Class A Nonvoting Common Share were $0.67 for the first quarter of fiscal 2022, compared to $0.64 in the same quarter last year. Net Income Excluding Amortization* for the quarter ended October 31, 2021 was $38.0 million and Diluted EPS Excluding Amortization* for the quarter ended October 31, 2021 was $0.72.</w:t>
      </w:r>
    </w:p>
    <w:p>
      <w:pPr>
        <w:spacing w:after="0" w:line="1" w:lineRule="exact"/>
        <w:rPr>
          <w:sz w:val="20"/>
          <w:szCs w:val="20"/>
          <w:color w:val="auto"/>
        </w:rPr>
      </w:pPr>
    </w:p>
    <w:p>
      <w:pPr>
        <w:jc w:val="both"/>
        <w:ind w:firstLine="432"/>
        <w:spacing w:after="0" w:line="336" w:lineRule="auto"/>
        <w:rPr>
          <w:sz w:val="20"/>
          <w:szCs w:val="20"/>
          <w:color w:val="auto"/>
        </w:rPr>
      </w:pPr>
      <w:r>
        <w:rPr>
          <w:rFonts w:ascii="Arial" w:cs="Arial" w:eastAsia="Arial" w:hAnsi="Arial"/>
          <w:sz w:val="13"/>
          <w:szCs w:val="13"/>
          <w:color w:val="auto"/>
        </w:rPr>
        <w:t>Sales for the quarter ended October 31, 2021 increased 16.0 percent, which consisted of an organic sales increase of 7.0 percent, an increase of 8.3 percent from acquisitions and an increase of 0.7 percent from foreign currency translation. Sales for the quarter ended October 31, 2021 were $321.5 million compared to $277.2 million in the same quarter last year. By segment, sales increased 25.4 percent in Identification Solutions and decreased 7.8 percent in Workplace Safety, which consisted of an organic sales increase of 13.2 percent in Identification Solutions and an organic sales decline of 8.6 percent in Workplace Safety.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80" w:lineRule="exact"/>
        <w:rPr>
          <w:sz w:val="20"/>
          <w:szCs w:val="20"/>
          <w:color w:val="auto"/>
        </w:rPr>
      </w:pPr>
    </w:p>
    <w:p>
      <w:pPr>
        <w:jc w:val="both"/>
        <w:ind w:firstLine="432"/>
        <w:spacing w:after="0" w:line="358" w:lineRule="auto"/>
        <w:rPr>
          <w:sz w:val="20"/>
          <w:szCs w:val="20"/>
          <w:color w:val="auto"/>
        </w:rPr>
      </w:pPr>
      <w:r>
        <w:rPr>
          <w:rFonts w:ascii="Arial" w:cs="Arial" w:eastAsia="Arial" w:hAnsi="Arial"/>
          <w:sz w:val="13"/>
          <w:szCs w:val="13"/>
          <w:color w:val="auto"/>
        </w:rPr>
        <w:t>“Our investments in sales, marketing, and research and development over the last several years are paying off. These investments, coupled with increased customer demand, and the acquisitions completed in the fourth</w:t>
      </w:r>
    </w:p>
    <w:p>
      <w:pPr>
        <w:sectPr>
          <w:pgSz w:w="11900" w:h="16838" w:orient="portrait"/>
          <w:cols w:equalWidth="0" w:num="1">
            <w:col w:w="11300"/>
          </w:cols>
          <w:pgMar w:left="300" w:top="638" w:right="299" w:bottom="1440" w:gutter="0" w:footer="0" w:header="0"/>
        </w:sectPr>
      </w:pPr>
    </w:p>
    <w:bookmarkStart w:id="4" w:name="page5"/>
    <w:bookmarkEnd w:id="4"/>
    <w:p>
      <w:pPr>
        <w:jc w:val="both"/>
        <w:spacing w:after="0" w:line="369" w:lineRule="auto"/>
        <w:rPr>
          <w:sz w:val="20"/>
          <w:szCs w:val="20"/>
          <w:color w:val="auto"/>
        </w:rPr>
      </w:pPr>
      <w:r>
        <w:rPr>
          <w:rFonts w:ascii="Arial" w:cs="Arial" w:eastAsia="Arial" w:hAnsi="Arial"/>
          <w:sz w:val="12"/>
          <w:szCs w:val="12"/>
          <w:color w:val="auto"/>
        </w:rPr>
        <w:t>quarter of last year, helped us generate double-digit sales growth this quarter,” said Brady’s President and Chief Executive Officer, J. Michael Nauman. “Our strong 16.0 percent year-over-year sales growth was driven by our Identification Solutions division which had total sales growth of 25.4 percent this quarter. We remain excited about the three acquisitions completed last year, which are performing at or above our initial expectations. Supply chains for certain components remain tight and we are experiencing inflation in many areas including wages, freight, utilities, and raw materials. Even with these inflationary pressures, our gross profit margin was still an enviable 48.2 percent which was right in line with the gross profit margin experienced in the fourth quarter of last year. We believe that these gross margin challenges are temporary and once our pricing and efficiency initiatives catch up to the cost inflation, our strong sales growth and improved gross profit margins will drive significant bottom-line growth.”</w:t>
      </w:r>
    </w:p>
    <w:p>
      <w:pPr>
        <w:spacing w:after="0" w:line="1" w:lineRule="exact"/>
        <w:rPr>
          <w:sz w:val="20"/>
          <w:szCs w:val="20"/>
          <w:color w:val="auto"/>
        </w:rPr>
      </w:pPr>
    </w:p>
    <w:p>
      <w:pPr>
        <w:jc w:val="both"/>
        <w:ind w:right="20" w:firstLine="432"/>
        <w:spacing w:after="0" w:line="391" w:lineRule="auto"/>
        <w:rPr>
          <w:sz w:val="20"/>
          <w:szCs w:val="20"/>
          <w:color w:val="auto"/>
        </w:rPr>
      </w:pPr>
      <w:r>
        <w:rPr>
          <w:rFonts w:ascii="Arial" w:cs="Arial" w:eastAsia="Arial" w:hAnsi="Arial"/>
          <w:sz w:val="12"/>
          <w:szCs w:val="12"/>
          <w:color w:val="auto"/>
        </w:rPr>
        <w:t>“Brady is financially strong and continues to generate significant cash flow. This quarter, sales grew 16.0 percent and Diluted EPS Excluding Amortization* grew 9.1 percent, which represents another very strong quarter,” said Brady’s Chief Financial Officer, Aaron Pearce. “We have been increasing our inventory levels to ensure that we can meet the ongoing strong customer demand and our accounts receivable increased due to the strong revenue growth we experienced this quarter. This quarter, we returned $30.5 million to our shareholders in the form of dividends and buybacks and we have a net cash balance of $90.6 million as of October 31, 2021. We believe that Brady’s first quarter financial results combined with our solid balance sheet, position us well for future financial success.”</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2022 Guidance:</w:t>
      </w:r>
    </w:p>
    <w:p>
      <w:pPr>
        <w:spacing w:after="0" w:line="53" w:lineRule="exact"/>
        <w:rPr>
          <w:sz w:val="20"/>
          <w:szCs w:val="20"/>
          <w:color w:val="auto"/>
        </w:rPr>
      </w:pPr>
    </w:p>
    <w:p>
      <w:pPr>
        <w:jc w:val="both"/>
        <w:ind w:firstLine="432"/>
        <w:spacing w:after="0" w:line="345" w:lineRule="auto"/>
        <w:rPr>
          <w:sz w:val="20"/>
          <w:szCs w:val="20"/>
          <w:color w:val="auto"/>
        </w:rPr>
      </w:pPr>
      <w:r>
        <w:rPr>
          <w:rFonts w:ascii="Arial" w:cs="Arial" w:eastAsia="Arial" w:hAnsi="Arial"/>
          <w:sz w:val="13"/>
          <w:szCs w:val="13"/>
          <w:color w:val="auto"/>
        </w:rPr>
        <w:t>The Company’s earnings per diluted Class A Nonvoting Common Share, excluding amortization guidance for the year ending July 31, 2022 remains unchanged at $3.12 to $3.32 per share, and earnings per diluted Class A Nonvoting Common Share on a GAAP basis remains unchanged at $2.90 to $3.10 per share. Included in this guidance is a full-year income tax rate of approximately 20 percent, depreciation and amortization expense ranging from $34 million to $36 million, and sales growth in excess of 12 percent for the year ending July 31, 2022. Capital expenditures, excluding facility purchases are expected to range from $20 million to $25 million during the year ending July 31, 2022. The Company’s fiscal 2022 guidance is based on foreign currency exchange rates as of October 31, 2021 and assumes a continued economic recovery.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2022 first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38"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on the Internet at </w:t>
      </w:r>
      <w:r>
        <w:rPr>
          <w:rFonts w:ascii="Arial" w:cs="Arial" w:eastAsia="Arial" w:hAnsi="Arial"/>
          <w:sz w:val="13"/>
          <w:szCs w:val="13"/>
          <w:color w:val="0000FF"/>
        </w:rPr>
        <w:t>www.bradyid.com</w:t>
      </w:r>
      <w:r>
        <w:rPr>
          <w:rFonts w:ascii="Arial" w:cs="Arial" w:eastAsia="Arial" w:hAnsi="Arial"/>
          <w:sz w:val="13"/>
          <w:szCs w:val="13"/>
          <w:color w:val="auto"/>
        </w:rPr>
        <w:t>.</w:t>
      </w:r>
    </w:p>
    <w:p>
      <w:pPr>
        <w:sectPr>
          <w:pgSz w:w="11900" w:h="16838" w:orient="portrait"/>
          <w:cols w:equalWidth="0" w:num="1">
            <w:col w:w="11300"/>
          </w:cols>
          <w:pgMar w:left="300" w:top="678" w:right="299" w:bottom="1440" w:gutter="0" w:footer="0" w:header="0"/>
        </w:sectPr>
      </w:pPr>
    </w:p>
    <w:bookmarkStart w:id="5" w:name="page6"/>
    <w:bookmarkEnd w:id="5"/>
    <w:p>
      <w:pPr>
        <w:ind w:right="20" w:firstLine="424"/>
        <w:spacing w:after="0" w:line="358" w:lineRule="auto"/>
        <w:tabs>
          <w:tab w:leader="none" w:pos="539"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Amortization, Net Income Excluding Amortization, and Diluted EPS Excluding Amortization are non-GAAP measures. See appendix for more information on these measures, including reconciliations to the most directly comparable GAAP measures.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differ materially from those expressed or implied by such forward-looking statements. For Brady, uncertainties arise from: adverse impacts of the novel coronavirus (“COVID-19”) pandemic or other pandemics; adverse impacts from vaccination mandates issued by U.S. and non-U.S. governmental entities; decreased demand for our products; our ability to compete effectively or to successfully execute our strategy; Brady’s ability to develop technologically advanced products that meet customer demands; increased cost of raw materials, labor and freight as well as raw material shortages; Brady’s ability to properly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 and in any subsequent filings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1002"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321,475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277,227</w:t>
            </w: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166,487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141,799</w:t>
            </w:r>
          </w:p>
        </w:tc>
      </w:tr>
      <w:tr>
        <w:trPr>
          <w:trHeight w:val="135"/>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154,988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135,428</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13,907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10,203</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96,746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83,037</w:t>
            </w: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110,653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93,240</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44,335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42,188</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w:t>
            </w:r>
          </w:p>
        </w:tc>
      </w:tr>
      <w:tr>
        <w:trPr>
          <w:trHeight w:val="144"/>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44,696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9,650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8,582</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35,046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33,655</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w:t>
            </w:r>
          </w:p>
        </w:tc>
      </w:tr>
      <w:tr>
        <w:trPr>
          <w:trHeight w:val="153"/>
        </w:trPr>
        <w:tc>
          <w:tcPr>
            <w:tcW w:w="84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r>
      <w:tr>
        <w:trPr>
          <w:trHeight w:val="160"/>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35,046</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33,481</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0.67</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0.64</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0.66</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0.63</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0.62</w:t>
            </w: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0.21</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0.20</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51,973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52,021</w:t>
            </w:r>
          </w:p>
        </w:tc>
      </w:tr>
      <w:tr>
        <w:trPr>
          <w:trHeight w:val="140"/>
        </w:trPr>
        <w:tc>
          <w:tcPr>
            <w:tcW w:w="84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52,436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52,292</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color w:val="auto"/>
                <w:w w:val="87"/>
              </w:rPr>
              <w:t>October 31, 2021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2021</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157,553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$7,265 and $7,306,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182,791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170,579</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152,295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136,107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12,452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11,083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505,091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465,104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128,618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121,741</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610,836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614,137</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88,219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16,343</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36,655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41,880</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24,682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26,217</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1,410,478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1,377,756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82,152</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89,283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81,173</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13,054</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5,593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3,915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61,930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59,623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266,493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257,584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67,000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38,000</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89,658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90,797</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446,585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414,728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48,257,592 and 48,528,245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340,182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339,125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811,820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788,369</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Treasury stock—3,003,895 and 2,733,242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(127,986)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(109,061)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(60,671)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(55,953)</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Arial" w:cs="Arial" w:eastAsia="Arial" w:hAnsi="Arial"/>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963,893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963,028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1,410,478</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1,377,756</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35,046</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33,481</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8,509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5,635</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3,574</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(1,175)</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(266)</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(13,302)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(11,371)</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(16,579)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14,758</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(1,398)</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9,499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17,363</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2,063</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27,491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62,838</w:t>
            </w:r>
          </w:p>
        </w:tc>
      </w:tr>
      <w:tr>
        <w:trPr>
          <w:trHeight w:val="144"/>
        </w:trPr>
        <w:tc>
          <w:tcPr>
            <w:tcW w:w="8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(11,328)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(9,321)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(11,326)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(9,202)</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(11,595)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(11,391)</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(2,617)</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(18,924)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(2,720)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12,971</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(27,200)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(12,988)</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(4,592)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(16,551)</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1,605</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increase in cash and cash equivalents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10,218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38,690</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147,335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157,553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256,333</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2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color w:val="auto"/>
              </w:rPr>
              <w:t>Three months ended October 31,</w:t>
            </w:r>
          </w:p>
        </w:tc>
        <w:tc>
          <w:tcPr>
            <w:tcW w:w="560" w:type="dxa"/>
            <w:vAlign w:val="bottom"/>
            <w:tcBorders>
              <w:bottom w:val="single" w:sz="8" w:color="auto"/>
            </w:tcBorders>
          </w:tcPr>
          <w:p>
            <w:pPr>
              <w:spacing w:after="0"/>
              <w:rPr>
                <w:sz w:val="12"/>
                <w:szCs w:val="12"/>
                <w:color w:val="auto"/>
              </w:rPr>
            </w:pPr>
          </w:p>
        </w:tc>
      </w:tr>
      <w:tr>
        <w:trPr>
          <w:trHeight w:val="151"/>
        </w:trPr>
        <w:tc>
          <w:tcPr>
            <w:tcW w:w="8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2020</w:t>
            </w:r>
          </w:p>
        </w:tc>
        <w:tc>
          <w:tcPr>
            <w:tcW w:w="560" w:type="dxa"/>
            <w:vAlign w:val="bottom"/>
            <w:tcBorders>
              <w:bottom w:val="single" w:sz="8" w:color="auto"/>
            </w:tcBorders>
          </w:tcPr>
          <w:p>
            <w:pPr>
              <w:spacing w:after="0"/>
              <w:rPr>
                <w:sz w:val="13"/>
                <w:szCs w:val="13"/>
                <w:color w:val="auto"/>
              </w:rPr>
            </w:pPr>
          </w:p>
        </w:tc>
      </w:tr>
      <w:tr>
        <w:trPr>
          <w:trHeight w:val="126"/>
        </w:trPr>
        <w:tc>
          <w:tcPr>
            <w:tcW w:w="8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8320" w:type="dxa"/>
            <w:vAlign w:val="bottom"/>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tcPr>
          <w:p>
            <w:pPr>
              <w:jc w:val="right"/>
              <w:ind w:right="76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248,617</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198,192</w:t>
            </w:r>
          </w:p>
        </w:tc>
      </w:tr>
      <w:tr>
        <w:trPr>
          <w:trHeight w:val="144"/>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72,858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79,035</w:t>
            </w:r>
          </w:p>
        </w:tc>
      </w:tr>
      <w:tr>
        <w:trPr>
          <w:trHeight w:val="151"/>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321,475</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277,227</w:t>
            </w:r>
          </w:p>
        </w:tc>
      </w:tr>
      <w:tr>
        <w:trPr>
          <w:trHeight w:val="153"/>
        </w:trPr>
        <w:tc>
          <w:tcPr>
            <w:tcW w:w="8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2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6"/>
        </w:trPr>
        <w:tc>
          <w:tcPr>
            <w:tcW w:w="83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2"/>
        </w:trPr>
        <w:tc>
          <w:tcPr>
            <w:tcW w:w="8320" w:type="dxa"/>
            <w:vAlign w:val="bottom"/>
          </w:tcPr>
          <w:p>
            <w:pPr>
              <w:ind w:left="220"/>
              <w:spacing w:after="0"/>
              <w:rPr>
                <w:sz w:val="20"/>
                <w:szCs w:val="20"/>
                <w:color w:val="auto"/>
              </w:rPr>
            </w:pPr>
            <w:r>
              <w:rPr>
                <w:rFonts w:ascii="Arial" w:cs="Arial" w:eastAsia="Arial" w:hAnsi="Arial"/>
                <w:sz w:val="11"/>
                <w:szCs w:val="11"/>
                <w:color w:val="auto"/>
              </w:rPr>
              <w:t>Organic</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13.2 %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(8.4)%</w:t>
            </w: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r>
      <w:tr>
        <w:trPr>
          <w:trHeight w:val="155"/>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25.4 %</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r>
      <w:tr>
        <w:trPr>
          <w:trHeight w:val="120"/>
        </w:trPr>
        <w:tc>
          <w:tcPr>
            <w:tcW w:w="832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Workplace Safety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5.5 %</w:t>
            </w:r>
          </w:p>
        </w:tc>
      </w:tr>
      <w:tr>
        <w:trPr>
          <w:trHeight w:val="14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0.8 %</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4.3 %</w:t>
            </w:r>
          </w:p>
        </w:tc>
      </w:tr>
      <w:tr>
        <w:trPr>
          <w:trHeight w:val="155"/>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9.8 %</w:t>
            </w:r>
          </w:p>
        </w:tc>
      </w:tr>
      <w:tr>
        <w:trPr>
          <w:trHeight w:val="120"/>
        </w:trPr>
        <w:tc>
          <w:tcPr>
            <w:tcW w:w="832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r>
      <w:tr>
        <w:trPr>
          <w:trHeight w:val="142"/>
        </w:trPr>
        <w:tc>
          <w:tcPr>
            <w:tcW w:w="8320" w:type="dxa"/>
            <w:vAlign w:val="bottom"/>
          </w:tcPr>
          <w:p>
            <w:pPr>
              <w:ind w:left="220"/>
              <w:spacing w:after="0"/>
              <w:rPr>
                <w:sz w:val="20"/>
                <w:szCs w:val="20"/>
                <w:color w:val="auto"/>
              </w:rPr>
            </w:pPr>
            <w:r>
              <w:rPr>
                <w:rFonts w:ascii="Arial" w:cs="Arial" w:eastAsia="Arial" w:hAnsi="Arial"/>
                <w:sz w:val="11"/>
                <w:szCs w:val="11"/>
                <w:color w:val="auto"/>
              </w:rPr>
              <w:t>Acquisition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8.3 %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1.5 %</w:t>
            </w:r>
          </w:p>
        </w:tc>
      </w:tr>
      <w:tr>
        <w:trPr>
          <w:trHeight w:val="151"/>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16.0 %</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r>
      <w:tr>
        <w:trPr>
          <w:trHeight w:val="153"/>
        </w:trPr>
        <w:tc>
          <w:tcPr>
            <w:tcW w:w="8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42"/>
        </w:trPr>
        <w:tc>
          <w:tcPr>
            <w:tcW w:w="832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4"/>
              </w:rPr>
              <w:t>48,816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40,279</w:t>
            </w:r>
          </w:p>
        </w:tc>
      </w:tr>
      <w:tr>
        <w:trPr>
          <w:trHeight w:val="14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2,293</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7,988</w:t>
            </w:r>
          </w:p>
        </w:tc>
      </w:tr>
      <w:tr>
        <w:trPr>
          <w:trHeight w:val="155"/>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4"/>
              </w:rPr>
              <w:t>51,109</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48,267</w:t>
            </w:r>
          </w:p>
        </w:tc>
      </w:tr>
      <w:tr>
        <w:trPr>
          <w:trHeight w:val="120"/>
        </w:trPr>
        <w:tc>
          <w:tcPr>
            <w:tcW w:w="832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20.3 %</w:t>
            </w:r>
          </w:p>
        </w:tc>
      </w:tr>
      <w:tr>
        <w:trPr>
          <w:trHeight w:val="14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3.1 %</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10.1 %</w:t>
            </w:r>
          </w:p>
        </w:tc>
      </w:tr>
      <w:tr>
        <w:trPr>
          <w:trHeight w:val="142"/>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15.9 %</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17.4 %</w:t>
            </w:r>
          </w:p>
        </w:tc>
      </w:tr>
      <w:tr>
        <w:trPr>
          <w:trHeight w:val="20"/>
        </w:trPr>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47"/>
        </w:trPr>
        <w:tc>
          <w:tcPr>
            <w:tcW w:w="8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auto"/>
            </w:tcBorders>
            <w:gridSpan w:val="6"/>
          </w:tcPr>
          <w:p>
            <w:pPr>
              <w:jc w:val="center"/>
              <w:ind w:left="446"/>
              <w:spacing w:after="0"/>
              <w:rPr>
                <w:sz w:val="20"/>
                <w:szCs w:val="20"/>
                <w:color w:val="auto"/>
              </w:rPr>
            </w:pPr>
            <w:r>
              <w:rPr>
                <w:rFonts w:ascii="Arial" w:cs="Arial" w:eastAsia="Arial" w:hAnsi="Arial"/>
                <w:sz w:val="11"/>
                <w:szCs w:val="11"/>
                <w:color w:val="auto"/>
                <w:w w:val="87"/>
              </w:rPr>
              <w:t>Three months ended October 31,</w:t>
            </w:r>
          </w:p>
        </w:tc>
        <w:tc>
          <w:tcPr>
            <w:tcW w:w="500" w:type="dxa"/>
            <w:vAlign w:val="bottom"/>
            <w:tcBorders>
              <w:bottom w:val="single" w:sz="8" w:color="auto"/>
            </w:tcBorders>
          </w:tcPr>
          <w:p>
            <w:pPr>
              <w:spacing w:after="0"/>
              <w:rPr>
                <w:sz w:val="24"/>
                <w:szCs w:val="24"/>
                <w:color w:val="auto"/>
              </w:rPr>
            </w:pPr>
          </w:p>
        </w:tc>
      </w:tr>
      <w:tr>
        <w:trPr>
          <w:trHeight w:val="151"/>
        </w:trPr>
        <w:tc>
          <w:tcPr>
            <w:tcW w:w="83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2020</w:t>
            </w:r>
          </w:p>
        </w:tc>
        <w:tc>
          <w:tcPr>
            <w:tcW w:w="500" w:type="dxa"/>
            <w:vAlign w:val="bottom"/>
            <w:tcBorders>
              <w:bottom w:val="single" w:sz="8" w:color="auto"/>
            </w:tcBorders>
          </w:tcPr>
          <w:p>
            <w:pPr>
              <w:spacing w:after="0"/>
              <w:rPr>
                <w:sz w:val="13"/>
                <w:szCs w:val="13"/>
                <w:color w:val="auto"/>
              </w:rPr>
            </w:pPr>
          </w:p>
        </w:tc>
      </w:tr>
      <w:tr>
        <w:trPr>
          <w:trHeight w:val="135"/>
        </w:trPr>
        <w:tc>
          <w:tcPr>
            <w:tcW w:w="832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80" w:type="dxa"/>
            <w:vAlign w:val="bottom"/>
            <w:gridSpan w:val="2"/>
            <w:shd w:val="clear" w:color="auto" w:fill="CCEEFF"/>
          </w:tcPr>
          <w:p>
            <w:pPr>
              <w:jc w:val="right"/>
              <w:ind w:right="686"/>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51,109</w:t>
            </w: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74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48,267</w:t>
            </w:r>
          </w:p>
        </w:tc>
      </w:tr>
      <w:tr>
        <w:trPr>
          <w:trHeight w:val="142"/>
        </w:trPr>
        <w:tc>
          <w:tcPr>
            <w:tcW w:w="8320" w:type="dxa"/>
            <w:vAlign w:val="bottom"/>
          </w:tcPr>
          <w:p>
            <w:pPr>
              <w:spacing w:after="0"/>
              <w:rPr>
                <w:sz w:val="20"/>
                <w:szCs w:val="20"/>
                <w:color w:val="auto"/>
              </w:rPr>
            </w:pPr>
            <w:r>
              <w:rPr>
                <w:rFonts w:ascii="Arial" w:cs="Arial" w:eastAsia="Arial" w:hAnsi="Arial"/>
                <w:sz w:val="11"/>
                <w:szCs w:val="11"/>
                <w:color w:val="auto"/>
              </w:rPr>
              <w:t>Unallocated amounts: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6"/>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(6,774)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(6,079)</w:t>
            </w:r>
          </w:p>
        </w:tc>
      </w:tr>
      <w:tr>
        <w:trPr>
          <w:trHeight w:val="142"/>
        </w:trPr>
        <w:tc>
          <w:tcPr>
            <w:tcW w:w="8320" w:type="dxa"/>
            <w:vAlign w:val="bottom"/>
          </w:tcPr>
          <w:p>
            <w:pPr>
              <w:ind w:left="220"/>
              <w:spacing w:after="0"/>
              <w:rPr>
                <w:sz w:val="20"/>
                <w:szCs w:val="20"/>
                <w:color w:val="auto"/>
              </w:rPr>
            </w:pPr>
            <w:r>
              <w:rPr>
                <w:rFonts w:ascii="Arial" w:cs="Arial" w:eastAsia="Arial" w:hAnsi="Arial"/>
                <w:sz w:val="11"/>
                <w:szCs w:val="11"/>
                <w:color w:val="auto"/>
              </w:rPr>
              <w:t>Investment and other income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155</w:t>
            </w:r>
          </w:p>
        </w:tc>
      </w:tr>
      <w:tr>
        <w:trPr>
          <w:trHeight w:val="144"/>
        </w:trPr>
        <w:tc>
          <w:tcPr>
            <w:tcW w:w="8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1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35"/>
        </w:trPr>
        <w:tc>
          <w:tcPr>
            <w:tcW w:w="832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80" w:type="dxa"/>
            <w:vAlign w:val="bottom"/>
            <w:gridSpan w:val="2"/>
          </w:tcPr>
          <w:p>
            <w:pPr>
              <w:jc w:val="right"/>
              <w:ind w:right="686"/>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44,696</w:t>
            </w:r>
          </w:p>
        </w:tc>
        <w:tc>
          <w:tcPr>
            <w:tcW w:w="20" w:type="dxa"/>
            <w:vAlign w:val="bottom"/>
          </w:tcPr>
          <w:p>
            <w:pPr>
              <w:spacing w:after="0"/>
              <w:rPr>
                <w:sz w:val="11"/>
                <w:szCs w:val="11"/>
                <w:color w:val="auto"/>
              </w:rPr>
            </w:pPr>
          </w:p>
        </w:tc>
        <w:tc>
          <w:tcPr>
            <w:tcW w:w="940" w:type="dxa"/>
            <w:vAlign w:val="bottom"/>
            <w:gridSpan w:val="2"/>
          </w:tcPr>
          <w:p>
            <w:pPr>
              <w:jc w:val="right"/>
              <w:ind w:right="74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42,237</w:t>
            </w:r>
          </w:p>
        </w:tc>
      </w:tr>
      <w:tr>
        <w:trPr>
          <w:trHeight w:val="20"/>
        </w:trPr>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1"/>
                <w:szCs w:val="11"/>
                <w:b w:val="1"/>
                <w:bCs w:val="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and losses of unconsolidated affiliate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44,696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42,237</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3,807</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1,351</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48,503</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43,588</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b w:val="1"/>
                <w:bCs w:val="1"/>
                <w:color w:val="auto"/>
              </w:rPr>
              <w:t>Three months ended October 31,</w:t>
            </w:r>
          </w:p>
        </w:tc>
        <w:tc>
          <w:tcPr>
            <w:tcW w:w="44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9,650</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8,582</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10,550</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8,920</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1"/>
                <w:szCs w:val="11"/>
                <w:b w:val="1"/>
                <w:bCs w:val="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35,046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33,481</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2,907</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1,013</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37,953</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34,494</w:t>
            </w:r>
          </w:p>
        </w:tc>
      </w:tr>
    </w:tbl>
    <w:p>
      <w:pPr>
        <w:sectPr>
          <w:pgSz w:w="11900" w:h="16838" w:orient="portrait"/>
          <w:cols w:equalWidth="0" w:num="1">
            <w:col w:w="11300"/>
          </w:cols>
          <w:pgMar w:left="300" w:top="55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 (Note that certain amounts will not foot due to rounding):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1"/>
                <w:szCs w:val="11"/>
                <w:b w:val="1"/>
                <w:bCs w:val="1"/>
                <w:color w:val="auto"/>
              </w:rPr>
              <w:t>Three months ended July 31,</w:t>
            </w:r>
          </w:p>
        </w:tc>
        <w:tc>
          <w:tcPr>
            <w:tcW w:w="40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0.02</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0.72</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0.66</w:t>
            </w:r>
          </w:p>
        </w:tc>
      </w:tr>
    </w:tbl>
    <w:p>
      <w:pPr>
        <w:sectPr>
          <w:pgSz w:w="11900" w:h="16838" w:orient="portrait"/>
          <w:cols w:equalWidth="0" w:num="1">
            <w:col w:w="11300"/>
          </w:cols>
          <w:pgMar w:left="300" w:top="667"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2021-11-18T06:11:15Z</dcterms:created>
  <dcterms:modified xsi:type="dcterms:W3CDTF">2021-11-18T06:11:15Z</dcterms:modified>
</cp:coreProperties>
</file>