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57150</wp:posOffset>
            </wp:positionV>
            <wp:extent cx="18427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41275</wp:posOffset>
            </wp:positionV>
            <wp:extent cx="185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12" w:lineRule="exact"/>
        <w:rPr>
          <w:sz w:val="24"/>
          <w:szCs w:val="24"/>
          <w:color w:val="auto"/>
        </w:rPr>
      </w:pPr>
    </w:p>
    <w:p>
      <w:pPr>
        <w:ind w:left="4380" w:right="2100" w:hanging="4354"/>
        <w:spacing w:after="0" w:line="360" w:lineRule="auto"/>
        <w:tabs>
          <w:tab w:leader="none" w:pos="37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July 31, 2024</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57" w:lineRule="exact"/>
        <w:rPr>
          <w:rFonts w:ascii="MS PGothic" w:cs="MS PGothic" w:eastAsia="MS PGothic" w:hAnsi="MS PGothic"/>
          <w:sz w:val="18"/>
          <w:szCs w:val="18"/>
          <w:color w:val="auto"/>
        </w:rPr>
      </w:pPr>
    </w:p>
    <w:p>
      <w:pPr>
        <w:ind w:left="380" w:hanging="341"/>
        <w:spacing w:after="0"/>
        <w:tabs>
          <w:tab w:leader="none" w:pos="3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0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71120</wp:posOffset>
            </wp:positionV>
            <wp:extent cx="1842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BRADY CORPORATION</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64770</wp:posOffset>
            </wp:positionV>
            <wp:extent cx="1842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980" w:type="dxa"/>
            <w:vAlign w:val="bottom"/>
          </w:tcPr>
          <w:p>
            <w:pPr>
              <w:ind w:left="3280"/>
              <w:spacing w:after="0"/>
              <w:rPr>
                <w:sz w:val="20"/>
                <w:szCs w:val="20"/>
                <w:color w:val="auto"/>
              </w:rPr>
            </w:pPr>
            <w:r>
              <w:rPr>
                <w:rFonts w:ascii="Times New Roman" w:cs="Times New Roman" w:eastAsia="Times New Roman" w:hAnsi="Times New Roman"/>
                <w:sz w:val="14"/>
                <w:szCs w:val="14"/>
                <w:b w:val="1"/>
                <w:bCs w:val="1"/>
                <w:color w:val="auto"/>
              </w:rPr>
              <w:t>Wisconsin</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500" w:type="dxa"/>
            <w:vAlign w:val="bottom"/>
            <w:gridSpan w:val="2"/>
          </w:tcPr>
          <w:p>
            <w:pPr>
              <w:jc w:val="right"/>
              <w:ind w:right="2108"/>
              <w:spacing w:after="0"/>
              <w:rPr>
                <w:sz w:val="20"/>
                <w:szCs w:val="20"/>
                <w:color w:val="auto"/>
              </w:rPr>
            </w:pPr>
            <w:r>
              <w:rPr>
                <w:rFonts w:ascii="Times New Roman" w:cs="Times New Roman" w:eastAsia="Times New Roman" w:hAnsi="Times New Roman"/>
                <w:sz w:val="14"/>
                <w:szCs w:val="14"/>
                <w:b w:val="1"/>
                <w:bCs w:val="1"/>
                <w:color w:val="auto"/>
              </w:rPr>
              <w:t>39-0178960</w:t>
            </w:r>
          </w:p>
        </w:tc>
        <w:tc>
          <w:tcPr>
            <w:tcW w:w="0" w:type="dxa"/>
            <w:vAlign w:val="bottom"/>
          </w:tcPr>
          <w:p>
            <w:pPr>
              <w:spacing w:after="0"/>
              <w:rPr>
                <w:sz w:val="1"/>
                <w:szCs w:val="1"/>
                <w:color w:val="auto"/>
              </w:rPr>
            </w:pPr>
          </w:p>
        </w:tc>
      </w:tr>
      <w:tr>
        <w:trPr>
          <w:trHeight w:val="203"/>
        </w:trPr>
        <w:tc>
          <w:tcPr>
            <w:tcW w:w="6760" w:type="dxa"/>
            <w:vAlign w:val="bottom"/>
            <w:gridSpan w:val="4"/>
          </w:tcPr>
          <w:p>
            <w:pPr>
              <w:ind w:left="18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00" w:type="dxa"/>
            <w:vAlign w:val="bottom"/>
          </w:tcPr>
          <w:p>
            <w:pPr>
              <w:spacing w:after="0"/>
              <w:rPr>
                <w:sz w:val="17"/>
                <w:szCs w:val="17"/>
                <w:color w:val="auto"/>
              </w:rPr>
            </w:pPr>
          </w:p>
        </w:tc>
        <w:tc>
          <w:tcPr>
            <w:tcW w:w="4200" w:type="dxa"/>
            <w:vAlign w:val="bottom"/>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6555 West Good Hope Road</w:t>
            </w:r>
          </w:p>
        </w:tc>
        <w:tc>
          <w:tcPr>
            <w:tcW w:w="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Milwaukee, Wisconsin 53223</w:t>
            </w:r>
          </w:p>
        </w:tc>
        <w:tc>
          <w:tcPr>
            <w:tcW w:w="3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7280" w:type="dxa"/>
            <w:vAlign w:val="bottom"/>
            <w:gridSpan w:val="5"/>
          </w:tcPr>
          <w:p>
            <w:pPr>
              <w:jc w:val="center"/>
              <w:ind w:right="3908"/>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0" w:type="dxa"/>
            <w:vAlign w:val="bottom"/>
          </w:tcPr>
          <w:p>
            <w:pPr>
              <w:spacing w:after="0"/>
              <w:rPr>
                <w:sz w:val="1"/>
                <w:szCs w:val="1"/>
                <w:color w:val="auto"/>
              </w:rPr>
            </w:pPr>
          </w:p>
        </w:tc>
      </w:tr>
      <w:tr>
        <w:trPr>
          <w:trHeight w:val="271"/>
        </w:trPr>
        <w:tc>
          <w:tcPr>
            <w:tcW w:w="3980" w:type="dxa"/>
            <w:vAlign w:val="bottom"/>
          </w:tcPr>
          <w:p>
            <w:pPr>
              <w:spacing w:after="0"/>
              <w:rPr>
                <w:sz w:val="23"/>
                <w:szCs w:val="23"/>
                <w:color w:val="auto"/>
              </w:rPr>
            </w:pPr>
          </w:p>
        </w:tc>
        <w:tc>
          <w:tcPr>
            <w:tcW w:w="278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(414) 358-6600</w:t>
            </w:r>
          </w:p>
        </w:tc>
        <w:tc>
          <w:tcPr>
            <w:tcW w:w="30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7280" w:type="dxa"/>
            <w:vAlign w:val="bottom"/>
            <w:gridSpan w:val="5"/>
          </w:tcPr>
          <w:p>
            <w:pPr>
              <w:jc w:val="center"/>
              <w:ind w:right="39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77"/>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39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3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8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50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0"/>
        </w:trPr>
        <w:tc>
          <w:tcPr>
            <w:tcW w:w="11260" w:type="dxa"/>
            <w:vAlign w:val="bottom"/>
            <w:gridSpan w:val="6"/>
          </w:tcPr>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65" w:lineRule="exact"/>
        <w:rPr>
          <w:sz w:val="24"/>
          <w:szCs w:val="24"/>
          <w:color w:val="auto"/>
        </w:rPr>
      </w:pPr>
    </w:p>
    <w:p>
      <w:pPr>
        <w:jc w:val="both"/>
        <w:ind w:right="4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40"/>
        <w:spacing w:after="0" w:line="29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38" w:lineRule="exact"/>
        <w:rPr>
          <w:sz w:val="24"/>
          <w:szCs w:val="24"/>
          <w:color w:val="auto"/>
        </w:rPr>
      </w:pPr>
    </w:p>
    <w:p>
      <w:pPr>
        <w:ind w:left="20" w:right="420"/>
        <w:spacing w:after="0" w:line="38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413"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5" w:right="319" w:bottom="1440" w:gutter="0" w:footer="0" w:header="0"/>
          <w:type w:val="continuous"/>
        </w:sectPr>
      </w:pPr>
    </w:p>
    <w:p>
      <w:pPr>
        <w:jc w:val="both"/>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tabs>
          <w:tab w:leader="none" w:pos="6060" w:val="left"/>
          <w:tab w:leader="none" w:pos="66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154"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non-voting common stock held by non-affiliates of the registrant as of January 31, 2024, was approximately $2,593,760,582 based on the closing sale price of $60.23 per share on that date as reported for the New York Stock Exchange. As of September 4, 2024, there were 44,045,649 outstanding shares of Class A Nonvoting Common Stock (the “Class A Common Stock”), and 3,538,628 shares of Class B Common Stock. The Class B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740" w:type="dxa"/>
            <w:vAlign w:val="bottom"/>
          </w:tcPr>
          <w:p>
            <w:pPr>
              <w:ind w:left="53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480" w:type="dxa"/>
            <w:vAlign w:val="bottom"/>
          </w:tcPr>
          <w:p>
            <w:pPr>
              <w:spacing w:after="0"/>
              <w:rPr>
                <w:sz w:val="20"/>
                <w:szCs w:val="20"/>
                <w:color w:val="auto"/>
              </w:rPr>
            </w:pPr>
          </w:p>
        </w:tc>
      </w:tr>
      <w:tr>
        <w:trPr>
          <w:trHeight w:val="499"/>
        </w:trPr>
        <w:tc>
          <w:tcPr>
            <w:tcW w:w="9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8"/>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General Development of Business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Narrative Description of Business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9740" w:type="dxa"/>
            <w:vAlign w:val="bottom"/>
          </w:tcPr>
          <w:p>
            <w:pPr>
              <w:ind w:left="660"/>
              <w:spacing w:after="0"/>
              <w:rPr>
                <w:sz w:val="20"/>
                <w:szCs w:val="20"/>
                <w:color w:val="auto"/>
              </w:rPr>
            </w:pPr>
            <w:r>
              <w:rPr>
                <w:rFonts w:ascii="Times New Roman" w:cs="Times New Roman" w:eastAsia="Times New Roman" w:hAnsi="Times New Roman"/>
                <w:sz w:val="18"/>
                <w:szCs w:val="18"/>
                <w:color w:val="0000FF"/>
              </w:rPr>
              <w:t>Overview</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9740" w:type="dxa"/>
            <w:vAlign w:val="bottom"/>
          </w:tcPr>
          <w:p>
            <w:pPr>
              <w:ind w:left="660"/>
              <w:spacing w:after="0"/>
              <w:rPr>
                <w:sz w:val="20"/>
                <w:szCs w:val="20"/>
                <w:color w:val="auto"/>
              </w:rPr>
            </w:pPr>
            <w:r>
              <w:rPr>
                <w:rFonts w:ascii="Times New Roman" w:cs="Times New Roman" w:eastAsia="Times New Roman" w:hAnsi="Times New Roman"/>
                <w:sz w:val="18"/>
                <w:szCs w:val="18"/>
                <w:color w:val="0000FF"/>
              </w:rPr>
              <w:t>Research and Development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30"/>
        </w:trPr>
        <w:tc>
          <w:tcPr>
            <w:tcW w:w="9740" w:type="dxa"/>
            <w:vAlign w:val="bottom"/>
          </w:tcPr>
          <w:p>
            <w:pPr>
              <w:ind w:left="660"/>
              <w:spacing w:after="0"/>
              <w:rPr>
                <w:sz w:val="20"/>
                <w:szCs w:val="20"/>
                <w:color w:val="auto"/>
              </w:rPr>
            </w:pPr>
            <w:r>
              <w:rPr>
                <w:rFonts w:ascii="Times New Roman" w:cs="Times New Roman" w:eastAsia="Times New Roman" w:hAnsi="Times New Roman"/>
                <w:sz w:val="18"/>
                <w:szCs w:val="18"/>
                <w:color w:val="0000FF"/>
              </w:rPr>
              <w:t>Operations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29"/>
        </w:trPr>
        <w:tc>
          <w:tcPr>
            <w:tcW w:w="9740" w:type="dxa"/>
            <w:vAlign w:val="bottom"/>
          </w:tcPr>
          <w:p>
            <w:pPr>
              <w:ind w:left="660"/>
              <w:spacing w:after="0"/>
              <w:rPr>
                <w:sz w:val="20"/>
                <w:szCs w:val="20"/>
                <w:color w:val="auto"/>
              </w:rPr>
            </w:pPr>
            <w:r>
              <w:rPr>
                <w:rFonts w:ascii="Times New Roman" w:cs="Times New Roman" w:eastAsia="Times New Roman" w:hAnsi="Times New Roman"/>
                <w:sz w:val="18"/>
                <w:szCs w:val="18"/>
                <w:color w:val="0000FF"/>
              </w:rPr>
              <w:t>Human Capital Management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Information Available on the Internet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2. Properties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25"/>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33"/>
        </w:trPr>
        <w:tc>
          <w:tcPr>
            <w:tcW w:w="9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480" w:type="dxa"/>
            <w:vAlign w:val="bottom"/>
          </w:tcPr>
          <w:p>
            <w:pPr>
              <w:spacing w:after="0"/>
              <w:rPr>
                <w:sz w:val="20"/>
                <w:szCs w:val="20"/>
                <w:color w:val="auto"/>
              </w:rPr>
            </w:pP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w:t>
            </w:r>
          </w:p>
        </w:tc>
      </w:tr>
      <w:tr>
        <w:trPr>
          <w:trHeight w:val="225"/>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w:t>
            </w:r>
          </w:p>
        </w:tc>
      </w:tr>
      <w:tr>
        <w:trPr>
          <w:trHeight w:val="234"/>
        </w:trPr>
        <w:tc>
          <w:tcPr>
            <w:tcW w:w="9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1480" w:type="dxa"/>
            <w:vAlign w:val="bottom"/>
          </w:tcPr>
          <w:p>
            <w:pPr>
              <w:spacing w:after="0"/>
              <w:rPr>
                <w:sz w:val="20"/>
                <w:szCs w:val="20"/>
                <w:color w:val="auto"/>
              </w:rPr>
            </w:pP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w:t>
            </w:r>
          </w:p>
        </w:tc>
      </w:tr>
      <w:tr>
        <w:trPr>
          <w:trHeight w:val="229"/>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Compensation Discussion and Analysis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Management Development and Compensation Committee Interlocks and Insider Participation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Management Development and Compensation Committee Report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Compensation Policies and Practices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29"/>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Summary Compensation Table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Grants of Plan-Based Awards for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Outstanding Equity Awards at 2024 Fiscal Year End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Option Exercises and Stock Vested for Fiscal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82</w:t>
            </w:r>
          </w:p>
        </w:tc>
      </w:tr>
      <w:tr>
        <w:trPr>
          <w:trHeight w:val="229"/>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Pension Benefits for Fiscal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82</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Non-Qualified Deferred Compensation for Fiscal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82</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Potential Payments Upon Termination or Change of Control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CEO Pay Ratio Disclosure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Compensation of Directors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w:t>
            </w:r>
          </w:p>
        </w:tc>
      </w:tr>
      <w:tr>
        <w:trPr>
          <w:trHeight w:val="229"/>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Director Compensation Table — Fiscal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92</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92</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w:t>
            </w:r>
          </w:p>
        </w:tc>
      </w:tr>
      <w:tr>
        <w:trPr>
          <w:trHeight w:val="225"/>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w:t>
            </w:r>
          </w:p>
        </w:tc>
      </w:tr>
      <w:tr>
        <w:trPr>
          <w:trHeight w:val="234"/>
        </w:trPr>
        <w:tc>
          <w:tcPr>
            <w:tcW w:w="9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480" w:type="dxa"/>
            <w:vAlign w:val="bottom"/>
          </w:tcPr>
          <w:p>
            <w:pPr>
              <w:spacing w:after="0"/>
              <w:rPr>
                <w:sz w:val="20"/>
                <w:szCs w:val="20"/>
                <w:color w:val="auto"/>
              </w:rPr>
            </w:pP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r>
      <w:tr>
        <w:trPr>
          <w:trHeight w:val="23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this Annual Report on Form 10-K for Brady Corporation ("Brady," "Company," "we," "us," or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raw materials and labor as well as material shortages and supply chain disruptions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the Company's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 and to manage contingent liabilities from divested businesses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self-regulatory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climate change and 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 and changes in the regulatory and business environment around dual-class voting structures</w:t>
      </w:r>
    </w:p>
    <w:p>
      <w:pPr>
        <w:jc w:val="both"/>
        <w:ind w:left="660" w:hanging="328"/>
        <w:spacing w:after="0" w:line="25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this Annual Report on Form 10-K</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Development of Business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Brady was incorporated under the laws of the state of Wisconsin in 1914. Brady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across multiple industries and geographies, along with a commitment to quality and service, have made Brady a leader in many of its markets.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organized and managed on a geographic basis with two reportable segments: Americas &amp; Asia and Europe &amp; Australia. This regional operating structure allows the Company to further integrate its businesses, support continued growth through the application of the best go-to-market strategies in key geographies, facilitate new product development within recent acquisitions and further simplify and scale the global business.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primary objective is to build upon its market position and increase shareholder value by enabling a highly competent and experienced organization to focus on the following key competencies:</w:t>
      </w:r>
    </w:p>
    <w:p>
      <w:pPr>
        <w:spacing w:after="0" w:line="108" w:lineRule="exact"/>
        <w:rPr>
          <w:sz w:val="20"/>
          <w:szCs w:val="20"/>
          <w:color w:val="auto"/>
        </w:rPr>
      </w:pPr>
    </w:p>
    <w:p>
      <w:pPr>
        <w:ind w:left="660" w:right="2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products — Technologically-advanced, internally-developed proprietary products that drive revenue growth and sustain gross profit margins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 Understanding customer needs and providing a high level of customer service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leadership position in niche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expertise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 Continuous productivity improvement, automation, and product customization capabilities</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Brady's long-term sales growth and profitability will depend not only on the overall economic environment and our ability to successfully navigate changes in the macro environment, but also on our ability to develop and market innovative products, deliver a high level of customer service, advance our digital capabilities, and continuously improve the efficiency of our global operations. Our strategy for growth includes an increased focus on certain industries and products, streamlining our product offerings, expanding into higher growth end-markets, improving the overall customer experience, developing technologically advanced, innovative and proprietary products, and improving our digital capabilities.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were key initiatives supporting the strategy in fiscal 2024:</w:t>
      </w:r>
    </w:p>
    <w:p>
      <w:pPr>
        <w:spacing w:after="0" w:line="171" w:lineRule="exact"/>
        <w:rPr>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with the highest level of customer service by aligning with customers' preferred communication channels and leveraging technology to enhance the customer experience.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supply chain disruptions and inflationary pressures while ensuring prices are market competitive.</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our reorganization to a regional operating structure to support continued growth in key geographies, facilitating new product development in our recent acquisitions, and simplifying and further integrating our businesses.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recent acquisitions to further enhance our strategic position and accelerate long-term sales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w:t>
      </w:r>
    </w:p>
    <w:p>
      <w:pPr>
        <w:ind w:left="660" w:right="2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our culture of diversity, equity and inclusion to increase employee engagement and enhance recruitment and retention practices in order to drive differentiated performance and execute our strategy.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Description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organized and managed on a geographic basis with two reportable segments: Americas &amp; Asia and Europe &amp; Australia. Below is a summary of sales by reportable segment during the years ended July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10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r>
      <w:tr>
        <w:trPr>
          <w:trHeight w:val="22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Within each of the reportable segments, the Company markets, sells and distributes a broad range of identification and safety products and solutions across the following primary product categories:</w:t>
      </w:r>
    </w:p>
    <w:p>
      <w:pPr>
        <w:spacing w:after="0" w:line="108" w:lineRule="exact"/>
        <w:rPr>
          <w:sz w:val="20"/>
          <w:szCs w:val="20"/>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facility identification and protection, which includes safety signs, traffic signs and control products, floor-marking tape, pipe markers, labeling systems, spill control products, lockout/tagout devices, personal protection equipment, first aid products, and software and services for safety compliance auditing, procedures writing and training.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identification, which includes materials, printing systems, radio frequency identification (“RFID”) and barcode scanners for product identification, brand protection labeling, work in process labeling, finished product identification, asset tracking labels, asset tags and industrial track and trace applications.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identification, which includes handheld printers, wire markers, sleeves, and tags.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identification, which includes wristbands, labels, printing systems, and other products used in hospital, laboratory, and other healthcare settings for tracking and improving the safety of patients.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identification, which includes name tags, badges, lanyards, rigid card printing systems, and access control software.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markets and sells its products through multiple channels, including distributors, a direct sales force, and digital channels. Brady has long-standing relationships with a broad range of electrical, safety, industrial and other domestic and international distributors. The direct sales force within each region partners with end-users and distributors by providing technical application and product expertise. The Company provides access to its products through brand-specific websites and catalogs.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markets its products under a variety of brand names:</w:t>
      </w:r>
    </w:p>
    <w:p>
      <w:pPr>
        <w:spacing w:after="0" w:line="171" w:lineRule="exact"/>
        <w:rPr>
          <w:sz w:val="20"/>
          <w:szCs w:val="20"/>
          <w:color w:val="auto"/>
        </w:rPr>
      </w:pPr>
    </w:p>
    <w:p>
      <w:pPr>
        <w:ind w:left="660" w:hanging="328"/>
        <w:spacing w:after="0" w:line="260" w:lineRule="auto"/>
        <w:tabs>
          <w:tab w:leader="none" w:pos="65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Brady: product identification labels, wire identification products, printers, software, safety and facility identification products, lock-out/tag-out products, brand protection labels, people identification products, and specialty materials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Seton, Emedco, Signals, Safety Signs Service, and Pervaco: Safety and facility identification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PDC, PDC Healthcare, MAGiCARD, and Promovision: People and healthcare identification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Barcode scanners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Nordic ID: RFID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SPC: Spill control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Electromark: Identification products for the utility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Securimed, Accidental Health and Safety and Trafalgar: First aid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Carroll: Wire identification products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manufactures differentiated, proprietary products, most of which have been internally developed. These internally developed products include materials; printing, identification and tracking systems; and software. Materials manufactured by the Company generally require a high degree of precision and the application of adhesives with chemical and physical properties suited for specific uses. The Company’s manufacturing processes include compounding, coating, converting, printing, melt-blown operations, software development and printer design and assembly.</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Competition is based upon several factors, including product innovation, customer service, breadth of product offering, product quality, price, expertise, production capabilities, and for multinational customers, our global footprint. Competition is highly fragmented, ranging from smaller companies offering minimal product variety, to some of the world's largest adhesive and electrical product companies offering competing products as part of their overall product lines.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products serve customers in many industries within each reportable segment, which industries include industrial manufacturing, electronic manufacturing, healthcare, chemical, oil, gas, alternative energy, automotive, aerospace, governments, mass transit, mechanical contractors, construction, utilities, education, leisure and entertainment and telecommunications, among others.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focuses its research and development ("R&amp;D") efforts on track and trace applications, pressure sensitive materials, identification and printing systems, software, and the development of other workplace safety-related products. The Company spent $67.7 million, $61.4 million, and $58.5 million on its R&amp;D activities during the years ended July 31, 2024, 2023, and 2022, respectively. The majority of R&amp;D spend supports the Company's identification products. Material development involves the application of surface chemistry concepts for top coatings and adhesives applied to a variety of base materials. The design of our identification and printing systems integrates materials, embedded software, a variety of printing technologies and product scanning and identification technologies to form a complete solution for customer applications. In addition, the R&amp;D team supports production and marketing efforts by providing application and technical expertise.</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owns patents and tradenames relating to certain products in the United States and internationally. Although the Company believes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generally valid ten years from the date of registration, and are typically renewed on an ongoing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materials used in the products manufactured by the Company consist of a variety of plastic and synthetic films, paper, metal and metal foil, cloth, fiberglass, inks, dyes, adhesives, pigments, natural and synthetic rubber, organic chemicals, polymers, and solvents for consumable identification products in addition to molded parts, electronic components, chips, and sub-assemblies for identification and printing systems. The Company operates coating facilities that manufacture bulk rolls of label stock for internal and external customers. In addition, the Company purchases finished products for resale.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purchases raw materials, components and finished products from many suppliers. Overall, we are not dependent upon any single supplier for our most critical base materials or components. However, we have chosen in certain situations to sole source, or limit the sources of materials, components, or finished items for design or cost reasons. As a result, disruptions in supply could have an impact on results for a period of time, but we believe any disruptions would simply require qualification of new suppliers and the disruption would be modest. In certain instances, the qualification process could be more costly or take a longer period of time and in certain situations, such as a global shortage of critical materials or components, the financial impact could be material.</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Average time to fulfill customer orders varies from same-day to one month, depending on the type of product, customer request, and whether the product is stock or custom-designed and manufactured. Normal and customary payment terms primarily range from net 10 to 90 days from date of invoice and vary by geography.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 broad customer base, and no individual customer represents 10% or more of total net sales.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2024, the Company employed approximately 5,700 individuals worldwide, of which approximately 1,600 were employed in the United States and approximately 4,100 were employed outside the United States.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Vice President of Human Resources is responsible for developing the Company’s human capital strategy, which includes the attraction, acquisition, development, engagement and retention of talent to deliver on the Company’s strategy as well as the design of employee compensation and benefits programs. Management is responsible for executing the Company's human capital strategy. The Vice President of Human Resources is also responsible for developing the Company’s diversity, equity, and inclusion framework for the organization. The Company’s Board of Directors and its committees receive regular updates on the operation and status of these initiatives and human capital trends and activities from the Vice President of Human Resources, the CEO and others within senior management.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areas of focus with respect to human capital include:</w:t>
      </w:r>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Health and Safety</w:t>
      </w:r>
      <w:r>
        <w:rPr>
          <w:rFonts w:ascii="Times New Roman" w:cs="Times New Roman" w:eastAsia="Times New Roman" w:hAnsi="Times New Roman"/>
          <w:sz w:val="18"/>
          <w:szCs w:val="18"/>
          <w:color w:val="auto"/>
        </w:rPr>
        <w:t>: The Company’s health and safety programs are designed around global standards with appropriate variations addressing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jurisdictions and regulations, specific hazards and unique working environments of the Company’s manufacturing, distribution and headquarter operations. The Company requires each of its locations to perform regular safety audits to ensure proper safety policies, program procedures, analyses and trainings are in place. The Company utilizes a mixture of leading and lagging indicators to assess the health and safety performance of its operations. Lagging indicators include the OSHA Total Recordable Incident Rate (“TRIR”) and the Lost Time Case Rate (“LTCR”) based upon the number of incidents per 100 employees. Leading indicators include reporting and closure of all near miss events. The Company also utilizes trainings such as Environmental, Health and Safety (“EHS”) coaching and engagement conversations as preventative measures. During the year ended July 31, 2024, the Company had a TRIR of 0.52, a LTCR of 0.23 and no work-related fatalities.</w:t>
      </w:r>
    </w:p>
    <w:p>
      <w:pPr>
        <w:spacing w:after="0" w:line="13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Diversity, Equity, and Inclusion</w:t>
      </w:r>
      <w:r>
        <w:rPr>
          <w:rFonts w:ascii="Times New Roman" w:cs="Times New Roman" w:eastAsia="Times New Roman" w:hAnsi="Times New Roman"/>
          <w:sz w:val="18"/>
          <w:szCs w:val="18"/>
          <w:color w:val="auto"/>
        </w:rPr>
        <w:t>: Fostering a culture of diversity, equity and inclusion in the workplace means employees are and believe that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valued and listened to, and the Company has made this a top priority. The Company believes that its culture of diversity, equity and inclusion enables it to create, develop and fully leverage the strengths of its workforce to exceed customer expectations and successfully pursue its growth objectives. To this end, the Company engages employees through various employee resource groups staffed by employees with diverse backgrounds, experiences and characteristics who share a common interest in professional development, improving corporate culture and delivering improved business results. Each employee resource group is sponsored and supported by senior leaders throughout the organization.</w:t>
      </w:r>
    </w:p>
    <w:p>
      <w:pPr>
        <w:spacing w:after="0" w:line="13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implemented several steps to drive accountability for increasing diversity, equity and inclusion throughout the global organization. The CEO and other senior leaders have diversity, equity and inclusion objectives embedded in their annual performance goals. The Company also strives to build a diverse talent pipeline by partnering with its business units in their workforce planning to develop initiatives and goals to recruit diverse talent across defined organizational levels and skill areas. The Company trains its recruiting workforce in diversity sourcing strategies and partners with external organizations that develop and supply diverse talent. The Company has also expanded its university outreach programs to access diverse organizations, has implemented interview guides to mitigate bias in interviewing, has implemented mentoring programs and employee resource groups to increase employee engagement and retention and has implemented required training for all managers on diversity, equity and inclusion compliance and unconscious bias. As of July 31, 2024, 40% of the members of the Company’s Board of Directors were women and 60% of Board committee chairs were women.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Training and Talent Development</w:t>
      </w:r>
      <w:r>
        <w:rPr>
          <w:rFonts w:ascii="Times New Roman" w:cs="Times New Roman" w:eastAsia="Times New Roman" w:hAnsi="Times New Roman"/>
          <w:sz w:val="18"/>
          <w:szCs w:val="18"/>
          <w:color w:val="auto"/>
        </w:rPr>
        <w:t>: The Company is committed to the continued development of its people. Strategic talent reviews and succession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occur on a planned cadence annually. The CEO and the Vice President of Human Resources convene meetings with senior Company leadership and the Board of Directors to review top enterprise talent and discuss succession planning for key leadership roles.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provides technical training to employees, customers and suppliers who work for or with the Company’s products. Training is provided in a variety of formats to accommodate the respective learner’s style, pace, location, technical knowledge and access.</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The Company values its people and strives to deliver compensation and benefit programs and plans that are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external market. The Company provides subsidized health and welfare benefits, as well as postretirement, incentive and equity-based compensation plans and programs to eligible employees. Refer to the Compensation Discussion &amp; Analysis for additional information regarding the Company’s compensation and benefits programs.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Available on the Internet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Corporate Internet address is www.bradyid.com. The Company makes available, free of charge, on or through its website, copies of its Annual Report on Form 10-K, Quarterly Reports on Form 10-Q, Current Reports on Form 8-K, and amendments to all such reports as soon as reasonably practicable after such reports are electronically filed with or furnished to the Securities and Exchange Commission (“SEC”). The Company is not including the information contained on or available through its website as part of, or incorporating such information by reference into,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risks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and financial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Risks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Raw material and other cost inflation as well as product shortages could adversely affect our business and financial results.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manufacture certain parts and components of our products and therefore require raw materials from suppliers, which could be interrupted for a variety of reasons, including availability and pricing. Our prices and lead times for raw materials and other components necessary for production have continued to fluctuate over the past year, including increased raw production costs, increased wage rates, and extended lead times. Significant increases could adversely affect our profit margins and results of operations. Changes in trade policies; supply chain disruptions; and the imposition of duties and tariffs and potential retaliatory countermeasures could adversely impact the price or availability of raw materials, which could adversely affect our profit margins and results of operations. In addition, labor shortages or an increase in the cost of labor could adversely affect our profit margins and results of operations. Due to competitive pressures or other factors, we may not be able to pass along increased raw material and component part costs to our customers in the form of price increases or our ability to do so could be delayed, which could adversely impact our business and financial results.</w:t>
      </w:r>
    </w:p>
    <w:p>
      <w:pPr>
        <w:spacing w:after="0" w:line="13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While we have implemented certain cost containment measures and selective price increases, as well as taken other actions to offset recent inflationary pressures in our supply chain, we may not be able to offset all of the increases in our operational costs, which could adversely impact our business and financial results.</w:t>
      </w:r>
    </w:p>
    <w:p>
      <w:pPr>
        <w:spacing w:after="0" w:line="11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adversely affected by numerous factors, some of which we cannot predict or control. This could adversely affect our business and financial results.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Numerous factors may affect the demand for our products, including:</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economic conditions in major markets served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including epidemics, major health concerns, or natural disasters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operational impact of the war between Russia and Ukraine or other wars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marketplace allowing competitors to be more efficient and more price competitive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entering the marketplace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product life cycles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preferences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strong operational performance, including the manufacture and sale of high-quality products and the ability to meet customer delivery expectations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any of these factors occur, the demand for our products could suffer, and this could adversely impact our business and financial results.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compete effectively or to successfully execute our strategy may have a negative impact on our business and financial results.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actively compete with companies that produce and market the same or similar products, and in some instances, with companies that sell different products that are designed for the same target markets. Competition may force us to reduce prices or incur additional costs to remain competitive in an environment in which business models, including the development and use of artificial intelligence technologies, are changing rapidly. We compete on the basis of several factors, including customer support, product innovation, product offering, product quality, price, expertise, digital capabilities,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have lower production costs or other pricing advantages. Any of these could put us at a disadvantage by threatening our share of sales or reducing our profit margins, which could adversely impact our business and financial results.</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throughout our global business, distributors and customers may not accept our price increases or may seek lower cost sourcing opportunities, which could result in a loss of business that may adversely impact our business and financial results.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strategy is to expand into higher-growth adjacent product categories and markets with technologically advanced new products, as well as to grow our sales generated through the digital channel. While traditional direct marketing channels such as catalogs are an important means of advertising and selling our products, an increasing number of customers are purchasing products on the internet. Our strategy to increase sales through the digital channel is an investment in our internet sales capabilities. There is a risk that we may not continue to successfully implement this strategy, or if successfully implemented, we may not realize its expected benefits due to increased competition and pricing pressure brought about by the internet. Our failure to successfully implement our strategy could adversely impact our business and financial results.</w:t>
      </w:r>
    </w:p>
    <w:p>
      <w:pPr>
        <w:spacing w:after="0" w:line="12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develop or acquire technologically advanced products that meet customer demands, including price expectations, could adversely impact our business and financial results.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develop technologically advanced new products to promote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innovate, or we launch products with quality problems, or if customers do not accept our products, then our business and financial results could be adversely affected.</w:t>
      </w:r>
    </w:p>
    <w:p>
      <w:pPr>
        <w:spacing w:after="0" w:line="1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properly identify, integrate and grow acquired companies, and to manage contingent liabilities from divested businesses could adversely affect our business and financial results.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historical growth has included acquisitions and our future growth strategy includes acquisitions. Acquisitions place significant demands on management, operational, and financial resources. Recent and future acquisitions will require integration of operations, sales and marketing, information technology, finance, and administrative operations, which could decrease the time available to focus on our other growth strategies. We cannot assure that we will be able to successfully integrate acquisitions, that these acquisitions will operate profitably, or that we will be able to achieve the desired sales growth or operational success. Our sales, results of operations, cash flow, and liquidity could be adversely affected if we do not successfully integrate acquired businesses, including realizing synergies, or if our other businesses suffer due to the increased focus on the acquired businesses.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continually assess the strategic fit of our existing businesses and may divest businesses that we determine do not align with our strategic plan, or that are not achieving the desired return on investment. Divestitures pose risks and challenges that could negatively impact our business. When we decide to sell a business or specific assets, we may be unable to do so on satisfactory terms or within our anticipated timeframe, and even after reaching a definitive agreement to sell a business, the sale is typically subject to pre-closing conditions which may not be satisfied. In addition, the impact of the divestiture on our revenue and net income may be larger than projected, which could distract management, and disputes may arise with buyers.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retained responsibility for and have agreed to indemnify buyers against certain contingent liabilities related to several businesses that we have sold. The resolution of these contingencies has not had a material adverse impact on our financial results, but we cannot be certain that this pattern will continue.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Operating Risks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the failure of third-party service providers to protect our sites, networks and systems against security breaches, to protect our confidential information, or to facilitate our digital strategy, could adversely affect our business and financial results.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systems collect, transmit and store data about our customers, vendors and others, including credit card information and personally identifiable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similar disruptions that may jeopardize the security of information stored in or transmitted by our sites, networks and systems or that we or our third-party service providers otherwise maintain. We engage third-party service providers to assist with certain of our website and digital platform upgrades, which may result in a decline in sales when initially deployed, which could have an adverse effect on our business and financial results.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and our service providers may not have the resources or technical sophistication to anticipate or prevent all types of attacks, and techniques used to obtain unauthorized access to or to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will cover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effect on our business and financial results.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employees and the loss of these individuals could have an adverse effect on our business and financial results.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financial results could be adversely affected by increased competition for employees, difficulty in recruiting employees, higher employee turnover or increased compensation and benefit costs. Our employees are important to our success and we are dependent on our ability to retain the services of our employees in key roles. We have built our business on a set of core values, and we attempt to hire and retain employees who are committed to these values and our culture of providing exceptional service to our customers. In order to compete and to continue to grow, we must attract, retain and motivate our employees. We need qualified managers and skilled employees with technical and industry experience to operate our business successfully. If we are unable to attract and retain qualified individuals, or if our costs to do so increase significantly, or if internal realignment of responsibilities are not executed properly, our business and financial results could be adversely affected.</w:t>
      </w:r>
    </w:p>
    <w:p>
      <w:pPr>
        <w:spacing w:after="0" w:line="13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and financial results.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Approximately 50% of our sales are derived outside of the United States. Our operations are subject to the risks of doing business domestically and globally, including the following:</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product deliveries and payments in connection with international manufacturing and sales.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resulting from political and economic instability and disruptions.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new or changes in existing duties, tariffs and trade agreements, which could have a direct or indirect impact on our ability to manufacture products, on our customers' demand for our products, or on our suppliers' ability to deliver raw materials.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export and economic sanction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changing governmental policies, regulatory, and business environments.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Disadvantages from competing against companies from countries that are not subject to U.S. laws and regulations including the Foreign Corrupt Practices Act.</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labor regulations.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climate change, air emissions, wastewater discharges, handling and disposal of hazardous materials and wastes.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product content, health, safety and the protection of the environment.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trade or travel restrictions as a result of any effects of pandemics or global health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country regulations where our products are manufactured or sold.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compliance with data protection and privacy laws throughout our global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 these laws and regulations are constantly evolving and it is difficult to accurately predict the effect they may have upon our business and financial results.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lead to substantial civil or criminal, monetary and non-monetary penalties and related lawsuits by shareholders and others, damage our reputation, and adversely impact our business and financial results.</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climate change and related emphasis on environmental matters by various stakeholders could negatively affect our business and financial results.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Increased public awareness and concern regarding global climate change may result in more regional and/or federal requirements to reduce or mitigate the effects of greenhouse gas emissions. There continues to be a lack of consistent climate legislation, which creates economic and regulatory uncertainty. Further, our customers and the markets we serve may impose emissions or other environmental standards through regulation, market-based emissions policies or consumer preference that we may not be able to timely meet due to the required level of capital investment or technological advancement.</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the enhanced stakeholder focus on Environmental, Social and Governance (“ESG”) issues relating to our business requires the continuous monitoring of various and evolving standards and the associated reporting requirements. A failure to adequately meet stakeholder expectations may result in the loss of business, diluted market valuation, an inability to attract customers or an inability to attract and retain top talent.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that could adversely impact our business, financial results, and reputation.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or may become, a party to litigation that arises in the normal course of our business operations, including product liability and recall (strict liability and negligence) claims, patent and trademark matters, contract disputes and environmental, employment and other litigation matters. We face an inherent risk that our competitors will allege that aspects of our products infringe their intellectual property or that our intellectual property is invalid, such that we could be prevented from manufacturing and selling our products or prevented from stopping others from manufacturing and selling competing products. We face an inherent business risk of exposure to product liability claims in the event that the use of our products is alleged to have resulted in injury or other damage. To date, we have not incurred material costs related to these types of claims. However, while we currently maintain insurance coverage for certain types of claims that we believe is adequate, we cannot be certain that we will be able to maintain this insurance on acceptable terms or that this insurance will provide sufficient coverage against potential liabilities that may arise. Any claims brought against us, with or without merit, may have an adverse effect on our business, financial results and reputation as a result of potential adverse outcomes. The expenses associated with defending such claims and the diversion of our management’s resources and time may have an adverse effect on our business and financial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Security Ownership Risks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global nature of our business exposes us to foreign currency fluctuations that could adversely affect our business and financial results.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Approximately 50% of our sales are derived outside the United States. Sales and purchases in currencies other than the U.S. dollar expose us to fluctuations in foreign currencies relative to the U.S. dollar, and may adversely affect our financial results. Increased strength of the U.S. dollar could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further strengthening of the U.S. dollar could result in unfavorable translation effects, which occurred during fiscal year 2023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2022. In addition, certain of our subsidiaries may invoice customers in a currency other than its functional currency or may be invoiced by suppliers in a currency other than its functional currency, which could result in unfavorable translation effects on our business and financial results.</w:t>
      </w:r>
    </w:p>
    <w:p>
      <w:pPr>
        <w:spacing w:after="0" w:line="10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U.S. and in many non-U.S. jurisdictions. As such, our income is subject to risk due to changing tax laws and tax rates around the world. Our tax filings are subject to audit by U.S. federal, state and local tax authorities and by non-U.S. tax authorities. If these audits result in payments or assessments that differ from our reserves, our future net income may be adversely impacted.</w:t>
      </w:r>
    </w:p>
    <w:p>
      <w:pPr>
        <w:spacing w:after="0" w:line="12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review the probability of the realization of our deferred tax assets quarterly based on forecasts of taxable income in both the U.S. and foreign jurisdictions. As part of this review, we utilize historical results, projected future operating results, eligible carry-forward periods, tax planning opportunities, and other relevant considerations. Changes in profitability and financial outlook in both the U.S. and/or foreign jurisdictions, or changes in our geographic footprint may require modifications in the valuation allowance for deferred tax assets. At any point in time, there are a number of tax proposals at various stages of legislation throughout the globe. For example, many countries have enacted, or plan to enact, legislation and other guidance to align with the Organisation for Economic Co-operation and Development’s (“OECD”) Inclusive Framework on Base Erosion and Profit Shifting Pillar Two (“Pillar Two”) model rules. The OECD’s Pillar Two model rules aim to establish a global minimum tax rate of 15 percent for large multinational enterprise groups. The OECD has continued to issue new administrative guidance on the Pillar Two model rules throughout 2024. While we continue to monitor legislative adoption by country of the Pillar Two model rules, including additional administrative guidance from the OECD, there is significant uncertainty that exists regarding the interpretation of the detailed Pillar Two model rules, whether such rules will be implemented consistently across taxing jurisdictions, how such rules interact with existing national tax laws and whether such rules are consistent with existing tax treaty obligations. Accordingly, the final adoption, interpretation and implementation of Pillar Two across all jurisdictions where we conduct business could adversely affect our business and financial results. While it is impossible for us to predict whether other tax proposals will be enacted, many will likely have an impact on our business and financial results.</w:t>
      </w:r>
    </w:p>
    <w:p>
      <w:pPr>
        <w:spacing w:after="0" w:line="13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execute our strategies could result in impairment of goodwill or other intangible assets, which may negatively impact income and profitability</w:t>
      </w:r>
      <w:r>
        <w:rPr>
          <w:rFonts w:ascii="Times New Roman" w:cs="Times New Roman" w:eastAsia="Times New Roman" w:hAnsi="Times New Roman"/>
          <w:sz w:val="18"/>
          <w:szCs w:val="18"/>
          <w:b w:val="1"/>
          <w:bCs w:val="1"/>
          <w:color w:val="auto"/>
        </w:rPr>
        <w:t>.</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goodwill of $589.6 million and other intangible assets of $51.8 million as of July 31, 2024, which represent 42.3% of our total assets, and we have recognized impairment charges in the past. We evaluate goodwill and other intangible assets for impairment on an annual basis, or more frequently if impairment indicators are present, based upon the fair value of each respective asset. The valuations prepared for the required impairment test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changes in the use of the assets, and divestitures may adversely impact the assumptions used in the valuations. If the estimated fair value of our goodwill or other intangible assets change in future periods, we may be required to record an impairment charge, which would reduce net income in such period.</w:t>
      </w:r>
    </w:p>
    <w:p>
      <w:pPr>
        <w:spacing w:after="0" w:line="13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voting stock is controlled by two shareholders, while our public investors hold non-voting stock. The interests of the voting and non-voting shareholders could differ, potentially resulting in decisions that affect the value of the non-voting shares.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Substantially all of our voting stock is controlled by Elizabeth P. Bruno, one of our directors, and William H. Brady III, both of whom are descendants of the Company's founder. All of our publicly traded shares are non-voting. Therefore, the voting shareholders have control in most matters requiring approval or acquiescence by shareholders, including the composition of our Board of Directors and many corporate actions, and their interests may not align with those of the non-voting shareholders. Such concentration of ownership may discourage a potential acquirer from making a purchase offer that our public shareholders may find favorable and it may adversely affect the trading price for our non-voting common stock because investors may perceive disadvantages in owning stock in companies whose voting stock is controlled by a limited number of shareholders. Additionally, certain private investors, mutual funds and index sponsors have implemented rules restricting ownership, or excluding from indices, companies with non-voting publicly traded shares. For example, the Company was removed from the Russell 2000 Index in the fourth quarter of fiscal year 2023 for not meeting the minimum voting rights hurdle.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75"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Brady has strategically included cybersecurity risk management into an integrated Company-wide risk management framework, which consists of administrative, operational, physical, and technical processes that we believe are appropriate to the scope and nature of our business. We believe this integrated approach allows cybersecurity considerations to form an integral part of our corporate and strategic decision-making processes. Management works closely with our information technology security team to continuously evaluate and address cybersecurity risks in alignment with our business and operational needs. Our cybersecurity policies and practices follow the cybersecurity framework of the Center for Internet Security (“CIS”) Controls.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cybersecurity strategy focuses on continued strengthening of our cybersecurity defense model, improvement of cybersecurity operational efficiencies, and preparedness for evolving business and technology needs including the detection, analysis, and response to known, anticipated and unexpected cybersecurity threats, management of material risks related to cybersecurity threats and resilience against cybersecurity incidents. We regularly assess potential threats and make investments to mitigate the risk of these threats against our critical information and assets by implementing a broad set of information security and cybersecurity measures, including comprehensive monitoring and enhancement of our networks and systems, intrusion prevention defense, rapid detection and response, and threat management capabilities. To supplement our internal resources, we engage external consultants to conduct independent assessments, perform penetration testing, and provide other cybersecurity-related services as needed. In addition, we engage external vendors to review and test key controls within our cybersecurity program.</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Cybersecurity awareness and training is provided to new employees and annually for current Brady employees, which is designed to educate employees on recognizing information security and cybersecurity concerns, how they can help protect the organization and how to inform the information technology security team of potential incidents. In addition, we implement processes to manage risks associated with our third-party providers, including security assessments prior to engagement and monitoring their compliance with our cybersecurity standards on an ongoing basis.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of Directors is responsible for the oversight of risks from cybersecurity threats. Management updates the Audit Committee on a quarterly basis regarding our cybersecurity programs. As part of its oversight responsibilities, the Audit Committee regularly discusses and reviews with management, among other items, Brady’s compliance and cybersecurity programs, and any significant cybersecurity matters and related strategic risk management decisions are escalated to the Board of Directors.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information technology security team reports to our Chief Information Officer (the “CIO”) and is headed by our Vice President of Global IT (the “VP of IT”). Our CIO is an experienced information technology professional with extensive cybersecurity and information technology risk management experience. The information technology security team regularly informs our CIO, General Counsel and Chief Financial Officer with regard to cybersecurity risks and incidents, and our executive management team evaluates cybersecurity issues quarterly or as needed.</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Brady has a detailed incident response plan that provides the process and workflow of communication for escalation of cybersecurity incidents to executive leadership to determine if there is a breach warranting further action. The information technology security team, in conjunction with various departments, including finance, corporate communications, legal, regional presidents and the VP of IT, are charged with reviewing any incident under our materiality framework to assess whether further escalation and reporting is required and if an incident could constitute a material cybersecurity incident.</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we have not experienced any material cybersecurity incidents to date, cybersecurity threats could materially affect the implementation of our business strategy, results of operations, or financial condition, as further discussed in our risk factors in Part I, Item 1A of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currently operates 38 manufacturing and distribution facilities across the globe and are split by reporting segment as follows:</w:t>
      </w:r>
    </w:p>
    <w:p>
      <w:pPr>
        <w:spacing w:after="0" w:line="16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Americas &amp; Asia: </w:t>
      </w:r>
      <w:r>
        <w:rPr>
          <w:rFonts w:ascii="Times New Roman" w:cs="Times New Roman" w:eastAsia="Times New Roman" w:hAnsi="Times New Roman"/>
          <w:sz w:val="18"/>
          <w:szCs w:val="18"/>
          <w:color w:val="auto"/>
        </w:rPr>
        <w:t>Twenty-one manufacturing and distribution facilities are used for our Americas &amp; Asia business. Six facilities are located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four in China; two each in Brazil, India, and Mexico; and one each in Canada, Japan, Malaysia, Singapore, and Thailand.</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Europe &amp; Australia: </w:t>
      </w:r>
      <w:r>
        <w:rPr>
          <w:rFonts w:ascii="Times New Roman" w:cs="Times New Roman" w:eastAsia="Times New Roman" w:hAnsi="Times New Roman"/>
          <w:sz w:val="18"/>
          <w:szCs w:val="18"/>
          <w:color w:val="auto"/>
        </w:rPr>
        <w:t>Seventeen manufacturing and distribution facilities are used for our Europe &amp; Australia business. Four facilities each are located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Belgium and the United Kingdom, three are located in France; two are located in Australia; and one each in Germany, Norway, South Africa, and Turkey.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believes that its equipment and facilities are modern, well maintained, and adequate for present needs.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and may in the future be, named as a defendant in various legal proceedings and claims that arise in the normal course of business in which claims are asserted against the Company. The Company records a liability for these legal actions when a loss is known or considered probable and the amount can be reasonably estimated. The Company is not currently a party to any material pending legal proceedings in which management believes the ultimate resolution would have a material effect on the Company’s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Brady Corporation Class A Nonvoting Common Stock trades on the New York Stock Exchange ("NYSE") under the symbol BRC. There is no trading market for the Company’s Class B Voting Common Stock.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August 31, 2024, there were approximately 1,000 Class A Common Stock shareholders of record and approximately 12,000 beneficial shareholders. There are three Class B Common Stock shareholders.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two most recent years ended July 31 and for the first quarter of fiscal 2025, the Company declared the following dividends per share on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and Class B Common Stock: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2nd Qtr</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3rd Qtr</w:t>
            </w: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4th Qtr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2nd Qtr</w:t>
            </w: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3rd Qtr</w:t>
            </w: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4th Qtr</w:t>
            </w:r>
          </w:p>
        </w:tc>
      </w:tr>
      <w:tr>
        <w:trPr>
          <w:trHeight w:val="211"/>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0.2300</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0.2300</w:t>
            </w:r>
          </w:p>
        </w:tc>
      </w:tr>
    </w:tbl>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a share repurchase program for the Company’s Class A Nonvoting Common Stock. The program may be implemented by purchasing shares in the open market or in privately negotiated transactions, with repurchased shares delivered to treasury and available for use in connection with the Company’s stock-based plans and for other corporate purposes. On August 30, 2023, the Company's Board of Directors authorized an increase in the Company's share repurchase program, authorizing the repurchase of an additional $100.0 million of the Company's Class A Nonvoting Common Stock, with no expiration date associated with the authorization. As of July 31, 2024, there were $37.8 million worth of shares authorized to purchase remaining pursuant to this share repurchase program.</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4, 2024, the Company's Board of Directors authorized an increase in the Company's share repurchase program, authorizing the repurchase of an additional $100.0 million of the Company's Class A Nonvoting Common Stock.</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July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0" w:type="dxa"/>
            <w:vAlign w:val="bottom"/>
          </w:tcPr>
          <w:p>
            <w:pPr>
              <w:spacing w:after="0"/>
              <w:rPr>
                <w:sz w:val="14"/>
                <w:szCs w:val="14"/>
                <w:color w:val="auto"/>
              </w:rPr>
            </w:pPr>
          </w:p>
        </w:tc>
        <w:tc>
          <w:tcPr>
            <w:tcW w:w="1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2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21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20" w:type="dxa"/>
            <w:vAlign w:val="bottom"/>
          </w:tcPr>
          <w:p>
            <w:pPr>
              <w:spacing w:after="0"/>
              <w:rPr>
                <w:sz w:val="14"/>
                <w:szCs w:val="14"/>
                <w:color w:val="auto"/>
              </w:rPr>
            </w:pPr>
          </w:p>
        </w:tc>
        <w:tc>
          <w:tcPr>
            <w:tcW w:w="19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w:t>
            </w:r>
          </w:p>
        </w:tc>
        <w:tc>
          <w:tcPr>
            <w:tcW w:w="0" w:type="dxa"/>
            <w:vAlign w:val="bottom"/>
          </w:tcPr>
          <w:p>
            <w:pPr>
              <w:spacing w:after="0"/>
              <w:rPr>
                <w:sz w:val="1"/>
                <w:szCs w:val="1"/>
                <w:color w:val="auto"/>
              </w:rPr>
            </w:pPr>
          </w:p>
        </w:tc>
      </w:tr>
      <w:tr>
        <w:trPr>
          <w:trHeight w:val="214"/>
        </w:trPr>
        <w:tc>
          <w:tcPr>
            <w:tcW w:w="2660" w:type="dxa"/>
            <w:vAlign w:val="bottom"/>
            <w:gridSpan w:val="2"/>
            <w:vMerge w:val="continue"/>
          </w:tcPr>
          <w:p>
            <w:pPr>
              <w:spacing w:after="0"/>
              <w:rPr>
                <w:sz w:val="18"/>
                <w:szCs w:val="18"/>
                <w:color w:val="auto"/>
              </w:rPr>
            </w:pPr>
          </w:p>
        </w:tc>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80" w:type="dxa"/>
            <w:vAlign w:val="bottom"/>
          </w:tcPr>
          <w:p>
            <w:pPr>
              <w:spacing w:after="0"/>
              <w:rPr>
                <w:sz w:val="18"/>
                <w:szCs w:val="18"/>
                <w:color w:val="auto"/>
              </w:rPr>
            </w:pPr>
          </w:p>
        </w:tc>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120" w:type="dxa"/>
            <w:vAlign w:val="bottom"/>
          </w:tcPr>
          <w:p>
            <w:pPr>
              <w:spacing w:after="0"/>
              <w:rPr>
                <w:sz w:val="18"/>
                <w:szCs w:val="18"/>
                <w:color w:val="auto"/>
              </w:rPr>
            </w:pPr>
          </w:p>
        </w:tc>
        <w:tc>
          <w:tcPr>
            <w:tcW w:w="1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1, 2024 - May 31, 2024</w:t>
            </w:r>
          </w:p>
        </w:tc>
        <w:tc>
          <w:tcPr>
            <w:tcW w:w="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37,788</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1, 2024 - June 30, 2024</w:t>
            </w:r>
          </w:p>
        </w:tc>
        <w:tc>
          <w:tcPr>
            <w:tcW w:w="2160" w:type="dxa"/>
            <w:vAlign w:val="bottom"/>
            <w:gridSpan w:val="2"/>
          </w:tcPr>
          <w:p>
            <w:pPr>
              <w:ind w:left="1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80" w:type="dxa"/>
            <w:vAlign w:val="bottom"/>
            <w:gridSpan w:val="2"/>
          </w:tcPr>
          <w:p>
            <w:pPr>
              <w:ind w:left="166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37,788</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2024 - July 31, 2024</w:t>
            </w:r>
          </w:p>
        </w:tc>
        <w:tc>
          <w:tcPr>
            <w:tcW w:w="216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37,788</w:t>
            </w:r>
          </w:p>
        </w:tc>
        <w:tc>
          <w:tcPr>
            <w:tcW w:w="0" w:type="dxa"/>
            <w:vAlign w:val="bottom"/>
          </w:tcPr>
          <w:p>
            <w:pPr>
              <w:spacing w:after="0"/>
              <w:rPr>
                <w:sz w:val="1"/>
                <w:szCs w:val="1"/>
                <w:color w:val="auto"/>
              </w:rPr>
            </w:pPr>
          </w:p>
        </w:tc>
      </w:tr>
      <w:tr>
        <w:trPr>
          <w:trHeight w:val="20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Borders>
              <w:top w:val="single" w:sz="8" w:color="auto"/>
              <w:bottom w:val="single" w:sz="8" w:color="auto"/>
            </w:tcBorders>
          </w:tcPr>
          <w:p>
            <w:pPr>
              <w:ind w:left="1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tcPr>
          <w:p>
            <w:pPr>
              <w:ind w:left="1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8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37,788</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Price Performance Graph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graph below shows a comparison of the cumulative return over the last five fiscal years had $100 been invested at the close of business on July 31, 2019, in each of Brady Corporation Class A Common Stock, the Standard &amp; Poor’s ("S&amp;P") 500 Index, the S&amp;P SmallCap 600 Industrials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88900</wp:posOffset>
            </wp:positionV>
            <wp:extent cx="5863590" cy="3308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Corporation</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151.22</w:t>
            </w: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w:t>
            </w: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S&amp;P SmallCap 600 Industrials Index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208.03</w:t>
            </w: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Russell 2000 Index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153.21</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 (C) 2024, Standard &amp; Poor’s, Inc. and Russell Investments. All rights reserved.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376" w:lineRule="exact"/>
        <w:rPr>
          <w:sz w:val="20"/>
          <w:szCs w:val="20"/>
          <w:color w:val="auto"/>
        </w:rPr>
      </w:pPr>
    </w:p>
    <w:p>
      <w:pPr>
        <w:ind w:right="39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Overview</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Company is organized and managed on a geographic basis with two reportable segments: Americas &amp; Asia and Europe &amp; Australia.</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should be read in conjunction with our audited consolidated financial statements and the notes to those statements (Item 8) in this Annual Report on Form 10-K. The following discussion is intended to help the reader understand the results of operations and financial condition of the Company for the year ended July 31, 2024 compared to the year ended July 31, 2023.</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References in this Annual Report on Form 10-K to “organic sales” refer to sales calculated in accordance with U.S. GAAP, excluding the impact of foreign currency translation, sales recorded from divested companies up to the first anniversary of their divestiture and sales recorded from acquired companies prior to the first anniversary date of their acquisition.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continues to be impacted by inflationary pressures to raw material and labor costs, supply chain disruptions, and other global macroeconomic challenges. While we experienced material increases to raw material and labor costs and supply chain disruptions in previous years, fiscal 2024 showed signs of easing, with a moderation of raw material and labor cost inflation and improved supply chain stability, which we anticipate will persist into fiscal 2025. The Company has taken and will continue to take actions to mitigate inflationary pressures through targeted pricing actions and a commitment to driving long-term efficiency improvements.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our financial strength positions us well to continue investing in acquisitions and organic growth opportunities, such as expanded sales channels, marketing programs, and R&amp;D. We remain focused on driving sustainable efficiency gains and automation across our operations and selling, general and administrative ("SG&amp;A") functions, while also returning capital to our shareholders through dividends and share repurchases. At July 31, 2024, we had cash of $250.1 million, as well as a credit agreement with $207.3 million available for future borrowing, which can be increased up to $1,042.3 million at the Company's option and subject to certain conditions, for total available liquidity of $1,292.4 million.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undrawn portion of our credit agreement and our ability to increase that credit line if necessary, are sufficient to manage the continuing impact of economic or geopolitical events that could potentially reduce sales, net income, or cash provided by operating activities. Refer to Risk Factors, included in Part I, Item 1A of this Annual Report on Form 10-K for the year ended July 31, 2024, for further discussion of the possible impact of global economic or geopolitical events on our business.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comparability of the operating results for the year ended July 31, 2024 to the year ended July 31, 2023 has been impacted by the divestiture of two non-core businesses, one in March 2023 and another in October 2023. Both divestitures impacted the Americas &amp; Asia reportable segment.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years ended July 31, 2024, 2023, and 2022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3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36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1,341,393</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1,331,863</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1,302,062</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687,884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657,275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631,552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48.5 %</w:t>
            </w:r>
          </w:p>
        </w:tc>
      </w:tr>
      <w:tr>
        <w:trPr>
          <w:trHeight w:val="21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3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58,548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1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376,722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370,697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379,992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29.2 %</w:t>
            </w:r>
          </w:p>
        </w:tc>
      </w:tr>
      <w:tr>
        <w:trPr>
          <w:trHeight w:val="207"/>
        </w:trPr>
        <w:tc>
          <w:tcPr>
            <w:tcW w:w="33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444,470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432,062</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32.4 %</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438,540</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33.7 %</w:t>
            </w:r>
          </w:p>
        </w:tc>
      </w:tr>
      <w:tr>
        <w:trPr>
          <w:trHeight w:val="23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243,414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225,213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193,012</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increased 0.7% to $1,341.4 million in fiscal 2024 compared to $1,331.9 million in fiscal 2023, which consisted of organic sales growth of 2.6% and an increase from foreign currency translation of 0.2%, partially offset by a decrease of 2.1% due to divestitures. Organic sales grew 3.1% in the Americas &amp; Asia segment and 1.6% in the Europe &amp; Australia segment.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margin increased 4.7% to $687.9 million in fiscal 2024 compared to $657.3 million in fiscal 2023. As a percentage of net sales, gross margin increased to 51.3% in fiscal 2024 from 49.4% in fiscal 2023. The increase in gross margin as a percentage of net sales was primarily due to organic sales growth in higher gross margin product lines, improvements in inventory management and reductions in freight expenses.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R&amp;D expenses increased 10.4% to $67.7 million in fiscal 2024 compared to $61.4 million in fiscal 2023. As a percentage of net sales, R&amp;D expenses increased to 5.1% in fiscal 2024 compared to 4.6% in fiscal 2023. The increase in R&amp;D spending in fiscal 2024 was primarily due to increased headcount. The Company remains committed to investing in new product development to increase sales within our businesses. Investments in new printing systems, materials and the build out of industrial track and trace solutions continued to be the primary focus of R&amp;D expenditures in fiscal 2024.</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increased 1.6% to $376.7 million in fiscal 2024 compared to $370.7 million in fiscal 2023. As a percentage of net sales, SG&amp;A expense increased to 28.1% in fiscal 2024 compared to 27.8% in fiscal 2023. The increase in SG&amp;A expenses in fiscal 2024 was due to increased headcount in sales and technology-related roles and investments in digital advertising and broader omnichannel strategies, which was partially offset by a decrease in selling expenses from divested businesses and a decrease in amortization expense.</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increased 8.1% to $243.4 million in fiscal 2024 compared to $225.2 million in fiscal 2023. As a percentage of sales, operating income increased to 18.1% in fiscal 2024 compared to 16.9% in fiscal 2023. The increase in operating income in fiscal 2024 was primarily due to the increase in segment profit in the Americas &amp; Asia segment as a result of organic sales growth, improved gross profit margin primarily due to growth in higher gross profit margin product lines and operational efficiencies throughout the region.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operating income to net income for the years ended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2"/>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243,414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225,213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193,012</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3"/>
        </w:trPr>
        <w:tc>
          <w:tcPr>
            <w:tcW w:w="45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247,841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225,696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r>
      <w:tr>
        <w:trPr>
          <w:trHeight w:val="21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50,626</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50,839</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42,001</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174,857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 and other income was $7.6 million in fiscal 2024 compared to $4.0 million in fiscal 2023. The increase in investment and other income in fiscal 2024 was primarily due to an increase in interest income driven by a larger cash balance invested and higher interest rates throughout the year, and an increase in the market value of securities held in deferred compensation plans.</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Interest expense decreased to $3.1 million in fiscal 2024 compared to $3.5 million in fiscal 2023. The decrease in interest expense in fiscal 2024 was primarily due to a decrease in outstanding borrowings on the Company's credit agreement, which was partially offset by an increase in interest rates on the Company's credit agreement compared to fiscal 2023.</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income tax rate was 20.4% in fiscal 2024. Refer to Note 11, "Income Taxes" for additional information on the Company's income tax rates.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years ended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gridSpan w:val="2"/>
          </w:tcPr>
          <w:p>
            <w:pPr>
              <w:ind w:left="746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5"/>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Americas &amp; Asia</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Acquisition</w:t>
            </w:r>
          </w:p>
        </w:tc>
        <w:tc>
          <w:tcPr>
            <w:tcW w:w="1460" w:type="dxa"/>
            <w:vAlign w:val="bottom"/>
            <w:gridSpan w:val="3"/>
          </w:tcPr>
          <w:p>
            <w:pPr>
              <w:jc w:val="right"/>
              <w:ind w:right="98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12"/>
        </w:trPr>
        <w:tc>
          <w:tcPr>
            <w:tcW w:w="6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r>
      <w:tr>
        <w:trPr>
          <w:trHeight w:val="195"/>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Europe &amp; Australia</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7"/>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w:t>
            </w:r>
          </w:p>
        </w:tc>
        <w:tc>
          <w:tcPr>
            <w:tcW w:w="146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07"/>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19"/>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w:t>
            </w:r>
          </w:p>
        </w:tc>
        <w:tc>
          <w:tcPr>
            <w:tcW w:w="146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07"/>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13.7 %</w:t>
            </w: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r>
      <w:tr>
        <w:trPr>
          <w:trHeight w:val="219"/>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07"/>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16.9 %</w:t>
            </w:r>
          </w:p>
        </w:tc>
      </w:tr>
      <w:tr>
        <w:trPr>
          <w:trHeight w:val="23"/>
        </w:trPr>
        <w:tc>
          <w:tcPr>
            <w:tcW w:w="6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&amp; Asia</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Americas &amp; Asia net sales decreased 0.3% to $886.5 million in fiscal 2024 compared to $888.9 million in fiscal 2023. Organic sales growth of 3.1% was offset by a decline from divestitures of 3.2% and a decrease from foreign currency translation of 0.2%.</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the Americas increased in the low-single digits in fiscal 2024. The increase in organic sales was primarily due to growth in the wire identification, product identification and safety and facility identification product lines, which was partially offset by a decline in the people identification product line.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Organic sales in Asia increased in the low-single digits in fiscal 2024. The organic sales increase was primarily driven by growth in Singapore, India and Japan, which was partially offset by a decline in volume in China.</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profit increased 9.1% to $196.8 million in fiscal 2024 from $180.5 million in fiscal 2023. As a percent of net sales, segment profit increased to 22.2% in fiscal 2024 from 20.3% in fiscal 2023. The increase in segment profit was primarily due to organic sales growth in higher gross margin product lines, particularly in the Americas, and a decrease in selling expenses from divested businesses, which was partially offset by increased headcount in sales, technology and R&amp;D-related roles.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Australia</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Europe &amp; Australia sales increased 2.7% to $454.9 million in fiscal 2024 compared to $443.0 million in fiscal 2023. The net sales increase consisted of organic sales growth of 1.6% and an increase from foreign currency translation of 1.1%.</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Europe increased in the low-single digits in fiscal 2024. Organic sales grew in the safety and facility identification, product identification and wire identification product lines, which was partially offset by a decline in the people identification product line. The increase in organic sales in Europe was primarily driven by growth in Western Europe and the Nordic region, partially offset by a decline in the United Kingdom.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Organic sales in Australia increased in the low-single digits in fiscal 2024. Organic sales growth was primarily driven by the wire identification product line, which was partially offset by a decline in the safety and facility identification product line.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profit increased 7.4% to $70.6 million in fiscal 2024 compared to $65.7 million in fiscal 2023. As a percentage of net sales, segment profit increased to 15.5% in fiscal 2024 compared to 14.8% in fiscal 2023. The increase in segment profit was primarily due to organic sales growth in higher margin product lines, reductions in freight expenses and improvements in inventory management, which was partially offset by increased headcount in sales and technology-related roles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&amp; Capital Resources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July 31, 2024, approximately 98%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dividend payments, and strategic acquisitions for the next 12 months and beyond.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$250.1 million at July 31, 2024, an increase of $98.6 million from July 31, 2023. The following summarizes the cash flow statement for the years ended July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255,074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209,149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118,449</w:t>
            </w: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(43,071)</w:t>
            </w: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(102,089)</w:t>
            </w: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w:t>
            </w:r>
          </w:p>
        </w:tc>
      </w:tr>
      <w:tr>
        <w:trPr>
          <w:trHeight w:val="21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98,586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37,463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(33,266)</w:t>
            </w:r>
          </w:p>
        </w:tc>
      </w:tr>
      <w:tr>
        <w:trPr>
          <w:trHeight w:val="21"/>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$255.1 million during fiscal 2024 compared to $209.1 million in fiscal 2023. The increase in cash provided by operating activities was primarily due to an increase in profit, as well as continued reductions in inventory levels in fiscal 2024.</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$81.0 million during fiscal 2024, which primarily consisted of capital expenditures of $79.9 million. Net cash used in investing activities was $11.2 million in fiscal 2023, which consisted of capital expenditures of $19.2 million partially offset by proceeds of $8.0 million from the divestiture of a business. Capital expenditures were elevated in fiscal 2024 due to the purchase of a facility that was previously leased as well as other facility construction costs to support continued growth in the Americas and Europe.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$70.5 million during fiscal 2024 compared to $163.6 million in fiscal 2023. The decrease in cash used in financing activities was primarily due to increased net borrowings to fund elevated capital expenditures in fiscal 2024, as well as year-end borrowings to fund the acquisition of Gravotech Holding, which was completed on August 1,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borrowings on credit facilities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 A discussion of income taxes is contained in Note 11 of the Notes to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 and Covenant Compliance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Item 8, Note 6, "Debt" for information regarding the Company's credit facilities and covenant compliance.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Changing Prices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custom products make it impracticable to accurately define the impact of inflation on profit margins.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operates in numerous taxing jurisdictions and is subject to regular examinations by U.S. federal, state and non-U.S. taxing authorities. Its income tax positions are based on research and interpretations of the income tax laws and rulings in each of the jurisdictions in which the Company does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the Company's estimates of income tax liabilities may differ from actual payments or assessments.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While the Company has support for the positions it takes on tax returns, taxing authorities may assert different interpretations of laws and facts and may challenge cross-jurisdictional transactions. The Company generally re-evaluates the technical merits of its tax positions and recognizes an uncertain tax benefit when (i) there is completion of a tax audit; (ii) there is a change in applicable tax laws including a tax case ruling or legislative guidance; or</w:t>
      </w:r>
    </w:p>
    <w:p>
      <w:pPr>
        <w:spacing w:after="0" w:line="1" w:lineRule="exact"/>
        <w:rPr>
          <w:sz w:val="20"/>
          <w:szCs w:val="20"/>
          <w:color w:val="auto"/>
        </w:rPr>
      </w:pPr>
    </w:p>
    <w:p>
      <w:pPr>
        <w:jc w:val="both"/>
        <w:ind w:firstLine="8"/>
        <w:spacing w:after="0" w:line="252" w:lineRule="auto"/>
        <w:tabs>
          <w:tab w:leader="none" w:pos="3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expiration of the statute of limitations. The liability for unrecognized tax benefits, excluding interest and penalties, was $22.6 million and $20.9 million as of July 31, 2024 and 2023, respectively. If recognized, $19.4 million of unrecognized tax benefits would reduce the Company's income tax rate as of both July 31, 2024 and 2023. Accrued interest and penalties related to unrecognized tax benefits were $6.1 million and $5.3 million as of July 31, 2024 and 2023, respectively. The Company recognizes interest and penalties related to unrecognized tax benefits in income tax expense on the Consolidated Statements of Income. The Company believes it is reasonably possible that the amount of gross unrecognized tax benefits could be reduced by up to $4.2 million in the next 12 months as a result of the resolution of worldwide tax matters, tax audit settlements, amended tax filings, and/or statute expirations, which would be the maximum amount that would be recognized as an income tax benefit in the Consolidated Statements of Income.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differences between the financial statement and tax basis of assets and liabilities that will result in taxable or deductible amounts in the future, based on enacted tax laws and rates applicable to the periods in which the differences are expected to affect taxable income. The Company establishes valuation allowances for its deferred tax assets if it is more likely than not that some or all of the deferred tax asset will not be realized. This requires management to make judgments regarding: (i) the timing and amount of the reversal of taxable temporary differences, (ii) expected future taxable income or loss, and (iii) the impact of tax planning strategies. The Company recognized valuation allowances for its deferred tax assets of $47.2 million and $52.8 million as of July 31, 2024 and 2023, respectively, which were primarily related to foreign tax credit carryforwards and net operating loss carryforwards in its various tax jurisdictions.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If the actual results differ from these estimates, it could result in an impairment of intangible assets and goodwill or require acceleration of the amortization expense of finite-lived intangible assets. In addition, goodwill and other indefinite-lived intangible assets must be tested for impairment at least annually.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identified six reporting units within its two reportable segments, Americas &amp; Asia and Europe &amp; Australia, with the following goodwill balances as of July 31, 2024: North America, $436.3 million; Europe, $150.4 million; and Latin America, $2.9 million. The other three identified reporting units each have a goodwill balance of zero. The Company has the option to first assess qualitative factors in order to determine if it is more likely than not that the fair value of the reporting unit is greater than its respective carrying value. If the qualitative assessment leads to a determination that the fair value of a reporting unit may be less than its carrying value, or if the Company elects to bypass the qualitative assessment altogether, the Company performs a quantitative impairment test by calculating the fair value of the reporting unit and comparing the fair value with its associated carrying value. When the Company performs the quantitative test for goodwill, the Company establishes the fair value for the reporting unit based on the income approach, in which a discounted cash flow model is utilized, the market approach, in which market multiples of comparable companies are utilized, or a combination of both approaches. The income approach requires the use of significant estimates and assumptions, including forecasted sales growth, operating income projections, and discount rates and changes in these assumptions may adversely impact the fair value assessments. Significant negative industry or macroeconomic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33"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The Company completes its annual goodwill impairment analysis on May 1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(i) GDP growth for the respective geography,</w:t>
      </w:r>
    </w:p>
    <w:p>
      <w:pPr>
        <w:spacing w:after="0" w:line="2" w:lineRule="exact"/>
        <w:rPr>
          <w:sz w:val="20"/>
          <w:szCs w:val="20"/>
          <w:color w:val="auto"/>
        </w:rPr>
      </w:pPr>
    </w:p>
    <w:p>
      <w:pPr>
        <w:jc w:val="both"/>
        <w:ind w:firstLine="8"/>
        <w:spacing w:after="0" w:line="253" w:lineRule="auto"/>
        <w:tabs>
          <w:tab w:leader="none" w:pos="2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factors such as competition and changes in the market for the reporting unit's products, (iii) new product development, (iv) competing technologies, (v) overall financial performance such as cash flows, actual and planned revenue and profitability, and (vi) changes in the strategy of the reporting unit. In the event the fair value of a reporting unit is less than the carrying value, the Company would recognize an impairment charge for the amount by which the carrying amount of the reporting unit exceeds the fair value. If necessary, the Company may consult valuation specialists to assist with the assessment of the estimated fair value of the reporting unit.</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May 1, 2024, the Company performed the qualitative assessment for all three reporting units and determined that it is more likely than not that the fair value exceeds the carrying value for each reporting unit, and as such, goodwill was not considered impaired.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Indefinite-Lived Intangible Assets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indefinite-lived intangible assets, which consists of tradenames, are tested for impairment in accordance with the Company's policy outlined above using the income approach.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As a result of the analysis performed on May 1, 2024, all indefinite-lived tradenames had fair value in excess of their carrying value.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provided in Note 1 of the Notes to Consolidated Financial Statements contained in Item 8 — Financial Statements and Supplementary Data.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global nature of the Company’s business requires active participation in the foreign exchange markets. The Company has manufacturing facilities and sells and distributes its products throughout the world and therefore has assets, liabilities and cash flows in currencies other than the U.S. dollar. As a result, the Company’s financial results could be significantly affected by factors such as changes in foreign currency exchange rates or weak macroeconomic conditions in the foreign markets in which the Company manufactures, distributes and sells its products. The Company’s operating results are principally exposed to changes in exchange rates between the U.S. dollar and the Euro, the British Pound, the Mexican Peso, the Canadian dollar, the Australian dollar, the Singapore dollar, the Malaysian Ringgit, and the Chinese Yuan.</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objective of the Company’s foreign currency exchange risk management is to minimize the impact of currency movements on non-functional currency transactions. To achieve this objective, the Company hedges a portion of known exposures using forward contracts. As of July 31, 2024, the notional amount of outstanding forward foreign exchange contracts designated as cash flow hedges was $59.2 million. The Company uses Euro-denominated debt of €48.7 million and British Pound-denominated debt of £10.3 million designated as hedge instruments to hedge portions of the Company’s net investment in its Euro-denominated and British Pound-denominated businesses. The Company's multi-currency revolving credit agreement allows it to borrow up to $200 million in currencies other than U.S. dollars. Debt issued in currencies other than U.S. dollars acts as a natural hedge to the Company's exposure to the associated currency.</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in effect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 Currency exchange rates increased fiscal 2024 net sales by 0.2% compared to fiscal 2023 as the U.S. dollar depreciated, on average, against other major currencies throughout the year.</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in foreign currency exchange rates for the Company’s foreign subsidiaries reporting in local currencies are generally reported as a component of stockholders’ equity. The Company’s currency translation adjustments recorded during the years ended July 31, 2024, 2023, and 2022, as a separate component of stockholders’ equity, were unfavorable by $14.5 million, favorable by $16.0 million, and unfavorable by $53.4 million, respectively. As of July 31, 2024 and 2023, the Company’s foreign subsidiaries had net current assets (defined as current assets less current liabilities) subject to foreign currency translation risk of $324.5 million and $207.6 million, respectively. The potential decrease in net current assets as of July 31, 2024, from a hypothetical 10 percent adverse change in quoted foreign currency exchange rates would be approximately $32.5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2024, the Company had no interest rate derivatives and no fixed rate debt outstanding.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BRADY CORPORATION &amp; SUBSIDIARIES</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320" w:type="dxa"/>
            <w:vAlign w:val="bottom"/>
          </w:tcPr>
          <w:p>
            <w:pPr>
              <w:spacing w:after="0"/>
              <w:rPr>
                <w:sz w:val="16"/>
                <w:szCs w:val="16"/>
                <w:color w:val="auto"/>
              </w:rPr>
            </w:pPr>
          </w:p>
        </w:tc>
        <w:tc>
          <w:tcPr>
            <w:tcW w:w="190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3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34)</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320" w:type="dxa"/>
            <w:vAlign w:val="bottom"/>
            <w:vMerge w:val="continue"/>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Balance Sheets — July 31, 2024 and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229"/>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Income — Years Ended July 31, 2024, 2023, and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 Years Ended July 31, 2024, 2023, and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29"/>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 Years Ended July 31, 2024, 2023, and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Cash Flows — Years Ended July 31, 2024, 2023, and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34"/>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 Years Ended July 31, 2024, 2023, and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Brady Corporation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Brady Corporation and subsidiaries (the “Company”) as of July 31, 2024 and 2023, the related consolidated statements of income, comprehensive income, stockholders' equity, and cash flows, for each of the three years in the period ended July 31, 2024, and the related notes and the schedule listed in the Index at Item 15 (collectively referred to as the "financial statements"). In our opinion, the financial statements present fairly, in all material respects, the financial position of the Company as of July 31, 2024 and 2023, and the results of its operations and its cash flows for each of the three years in the period ended July 31, 2024,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July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September 6, 2024,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 Valuation Allowances — Refer to Notes 1 and 11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deferred income tax assets and liabilities for the estimated future tax effects attributable to temporary differences and carryforwards. Valuation allowances are established when necessary to reduce deferred tax assets to the amounts expected to be realized in the future. Future realization of deferred tax assets depends on the existence of sufficient taxable income within the carryback or carryforward period of the appropriate character under the relevant tax law. Sources of taxable income include future reversals of deferred tax assets and liabilities, future taxable income (exclusive of the reversals of deferred tax assets and liabilities), taxable income in prior carryback year(s) if permitted under the tax law, and tax planning strategies. The Company’s valuation allowance for deferred tax assets was $47.2 million as of July 31, 2024.</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determination of the valuation allowance involves estimates. Management’s primary estimate in determining whether a valuation allowance should be established is the projection of future sources of taxable income. Auditing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management’s estimate of future sources of taxable income, which affects the recorded valuation allowances, required a high degree of auditor judgment and an increased extent of effort, including the need to involve our income tax specialists.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estimated future sources of taxable income included the following, among others:</w:t>
      </w:r>
    </w:p>
    <w:p>
      <w:pPr>
        <w:spacing w:after="0" w:line="25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estimates of future sources of taxable income.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considered relevant tax laws and regulations in evaluating the appropriateness of management’s estimates of future sources of taxable income.</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future sources of taxable income by comparing actual results to management’s historical estimates. Further, we evaluated the reasonableness of management’s estimates of future sources of taxable income by comparing the estimates to historical sources of taxable income or losses and evaluating whether there have been any changes that would affect management's estimates of future sources of taxable income.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evaluated whether the estimated future sources of taxable income were of the appropriate character to utilize the deferred tax assets under tax law.</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assessment that it is more likely than not that sufficient taxable income will be generated in the future to utilize the net deferred tax assets.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at least since 1981; however, an earlier year cannot be reliably determined.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31,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8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848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$6,749 and $8,467, respectively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184,420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177,078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11,790</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524,820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592,646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1,389,257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848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71,470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67,170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65,828</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258,036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16,217</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67,952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74,369</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398,338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848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Class A nonvoting common stock — Issued 51,261,487 shares, and outstanding 44,042,462 and 45,008,724 shares,</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 (aggregate liquidation preference of $42,716)</w:t>
            </w: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Class B voting common stock — Issued and outstanding 3,538,628 shares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351,771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1,021,870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 — 7,219,025 and 6,252,763 shares, respectively, of Class A nonvoting common stock, at cost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(290,209)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1,066,658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990,919</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1,389,257</w:t>
            </w:r>
          </w:p>
        </w:tc>
        <w:tc>
          <w:tcPr>
            <w:tcW w:w="0" w:type="dxa"/>
            <w:vAlign w:val="bottom"/>
          </w:tcPr>
          <w:p>
            <w:pPr>
              <w:spacing w:after="0"/>
              <w:rPr>
                <w:sz w:val="1"/>
                <w:szCs w:val="1"/>
                <w:color w:val="auto"/>
              </w:rPr>
            </w:pPr>
          </w:p>
        </w:tc>
      </w:tr>
      <w:tr>
        <w:trPr>
          <w:trHeight w:val="26"/>
        </w:trPr>
        <w:tc>
          <w:tcPr>
            <w:tcW w:w="85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8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-5481955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Years Ended July 31, 2024, 2023 and 2022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6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2"/>
        </w:trPr>
        <w:tc>
          <w:tcPr>
            <w:tcW w:w="100" w:type="dxa"/>
            <w:vAlign w:val="bottom"/>
          </w:tcPr>
          <w:p>
            <w:pPr>
              <w:spacing w:after="0"/>
              <w:rPr>
                <w:sz w:val="18"/>
                <w:szCs w:val="18"/>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1,331,863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1,302,062</w:t>
            </w:r>
          </w:p>
        </w:tc>
      </w:tr>
      <w:tr>
        <w:trPr>
          <w:trHeight w:val="213"/>
        </w:trPr>
        <w:tc>
          <w:tcPr>
            <w:tcW w:w="100" w:type="dxa"/>
            <w:vAlign w:val="bottom"/>
          </w:tcPr>
          <w:p>
            <w:pPr>
              <w:spacing w:after="0"/>
              <w:rPr>
                <w:sz w:val="18"/>
                <w:szCs w:val="18"/>
                <w:color w:val="auto"/>
              </w:rPr>
            </w:pPr>
          </w:p>
        </w:tc>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653,509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674,588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670,510</w:t>
            </w:r>
          </w:p>
        </w:tc>
      </w:tr>
      <w:tr>
        <w:trPr>
          <w:trHeight w:val="212"/>
        </w:trPr>
        <w:tc>
          <w:tcPr>
            <w:tcW w:w="100" w:type="dxa"/>
            <w:vAlign w:val="bottom"/>
          </w:tcPr>
          <w:p>
            <w:pPr>
              <w:spacing w:after="0"/>
              <w:rPr>
                <w:sz w:val="18"/>
                <w:szCs w:val="18"/>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631,552</w:t>
            </w:r>
          </w:p>
        </w:tc>
      </w:tr>
      <w:tr>
        <w:trPr>
          <w:trHeight w:val="213"/>
        </w:trPr>
        <w:tc>
          <w:tcPr>
            <w:tcW w:w="10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58,548</w:t>
            </w:r>
          </w:p>
        </w:tc>
      </w:tr>
      <w:tr>
        <w:trPr>
          <w:trHeight w:val="213"/>
        </w:trPr>
        <w:tc>
          <w:tcPr>
            <w:tcW w:w="100" w:type="dxa"/>
            <w:vAlign w:val="bottom"/>
          </w:tcPr>
          <w:p>
            <w:pPr>
              <w:spacing w:after="0"/>
              <w:rPr>
                <w:sz w:val="18"/>
                <w:szCs w:val="18"/>
                <w:color w:val="auto"/>
              </w:rPr>
            </w:pPr>
          </w:p>
        </w:tc>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376,722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370,697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379,992</w:t>
            </w:r>
          </w:p>
        </w:tc>
      </w:tr>
      <w:tr>
        <w:trPr>
          <w:trHeight w:val="212"/>
        </w:trPr>
        <w:tc>
          <w:tcPr>
            <w:tcW w:w="100" w:type="dxa"/>
            <w:vAlign w:val="bottom"/>
          </w:tcPr>
          <w:p>
            <w:pPr>
              <w:spacing w:after="0"/>
              <w:rPr>
                <w:sz w:val="18"/>
                <w:szCs w:val="18"/>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438,540</w:t>
            </w:r>
          </w:p>
        </w:tc>
      </w:tr>
      <w:tr>
        <w:trPr>
          <w:trHeight w:val="213"/>
        </w:trPr>
        <w:tc>
          <w:tcPr>
            <w:tcW w:w="10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193,012</w:t>
            </w: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r>
      <w:tr>
        <w:trPr>
          <w:trHeight w:val="207"/>
        </w:trPr>
        <w:tc>
          <w:tcPr>
            <w:tcW w:w="10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191,980</w:t>
            </w:r>
          </w:p>
        </w:tc>
      </w:tr>
      <w:tr>
        <w:trPr>
          <w:trHeight w:val="216"/>
        </w:trPr>
        <w:tc>
          <w:tcPr>
            <w:tcW w:w="100" w:type="dxa"/>
            <w:vAlign w:val="bottom"/>
          </w:tcPr>
          <w:p>
            <w:pPr>
              <w:spacing w:after="0"/>
              <w:rPr>
                <w:sz w:val="18"/>
                <w:szCs w:val="18"/>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42,001</w:t>
            </w:r>
          </w:p>
        </w:tc>
      </w:tr>
      <w:tr>
        <w:trPr>
          <w:trHeight w:val="212"/>
        </w:trPr>
        <w:tc>
          <w:tcPr>
            <w:tcW w:w="10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174,857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149,979</w:t>
            </w:r>
          </w:p>
        </w:tc>
      </w:tr>
      <w:tr>
        <w:trPr>
          <w:trHeight w:val="20"/>
        </w:trPr>
        <w:tc>
          <w:tcPr>
            <w:tcW w:w="100" w:type="dxa"/>
            <w:vAlign w:val="bottom"/>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10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13"/>
        </w:trPr>
        <w:tc>
          <w:tcPr>
            <w:tcW w:w="10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10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51,321</w:t>
            </w: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51,651</w:t>
            </w:r>
          </w:p>
        </w:tc>
      </w:tr>
      <w:tr>
        <w:trPr>
          <w:trHeight w:val="534"/>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-3552825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-3552825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149,979</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(53,402)</w:t>
            </w:r>
          </w:p>
        </w:tc>
      </w:tr>
      <w:tr>
        <w:trPr>
          <w:trHeight w:val="256"/>
        </w:trPr>
        <w:tc>
          <w:tcPr>
            <w:tcW w:w="7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recognized in other comprehensive (loss)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r>
      <w:tr>
        <w:trPr>
          <w:trHeight w:val="216"/>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gains included in net income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r>
      <w:tr>
        <w:trPr>
          <w:trHeight w:val="209"/>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1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(loss) recognized in other comprehensive (loss)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16"/>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actuarial gain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09"/>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59"/>
        </w:trPr>
        <w:tc>
          <w:tcPr>
            <w:tcW w:w="7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tax</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(53,648)</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 income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0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(53,124)</w:t>
            </w:r>
          </w:p>
        </w:tc>
      </w:tr>
      <w:tr>
        <w:trPr>
          <w:trHeight w:val="23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96,855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-2459355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-2459355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60" w:type="dxa"/>
            <w:vAlign w:val="bottom"/>
            <w:gridSpan w:val="3"/>
            <w:vMerge w:val="continue"/>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4"/>
                <w:szCs w:val="14"/>
                <w:color w:val="auto"/>
              </w:rPr>
            </w:pPr>
          </w:p>
        </w:tc>
        <w:tc>
          <w:tcPr>
            <w:tcW w:w="12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339,125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788,369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(55,953)</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(53,124)</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A — $0.90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 $0.88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16,016</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including excise taxes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A — $0.92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 $0.90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351,771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(16,561)</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including excise taxes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A — $0.94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 $0.92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-5168265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-5168265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-5168265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-5168265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174,857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149,979</w:t>
            </w:r>
          </w:p>
        </w:tc>
      </w:tr>
      <w:tr>
        <w:trPr>
          <w:trHeight w:val="21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34,182</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10,504</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Gain on sale of business</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business acquisitions):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(25,330)</w:t>
            </w:r>
          </w:p>
        </w:tc>
      </w:tr>
      <w:tr>
        <w:trPr>
          <w:trHeight w:val="219"/>
        </w:trPr>
        <w:tc>
          <w:tcPr>
            <w:tcW w:w="7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(62,907)</w:t>
            </w:r>
          </w:p>
        </w:tc>
      </w:tr>
      <w:tr>
        <w:trPr>
          <w:trHeight w:val="213"/>
        </w:trPr>
        <w:tc>
          <w:tcPr>
            <w:tcW w:w="71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19"/>
        </w:trPr>
        <w:tc>
          <w:tcPr>
            <w:tcW w:w="7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w:t>
            </w:r>
          </w:p>
        </w:tc>
      </w:tr>
      <w:tr>
        <w:trPr>
          <w:trHeight w:val="213"/>
        </w:trPr>
        <w:tc>
          <w:tcPr>
            <w:tcW w:w="71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4,836</w:t>
            </w:r>
          </w:p>
        </w:tc>
      </w:tr>
      <w:tr>
        <w:trPr>
          <w:trHeight w:val="212"/>
        </w:trPr>
        <w:tc>
          <w:tcPr>
            <w:tcW w:w="71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118,449</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(43,138)</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Sale of business</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7"/>
        </w:trPr>
        <w:tc>
          <w:tcPr>
            <w:tcW w:w="71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(43,071)</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(45,931)</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(5,127)</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(109,229)</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facilities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243,716</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facilities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(186,716)</w:t>
            </w:r>
          </w:p>
        </w:tc>
      </w:tr>
      <w:tr>
        <w:trPr>
          <w:trHeight w:val="213"/>
        </w:trPr>
        <w:tc>
          <w:tcPr>
            <w:tcW w:w="7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2"/>
        </w:trPr>
        <w:tc>
          <w:tcPr>
            <w:tcW w:w="71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(102,089)</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(6,555)</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(33,266)</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114,069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147,335</w:t>
            </w:r>
          </w:p>
        </w:tc>
      </w:tr>
      <w:tr>
        <w:trPr>
          <w:trHeight w:val="23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114,069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r>
      <w:tr>
        <w:trPr>
          <w:trHeight w:val="210"/>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-5293360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-5293360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Nature of Operations — </w:t>
      </w: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2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 </w:t>
      </w:r>
      <w:r>
        <w:rPr>
          <w:rFonts w:ascii="Times New Roman" w:cs="Times New Roman" w:eastAsia="Times New Roman" w:hAnsi="Times New Roman"/>
          <w:sz w:val="18"/>
          <w:szCs w:val="18"/>
          <w:color w:val="auto"/>
        </w:rPr>
        <w:t>The accompanying consolidated financial statements include the accounts of Brady Corporation and its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All intercompany accounts and transactions between consolidated subsidiaries have been eliminated in consolidation.</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 </w:t>
      </w:r>
      <w:r>
        <w:rPr>
          <w:rFonts w:ascii="Times New Roman" w:cs="Times New Roman" w:eastAsia="Times New Roman" w:hAnsi="Times New Roman"/>
          <w:sz w:val="18"/>
          <w:szCs w:val="18"/>
          <w:color w:val="auto"/>
        </w:rPr>
        <w:t>The consolidated financial statements have been prepared in accordance with accounting principles generally accepted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("U.S. GAAP"), which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from those estimates.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The Company recognizes assets acquired, liabilities assumed, contractual contingencies and contingent consideration at their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acquisition date. The operating results of the acquired companies are included in the Company’s consolidated financial statements from the date of acquisition. Acquisition-related costs are expensed as incurred and changes in deferred tax asset valuation allowances and income tax uncertainties after the measurement period are recorded in income tax expense.</w:t>
      </w:r>
    </w:p>
    <w:p>
      <w:pPr>
        <w:spacing w:after="0" w:line="12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 </w:t>
      </w:r>
      <w:r>
        <w:rPr>
          <w:rFonts w:ascii="Times New Roman" w:cs="Times New Roman" w:eastAsia="Times New Roman" w:hAnsi="Times New Roman"/>
          <w:sz w:val="18"/>
          <w:szCs w:val="18"/>
          <w:color w:val="auto"/>
        </w:rPr>
        <w:t>The Company considers all highly-liquid investments purchased with original maturities of three months or less to be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The Company places temporary cash investments with global financial institutions of high credit quality.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performs periodic evaluations of the relative credit standing of its financial institutions and limits the amount of credit exposure with any one financial institution. In addition, the Company has a broad customer base representing many diverse industries throughout the globe. Consequently, no significant concentration of credit risk is considered to exist.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 </w:t>
      </w:r>
      <w:r>
        <w:rPr>
          <w:rFonts w:ascii="Times New Roman" w:cs="Times New Roman" w:eastAsia="Times New Roman" w:hAnsi="Times New Roman"/>
          <w:sz w:val="18"/>
          <w:szCs w:val="18"/>
          <w:color w:val="auto"/>
        </w:rPr>
        <w:t>The Company's policy for estimating the allowance for credit losses on accounts receivables considers several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historical loss experience, the age of delinquent receivable balances due, and economic conditions. Specific customer reserves are made during review of significant outstanding balances due, in which customer creditworthiness and current economic trends may indicate that it is probable the receivable will not be recovered. Accounts receivable are written off after collection efforts occur and the receivable is deemed uncollectible. Adjustments to the allowance for credit losses are recorded in SG&amp;A expense.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 </w:t>
      </w:r>
      <w:r>
        <w:rPr>
          <w:rFonts w:ascii="Times New Roman" w:cs="Times New Roman" w:eastAsia="Times New Roman" w:hAnsi="Times New Roman"/>
          <w:sz w:val="18"/>
          <w:szCs w:val="18"/>
          <w:color w:val="auto"/>
        </w:rPr>
        <w:t>Inventories are stated at the lower of cost or net realizable value and include material, labor, and overhead. Cost has been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last-in, first-out (“LIFO”) method for certain inventories in the U.S. (13.0% of total inventories at July 31, 2024, and 9.6% of total inventories at July 31, 2023) and the first-in, first-out (“FIFO”) or average cost methods for all other inventories. Had all inventories been accounted for on a FIFO basis instead of on a LIFO basis, the carrying value of inventories would have increased by $11,582 and $11,312 as of July 31, 2024 and 2023, respectively.</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 of the following as of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103,350</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26,884</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46,844</w:t>
            </w:r>
          </w:p>
        </w:tc>
      </w:tr>
      <w:tr>
        <w:trPr>
          <w:trHeight w:val="207"/>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152,729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177,078</w:t>
            </w:r>
          </w:p>
        </w:tc>
      </w:tr>
      <w:tr>
        <w:trPr>
          <w:trHeight w:val="23"/>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 </w:t>
      </w:r>
      <w:r>
        <w:rPr>
          <w:rFonts w:ascii="Times New Roman" w:cs="Times New Roman" w:eastAsia="Times New Roman" w:hAnsi="Times New Roman"/>
          <w:sz w:val="18"/>
          <w:szCs w:val="18"/>
          <w:color w:val="auto"/>
        </w:rPr>
        <w:t>Property, plant and equipment are stated at cost, less accumulated depreciation. Depreciation is computed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straight-line basis over the estimated useful lives of the related assets. Leasehold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improvements are depreciated over the shorter of the lease term or the estimated useful life of the respective asset. The estimated useful lives range from 3 to 33 years as shown below.</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 of the following as of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Range of Useful Lives</w:t>
            </w: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 to 33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130,004</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3 to 10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282,870</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9,682</w:t>
            </w:r>
          </w:p>
        </w:tc>
      </w:tr>
      <w:tr>
        <w:trPr>
          <w:trHeight w:val="212"/>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equipment—gross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434,829</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(304,199)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(292,680)</w:t>
            </w:r>
          </w:p>
        </w:tc>
      </w:tr>
      <w:tr>
        <w:trPr>
          <w:trHeight w:val="234"/>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195,758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142,149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$20,452, $20,631, and $19,216 for the years ended July 31, 2024, 2023 and 2022, respectively.</w:t>
      </w:r>
    </w:p>
    <w:p>
      <w:pPr>
        <w:spacing w:after="0" w:line="16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Goodwill — </w:t>
      </w:r>
      <w:r>
        <w:rPr>
          <w:rFonts w:ascii="Times New Roman" w:cs="Times New Roman" w:eastAsia="Times New Roman" w:hAnsi="Times New Roman"/>
          <w:sz w:val="18"/>
          <w:szCs w:val="18"/>
          <w:color w:val="auto"/>
        </w:rPr>
        <w:t>The Company tests goodwill for impairment on an annual basis on the first day of the fourth quarter of each fiscal year,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frequently if events or changes in circumstances indicate that it may be impaired. Under U.S. GAAP, the Company has the option to first assess qualitative factors in order to determine if it is more likely than not that the fair value of one of its reporting units is greater than its carrying value (“Step 0”). If the qualitative assessment leads to a determination that the reporting unit’s fair value is less than its carrying value, or if the Company elects to bypass the qualitative assessment altogether, it is required to perform a quantitative impairment test (“Step 1”) by calculating the fair value of the reporting unit and comparing the fair value with its associated carrying value. During the fiscal year 2024 annual impairment test, the Company first assessed goodwill recoverability qualitatively using the Step 0 approach for each reporting unit. For the qualitative assessment, the Company considered the most recent quantitative analysis, which was performed during the fourth quarter of fiscal year 2023 for all three reporting units, including assumptions used, such as discount rates, indicated fair values, and the amounts by which those fair values exceeded their carrying amounts. Further, the Company compared actual performance in fiscal year 2024 to the internal financial projections used in the prior quantitative analyses. Additionally, the Company considered various other factors including macroeconomic conditions, relevant industry and market trends, and factors specific to the Company that could indicate a potential change in the fair value of the reporting units. Lastly, the Company evaluated whether any events have occurred or any circumstances have changed since that time that would indicate that goodwill may have become impaired since the last quantitative tests. Based on these qualitative assessments, the Company determined it is more likely than not that the fair value of each reporting unit exceeds its respective carrying value and as such, goodwill was not considered impaired as of May 1, 2024, and the Step 1 quantitative goodwill impairment analysis was not necessary. No goodwill impairment charges were recognized during the year ended July 31, 2024.</w:t>
      </w:r>
    </w:p>
    <w:p>
      <w:pPr>
        <w:spacing w:after="0" w:line="14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Intangible and Long-Lived Assets — </w:t>
      </w:r>
      <w:r>
        <w:rPr>
          <w:rFonts w:ascii="Times New Roman" w:cs="Times New Roman" w:eastAsia="Times New Roman" w:hAnsi="Times New Roman"/>
          <w:sz w:val="18"/>
          <w:szCs w:val="18"/>
          <w:color w:val="auto"/>
        </w:rPr>
        <w:t>Intangible assets with definite lives are amortized on a straight-line basis over their estimated useful lives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pattern of economic benefits consumed. Intangible assets with indefinite lives as well as goodwill are not subject to amortization. These assets are assessed for impairment on an annual basis or more frequently if events or changes in circumstances have occurred that indicate the asset may not be recoverable or that the remaining estimated useful life may warrant revision. In addition, the Company performs qualitative assessments on a quarterly basis of significant events and circumstances, such as historical and current results, assumptions regarding future performance, and strategic initiatives and overall economic factors.</w:t>
      </w:r>
    </w:p>
    <w:p>
      <w:pPr>
        <w:spacing w:after="0" w:line="1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evaluates indefinite-lived intangible assets for impairment by comparing the estimated fair value of the asset to the carrying value.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The Company evaluates long-lived assets, including finite-lived intangible assets, operating lease assets, and property, plant, and equipment, for recoverability by comparing an estimate of undiscounted future cash flows, derived from internal forecasts, over the remaining life of the primary asset to the carrying amount of the asset group. To the extent the undiscounted future cash flows attributable to the asset are less than the carrying amount, an impairment loss is recognized for the amount by which the carrying value of the asset exceeds its fair value.</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fiscal 2024, long-lived and other intangible assets were analyzed for potential impairment. As a result of the analysis, no impairment charges were recorded.</w:t>
      </w:r>
    </w:p>
    <w:p>
      <w:pPr>
        <w:spacing w:after="0" w:line="10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Company accounts for leases in accordance with Accounting Standards Codification ("ASC") 842 "Leases." The Company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an arrangement contains a lease at contract inception based on whether the arrangement provides the Company with the right to direct the use of and the right to obtain substantially all of the economic benefits from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identified asset in exchange for consideration. The Company recognizes a right-of-use ("ROU") asset and lease liability for its lease commitments with initial terms greater than one year.</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initial measurement of ROU assets and lease liabilities are recognized at the lease commencement date based on the present value of future lease payments over the expected lease term. The ROU asset also includes any lease payments made on or before the commencement date, initial direct costs incurred, and is reduced by any lease incentives received. Some of the Company’s leases include options to extend the lease agreement, of which the exercise is at the Company’s sole discretion. The majority of renewal options are not included in the calculation of ROU assets and liabilities as they are not reasonably certain to be exercised. Some of the Company's lease agreements include rental payments that are adjusted periodically for inflation or the change in an index or rate. These variable lease payments are generally excluded from the initial measurement of the ROU asset and lease liability and are recognized in the period in which the obligation for those payments is incurred. The Company has lease agreements that include both lease and non-lease components, which the Company elected to account for as a single lease component.</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the present value of future lease payments using its incremental borrowing rate, as the discount rate implicit within the Company’s leases generally cannot be readily determined. The incremental borrowing rate is estimated based on the sovereign credit rating for the countries in which the Company has its largest operations, adjusted for several factors, such as internal credit spread, lease terms, and other market information available at the lease commencement date.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July 31, 2024, all leases are accounted for as operating leases, with lease expense being recognized on a straight-line basis over the lease term. Operating leases are reflected in “Operating lease assets,” “Current operating lease liabilities,” and “Long-term operating lease liabilities” in the accompanying Consolidated Balance Sheets. Operating lease expense is recognized in either cost of goods sold or selling, general, and administrative expenses in the Consolidated Statements of Income, based on the nature of the lease. ROU assets are evaluated for impairment in the same manner as long-lived assets. No impairment charges were recognized related to operating lease assets during the year ended July 31, 2024.</w:t>
      </w:r>
    </w:p>
    <w:p>
      <w:pPr>
        <w:spacing w:after="0" w:line="1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The Company recognizes revenue when a sales arrangement with a customer exists, the transaction price is fixed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determinable and the Company has satisfied its performance obligations per the sales arrangement. The majority of the Company’s revenue relates to the sale of identification and safety products and revenue is recognized at the point in which the customer obtains control of the products. The Company considers control to have transferred when legal title, physical possession, and the significant risks and rewards of ownership of the asset have transferred to the customer and the collection of the transaction price is reasonably assured, most of which occur upon the shipment or delivery of goods to customers. Revenue is measured at the determinable transaction price, net of estimated sales returns, including product returns and credit memos, and sales rebates. The Company estimates product returns and credit memos based on historical return rates. As of July 31, 2024 and 2023, the allowance for product returns and credit memos was $4,210 and $4,801, respectively.</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 </w:t>
      </w:r>
      <w:r>
        <w:rPr>
          <w:rFonts w:ascii="Times New Roman" w:cs="Times New Roman" w:eastAsia="Times New Roman" w:hAnsi="Times New Roman"/>
          <w:sz w:val="18"/>
          <w:szCs w:val="18"/>
          <w:color w:val="auto"/>
        </w:rPr>
        <w:t>Shipping and handling fees billed to a customer in a sale transaction are reported as net sales and the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for shipping and handling are reported in cost of goods sold.</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Costs — </w:t>
      </w:r>
      <w:r>
        <w:rPr>
          <w:rFonts w:ascii="Times New Roman" w:cs="Times New Roman" w:eastAsia="Times New Roman" w:hAnsi="Times New Roman"/>
          <w:sz w:val="18"/>
          <w:szCs w:val="18"/>
          <w:color w:val="auto"/>
        </w:rPr>
        <w:t>Advertising costs are expensed as incurred. Advertising expense for the years ended July 31, 2024, 2023, and 2022 was $50,296,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$53,591, and $55,568, respectively.</w:t>
      </w:r>
    </w:p>
    <w:p>
      <w:pPr>
        <w:spacing w:after="0" w:line="1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 </w:t>
      </w:r>
      <w:r>
        <w:rPr>
          <w:rFonts w:ascii="Times New Roman" w:cs="Times New Roman" w:eastAsia="Times New Roman" w:hAnsi="Times New Roman"/>
          <w:sz w:val="18"/>
          <w:szCs w:val="18"/>
          <w:color w:val="auto"/>
        </w:rPr>
        <w:t>The Company measures and recognizes the compensation expense for all share-based awards made to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based on estimated grant-date fair values. The Black-Scholes option valuation model is used to determine the fair value of stock option awards on the date of grant. The Company recognizes the compensation cost, net of estimated forfeitures, of all share-based awards on a straight-line basis over the vesting period of the award. If it is determined that it is unlikely the award will vest, the expense recognized to date for the award is generally reversed in the period in which this is evident and the remaining expense is not recorded.</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 Refer to Note 7, “Stockholders' Equity” for more information regarding the Company’s incentive stock plans.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 </w:t>
      </w:r>
      <w:r>
        <w:rPr>
          <w:rFonts w:ascii="Times New Roman" w:cs="Times New Roman" w:eastAsia="Times New Roman" w:hAnsi="Times New Roman"/>
          <w:sz w:val="18"/>
          <w:szCs w:val="18"/>
          <w:color w:val="auto"/>
        </w:rPr>
        <w:t>Amounts expended for research and development are expensed as incurred.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 </w:t>
      </w:r>
      <w:r>
        <w:rPr>
          <w:rFonts w:ascii="Times New Roman" w:cs="Times New Roman" w:eastAsia="Times New Roman" w:hAnsi="Times New Roman"/>
          <w:sz w:val="18"/>
          <w:szCs w:val="18"/>
          <w:color w:val="auto"/>
        </w:rPr>
        <w:t>Other comprehensive income consists of net unrealized gains and losses from cash flow hedges, the unamortized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defined-benefit pension plans net of their related tax effects, and foreign currency translation adjustments, which includes the impact of foreign currency translations, the settlements of net investment hedges, and long-term intercompany loan translation adjustments.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 </w:t>
      </w:r>
      <w:r>
        <w:rPr>
          <w:rFonts w:ascii="Times New Roman" w:cs="Times New Roman" w:eastAsia="Times New Roman" w:hAnsi="Times New Roman"/>
          <w:sz w:val="18"/>
          <w:szCs w:val="18"/>
          <w:color w:val="auto"/>
        </w:rPr>
        <w:t>The assets and liabilities of subsidiaries whose functional currency is a currency other than the U.S. dollar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translated into U.S. dollars at end of period rates of exchange, and income and expense accounts are translated at the average rates of exchange for the period. Resulting foreign currency translation adjustments are included in other comprehensive income.</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The Company accounts for income taxes in accordance with ASC 740 "Income Taxes." Deferred income tax assets and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for the expected future tax consequences attributable to differences between the financial reporting and tax basis of assets and liabilities. Deferred tax assets and liabilities are measured using the currently enacted tax laws and rates applicable to the periods in which the differences are expected to be realized or settled. Valuation allowances are established when it is estimated that it is more likely than not that the tax benefit of the deferred tax asset will not be realized. The Company recognizes the benefit of income tax positions only if those positions are more likely than not to be sustained upon examination by the tax authority. Changes in recognition or measurement are reflected in the period in which a change in judgment occurs.</w:t>
      </w:r>
    </w:p>
    <w:p>
      <w:pPr>
        <w:spacing w:after="0" w:line="12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 </w:t>
      </w:r>
      <w:r>
        <w:rPr>
          <w:rFonts w:ascii="Times New Roman" w:cs="Times New Roman" w:eastAsia="Times New Roman" w:hAnsi="Times New Roman"/>
          <w:sz w:val="18"/>
          <w:szCs w:val="18"/>
          <w:color w:val="auto"/>
        </w:rPr>
        <w:t>The Company believes that the carrying amount of its financial instruments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accounts payable, and other current liabilities) approximates fair value due to the short-term nature of these instruments. Refer to Note 6, "Debt" for more information regarding the fair value of long-term debt and Note 13, "Fair Value Measurements" for information regarding fair value measurements.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Currency Hedging — </w:t>
      </w:r>
      <w:r>
        <w:rPr>
          <w:rFonts w:ascii="Times New Roman" w:cs="Times New Roman" w:eastAsia="Times New Roman" w:hAnsi="Times New Roman"/>
          <w:sz w:val="18"/>
          <w:szCs w:val="18"/>
          <w:color w:val="auto"/>
        </w:rPr>
        <w:t>The objective of the Company’s foreign currency exchange risk management is to minimize the impact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income effect of the hedged item.</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derivative instruments as either assets or liabilities in the accompanying Consolidated Balance Sheets at fair value. Gains and losses resulting from changes in fair value of the derivatives designated as hedges are recorded as a component of Accumulated Other Comprehensive Income ("AOCI") in the accompanying Consolidated Balance Sheets and in the Consolidated Statements of Comprehensive Income and are reclassified into the same income statement line item in the period or periods during which the hedged transaction affects income. Refer to Note 14, "Derivatives and Hedging Activities" for more information regarding the Company’s derivative instruments and hedging activities.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guidance requires expanded interim and annual disclosures of segment information including the disclosure of significant segment expenses that are regularly provided to the chief operating decision maker and included within segment profit and loss. The guidance is effective for the Company's fiscal year 2025 Form 10-K and interim periods thereafter. The adoption of this guidance is not anticipated to have a material impact on the consolidated financial statements.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Company’s fiscal year 2026 Form 10-K. The adoption of this guidance is not anticipated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Goodwill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Changes in the carrying amount of goodwill by reportable segment for the years ended July 31, 2024 and 2023,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2022</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Translation adjustments</w:t>
      </w:r>
    </w:p>
    <w:p>
      <w:pPr>
        <w:spacing w:after="0" w:line="59" w:lineRule="exact"/>
        <w:rPr>
          <w:sz w:val="20"/>
          <w:szCs w:val="20"/>
          <w:color w:val="auto"/>
        </w:rPr>
      </w:pPr>
    </w:p>
    <w:p>
      <w:pPr>
        <w:ind w:left="360" w:right="1200"/>
        <w:spacing w:after="0" w:line="291" w:lineRule="auto"/>
        <w:rPr>
          <w:sz w:val="20"/>
          <w:szCs w:val="20"/>
          <w:color w:val="auto"/>
        </w:rPr>
      </w:pPr>
      <w:r>
        <w:rPr>
          <w:rFonts w:ascii="Times New Roman" w:cs="Times New Roman" w:eastAsia="Times New Roman" w:hAnsi="Times New Roman"/>
          <w:sz w:val="16"/>
          <w:szCs w:val="16"/>
          <w:color w:val="auto"/>
        </w:rPr>
        <w:t>Reallocation due to change in segments Divestiture of business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IDS</w:t>
            </w:r>
          </w:p>
        </w:tc>
        <w:tc>
          <w:tcPr>
            <w:tcW w:w="260" w:type="dxa"/>
            <w:vAlign w:val="bottom"/>
          </w:tcPr>
          <w:p>
            <w:pPr>
              <w:spacing w:after="0"/>
              <w:rPr>
                <w:sz w:val="16"/>
                <w:szCs w:val="16"/>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WPS</w:t>
            </w:r>
          </w:p>
        </w:tc>
        <w:tc>
          <w:tcPr>
            <w:tcW w:w="140" w:type="dxa"/>
            <w:vAlign w:val="bottom"/>
          </w:tcPr>
          <w:p>
            <w:pPr>
              <w:spacing w:after="0"/>
              <w:rPr>
                <w:sz w:val="16"/>
                <w:szCs w:val="16"/>
                <w:color w:val="auto"/>
              </w:rPr>
            </w:pPr>
          </w:p>
        </w:tc>
        <w:tc>
          <w:tcPr>
            <w:tcW w:w="1340" w:type="dxa"/>
            <w:vAlign w:val="bottom"/>
            <w:gridSpan w:val="3"/>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Americas &amp;</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Europe &amp;</w:t>
            </w:r>
          </w:p>
        </w:tc>
        <w:tc>
          <w:tcPr>
            <w:tcW w:w="9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Asia</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Australia</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556,151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586,832</w:t>
            </w:r>
          </w:p>
        </w:tc>
        <w:tc>
          <w:tcPr>
            <w:tcW w:w="0" w:type="dxa"/>
            <w:vAlign w:val="bottom"/>
          </w:tcPr>
          <w:p>
            <w:pPr>
              <w:spacing w:after="0"/>
              <w:rPr>
                <w:sz w:val="1"/>
                <w:szCs w:val="1"/>
                <w:color w:val="auto"/>
              </w:rPr>
            </w:pPr>
          </w:p>
        </w:tc>
      </w:tr>
      <w:tr>
        <w:trPr>
          <w:trHeight w:val="23"/>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-587375</wp:posOffset>
            </wp:positionV>
            <wp:extent cx="709803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16319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-269875</wp:posOffset>
            </wp:positionV>
            <wp:extent cx="709803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120" w:space="720"/>
            <w:col w:w="64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2023</w:t>
            </w: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592,646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Translation adjustments</w:t>
            </w:r>
          </w:p>
        </w:tc>
        <w:tc>
          <w:tcPr>
            <w:tcW w:w="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840" w:type="dxa"/>
            <w:vAlign w:val="bottom"/>
            <w:tcBorders>
              <w:top w:val="single" w:sz="8" w:color="CCEEFF"/>
              <w:bottom w:val="single" w:sz="8" w:color="CCEEFF"/>
            </w:tcBorders>
            <w:vMerge w:val="continue"/>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0" w:type="dxa"/>
            <w:vAlign w:val="bottom"/>
          </w:tcPr>
          <w:p>
            <w:pPr>
              <w:spacing w:after="0"/>
              <w:rPr>
                <w:sz w:val="1"/>
                <w:szCs w:val="1"/>
                <w:color w:val="auto"/>
              </w:rPr>
            </w:pP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2024</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150,432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589,611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February 1, 2023, the Company is organized and managed within two regions: Americas &amp; Asia and Europe &amp; Australia, which are the reportable segments. Prior to February 1, 2023, the Company was organized and managed on a global basis within two business platforms: Identification Solutions (“IDS”) and Workplace Safety (“WPS”). As a result, goodwill was allocated to the new reportable segments in accordance with ASC 350, "Intangibles - Goodwill and Other."</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decreased $3,035 during the year ended July 31, 2024 due to the negative effects of foreign currency translation.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increased $5,814 during the year ended July 31, 2023 mainly due to the positive effects of foreign currency translation, which was partially offset by a reduction due to the sale of our PremiSys business within the Americas &amp; Asia segment.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qualitative assessment performed on May 1, 2024, in accordance with ASC 350, “Intangibles - Goodwill and Other” indicated that it is more likely than not that the fair value exceeds the carrying value for each of the three reporting units with goodwill (North America, Europe and Latin America).</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Intangible Assets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intangible assets include customer relationships, tradenames, and technology with finite lives being amortized in accordance with the accounting guidance for other intangible assets. The Company also has unamortized indefinite-lived tradenames that are classified as other intangible assets.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July 31, 2024 and 2023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41,151</w:t>
            </w:r>
          </w:p>
        </w:tc>
        <w:tc>
          <w:tcPr>
            <w:tcW w:w="12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85"/>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48,566</w:t>
            </w:r>
          </w:p>
        </w:tc>
        <w:tc>
          <w:tcPr>
            <w:tcW w:w="0" w:type="dxa"/>
            <w:vAlign w:val="bottom"/>
          </w:tcPr>
          <w:p>
            <w:pPr>
              <w:spacing w:after="0"/>
              <w:rPr>
                <w:sz w:val="1"/>
                <w:szCs w:val="1"/>
                <w:color w:val="auto"/>
              </w:rPr>
            </w:pPr>
          </w:p>
        </w:tc>
      </w:tr>
      <w:tr>
        <w:trPr>
          <w:trHeight w:val="195"/>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0" w:type="dxa"/>
            <w:vAlign w:val="bottom"/>
          </w:tcPr>
          <w:p>
            <w:pPr>
              <w:spacing w:after="0"/>
              <w:rPr>
                <w:sz w:val="1"/>
                <w:szCs w:val="1"/>
                <w:color w:val="auto"/>
              </w:rPr>
            </w:pPr>
          </w:p>
        </w:tc>
      </w:tr>
      <w:tr>
        <w:trPr>
          <w:trHeight w:val="221"/>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the gross carrying amount of amortized other intangible assets as of July 31, 2024 compared to July 31, 2023 was primarily due to the disposal of a discontinued tradename.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on intangible assets during the years ended July 31, 2024, 2023, and 2022 was $9,421, $11,739, and $14,966,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over each of the next five fiscal years is projected to be $9,145, $8,268, $7,759, $7,351, and $7,006 for the fiscal years 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2025, 2026, 2027, 2028, and 2029,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warehouses and office space, computer equipment, and vehicles accounted for as operating leases. Lease terms typically range from one year to ten years. As of July 31, 2024 and 2023, the Company did not have any finance leases.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Short-term lease expense, variable lease expenses, and sublease income were immaterial to the Consolidated Statements of Income for the year ended July 31, 2024.</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lease expense recognized during the years ended July 31, 2024,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446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Consolidated Statements of Income Location</w:t>
            </w: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July 31, 2022</w:t>
            </w:r>
          </w:p>
        </w:tc>
      </w:tr>
      <w:tr>
        <w:trPr>
          <w:trHeight w:val="21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w:t>
            </w:r>
          </w:p>
        </w:tc>
      </w:tr>
      <w:tr>
        <w:trPr>
          <w:trHeight w:val="210"/>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9,822</w:t>
            </w:r>
          </w:p>
        </w:tc>
      </w:tr>
    </w:tbl>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maturity of the Company's lease liabilities as of July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July 31,</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12"/>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15,033</w:t>
            </w:r>
          </w:p>
        </w:tc>
      </w:tr>
      <w:tr>
        <w:trPr>
          <w:trHeight w:val="213"/>
        </w:trPr>
        <w:tc>
          <w:tcPr>
            <w:tcW w:w="9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11,693</w:t>
            </w:r>
          </w:p>
        </w:tc>
      </w:tr>
      <w:tr>
        <w:trPr>
          <w:trHeight w:val="21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w:t>
            </w:r>
          </w:p>
        </w:tc>
      </w:tr>
      <w:tr>
        <w:trPr>
          <w:trHeight w:val="213"/>
        </w:trPr>
        <w:tc>
          <w:tcPr>
            <w:tcW w:w="9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w:t>
            </w:r>
          </w:p>
        </w:tc>
      </w:tr>
      <w:tr>
        <w:trPr>
          <w:trHeight w:val="21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w:t>
            </w:r>
          </w:p>
        </w:tc>
      </w:tr>
      <w:tr>
        <w:trPr>
          <w:trHeight w:val="213"/>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w:t>
            </w:r>
          </w:p>
        </w:tc>
      </w:tr>
      <w:tr>
        <w:trPr>
          <w:trHeight w:val="212"/>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42,955</w:t>
            </w:r>
          </w:p>
        </w:tc>
      </w:tr>
      <w:tr>
        <w:trPr>
          <w:trHeight w:val="213"/>
        </w:trPr>
        <w:tc>
          <w:tcPr>
            <w:tcW w:w="9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interest</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(4,231)</w:t>
            </w:r>
          </w:p>
        </w:tc>
      </w:tr>
      <w:tr>
        <w:trPr>
          <w:trHeight w:val="234"/>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38,724</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the Company's operating leases as of July 31, 2024 and 2023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4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July 31, 2023</w:t>
            </w:r>
          </w:p>
        </w:tc>
      </w:tr>
      <w:tr>
        <w:trPr>
          <w:trHeight w:val="213"/>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bl>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during the years ended July 31, 2024 and 2023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17,739</w:t>
            </w:r>
          </w:p>
        </w:tc>
      </w:tr>
      <w:tr>
        <w:trPr>
          <w:trHeight w:val="281"/>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8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23,438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12,583</w:t>
            </w:r>
          </w:p>
        </w:tc>
      </w:tr>
    </w:tbl>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 Includes new leases and remeasurements or modifications of existing leases.</w:t>
      </w:r>
    </w:p>
    <w:p>
      <w:pPr>
        <w:spacing w:after="0" w:line="1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right-of-use assets for impairment in the same manner as long-lived assets. No impairment charges were recorded during the years ended July 31, 2024, 2023 or 2022.</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Benefit Plans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postretirement medical benefits (the “Plan”) for eligible regular full and part-time domestic employees (including spouses) who retired prior to January 1, 2016, as outlined by the Plan. The Plan is unfunded, and the liability, unrecognized gain, and associated income statement impact are immaterial. The current portion and non-current portion of the liabilities for postretirement medical benefits are included in “Other current liabilities” and “Other liabilities," respectively, on the accompanying Consolidated Balance Sheets as of July 31, 2024 and 2023. The unrecognized gain is reported as a component of AOCI.</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also has two deferred compensation plans, the Executive Deferred Compensation Plan and the Director Deferred Compensation Plan which allow for compensation to be deferred into either the Company's Class A Nonvoting Common Stock or in other investment funds. Neither plan allows funds to be transferred between the Company's Class A Nonvoting Common Stock and the other investment funds. The Company has an additional non-qualified deferred compensation plan, the Brady Restoration Plan, which allows an equivalent benefit to the Matched 401(k) Plan and the Funded Retirement Plan for executives' income exceeding the IRS limits for participation in a qualified 401(k) plan. Deferred compensation of $20,029 and $18,288 was included in "Other liabilities" in the accompanying Consolidated Balance Sheets as of July 31, 2024 and 2023, respectively.</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retirement and profit-sharing plans covering substantially all full-time domestic employees and certain employees of its foreign subsidiaries. Contributions to the plans are determined annually or quarterly, according to the respective plan, based on income of the respective companies and employee contributions. Accrued retirement and profit-sharing contributions of $3,656 and $3,717 were included in "Other current liabilities" in the accompanying Consolidated Balance Sheets as of July 31, 2024 and 2023, respectively. The amounts charged to expense for these retirement and profit sharing plans were $16,134, $15,089, and $15,063 during the years ended July 31, 2024, 2023 and 2022, respectively.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credit agreement with a group of five banks.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21, 2021, the Company and certain of its subsidiaries entered into an amendment to the credit agreement dated August 1, 2019, which replaced the variable benchmark rate from LIBOR to other benchmark rates, including SOFR, SONIA, Euribor and TIBOR.</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Credit Agreement (“Amendment No. 2”) with a group of six banks, which amended the original credit agreement dated August 1, 2019. Amendment No. 2 amended the credit agreement to, among other items, (a) 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 Borrowings under Amendment No. 2 are unsecured and are guaranteed by certain of the Company's domestic subsidiaries.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July 31, 2024, the outstanding balance on the credit agreement was $90.9 million. The maximum amount outstanding on the credit agreement during the year ended July 31, 2024 was $90.9 million. As of July 31, 2024, there was $207.3 million available for future borrowing, which can be increased to $1,042.3 million at the Company's option, subject to certain conditions. The credit agreement has a final maturity date of November 14, 2027. As such, borrowings are classified as long-term on the Consolidated Balance Sheets.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agreement requires it to maintain certain financial covenants, including a ratio of debt to trailing twelve months EBITDA, as defined in the agreement, of not more than a 3.5 to 1.0 ratio (leverage ratio) and trailing twelve months EBITDA to interest expense of not less than a 3.0 to 1.0 ratio (interest expense coverage ratio). As of July 31, 2024, the Company was in compliance with these financial covenants, with a ratio of debt to EBITDA, as defined by the agreements, equal to 0.3 to 1.0 and the interest expense coverage ratio equal to 93.2 to 1.0.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2024 and 2023, borrowings on the credit agreement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0" w:type="dxa"/>
            <w:vAlign w:val="bottom"/>
          </w:tcPr>
          <w:p>
            <w:pPr>
              <w:spacing w:after="0"/>
              <w:rPr>
                <w:sz w:val="1"/>
                <w:szCs w:val="1"/>
                <w:color w:val="auto"/>
              </w:rPr>
            </w:pPr>
          </w:p>
        </w:tc>
      </w:tr>
      <w:tr>
        <w:trPr>
          <w:trHeight w:val="158"/>
        </w:trPr>
        <w:tc>
          <w:tcPr>
            <w:tcW w:w="5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740" w:type="dxa"/>
            <w:vAlign w:val="bottom"/>
            <w:gridSpan w:val="3"/>
            <w:vMerge w:val="restart"/>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280" w:type="dxa"/>
            <w:vAlign w:val="bottom"/>
            <w:gridSpan w:val="2"/>
            <w:shd w:val="clear" w:color="auto" w:fill="CCEEFF"/>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740" w:type="dxa"/>
            <w:vAlign w:val="bottom"/>
            <w:gridSpan w:val="3"/>
            <w:vMerge w:val="continue"/>
            <w:shd w:val="clear" w:color="auto" w:fill="CCEEFF"/>
          </w:tcPr>
          <w:p>
            <w:pPr>
              <w:spacing w:after="0"/>
              <w:rPr>
                <w:sz w:val="14"/>
                <w:szCs w:val="14"/>
                <w:color w:val="auto"/>
              </w:rPr>
            </w:pPr>
          </w:p>
        </w:tc>
        <w:tc>
          <w:tcPr>
            <w:tcW w:w="1280" w:type="dxa"/>
            <w:vAlign w:val="bottom"/>
            <w:gridSpan w:val="2"/>
            <w:shd w:val="clear" w:color="auto" w:fill="CCEEFF"/>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1740" w:type="dxa"/>
            <w:vAlign w:val="bottom"/>
            <w:gridSpan w:val="3"/>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7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Revolving credit agreement </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90,935</w:t>
            </w:r>
          </w:p>
        </w:tc>
        <w:tc>
          <w:tcPr>
            <w:tcW w:w="100" w:type="dxa"/>
            <w:vAlign w:val="bottom"/>
          </w:tcPr>
          <w:p>
            <w:pPr>
              <w:spacing w:after="0"/>
              <w:rPr>
                <w:sz w:val="23"/>
                <w:szCs w:val="23"/>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49,716</w:t>
            </w:r>
          </w:p>
        </w:tc>
        <w:tc>
          <w:tcPr>
            <w:tcW w:w="100" w:type="dxa"/>
            <w:vAlign w:val="bottom"/>
          </w:tcPr>
          <w:p>
            <w:pPr>
              <w:spacing w:after="0"/>
              <w:rPr>
                <w:sz w:val="23"/>
                <w:szCs w:val="23"/>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660" w:hanging="328"/>
        <w:spacing w:after="0" w:line="263"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Borrowings under the revolving credit agreement as of July 31, 2024 included USD-denominated, British pound-denominated and Euro-denominated borrowings of $32,000, $10,267 and $48,668, respectively. The weighted average interest rate of the USD-denominated, British pound-denominated and Euro-denominated borrowings was 6.3%, 6.1% and 4.5%, respectively, as of July 31, 2024.</w:t>
      </w:r>
    </w:p>
    <w:p>
      <w:pPr>
        <w:spacing w:after="0" w:line="138"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Borrowings under the revolving credit agreement as of July 31, 2023 included USD-denominated, British pound-denominated and Euro-denominated borrowings of $13,000, $10,280 and $26,436. The weighted average interest rate of the USD-denominated, British pound-denominated and Euro-denominated borrowings was 6.3%, 5.8% and 4.4%, respectively, as of July 31, 2023.</w:t>
      </w:r>
    </w:p>
    <w:p>
      <w:pPr>
        <w:spacing w:after="0" w:line="1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Due to the variable interest rate pricing of the Company's revolving debt, it is determined that the carrying value of the debt equals the fair value of the debt.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outstanding letters of credit of $1,766 and $1,995 at July 31, 2024 and 2023,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as to the Company’s capital stock as of July 31, 2024 and 2023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160" w:type="dxa"/>
            <w:vAlign w:val="bottom"/>
          </w:tcPr>
          <w:p>
            <w:pPr>
              <w:spacing w:after="0"/>
              <w:rPr>
                <w:sz w:val="13"/>
                <w:szCs w:val="13"/>
                <w:color w:val="auto"/>
              </w:rPr>
            </w:pPr>
          </w:p>
        </w:tc>
        <w:tc>
          <w:tcPr>
            <w:tcW w:w="108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Shares</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160" w:type="dxa"/>
            <w:vAlign w:val="bottom"/>
          </w:tcPr>
          <w:p>
            <w:pPr>
              <w:spacing w:after="0"/>
              <w:rPr>
                <w:sz w:val="13"/>
                <w:szCs w:val="13"/>
                <w:color w:val="auto"/>
              </w:rPr>
            </w:pPr>
          </w:p>
        </w:tc>
        <w:tc>
          <w:tcPr>
            <w:tcW w:w="108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$.01 par value</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Cumulative Preferred Stock:</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 Cumulative</w:t>
            </w: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1972 Series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1979 Series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$.01 par value: Class A</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51,261,487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51,261,487</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Nonvoting</w:t>
            </w: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Class B Voting</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3,538,628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3,538,628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5"/>
        </w:trPr>
        <w:tc>
          <w:tcPr>
            <w:tcW w:w="3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Before any dividend may be paid on the Class B Common Stock, holders of the Class A Common Stock are entitled to receive an annual, noncumulative cash dividend of $0.01665 per share. Thereafter, any further dividend in that fiscal year must be paid on each share of Class A Common Stock and Class B Common Stock on an equal basis.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than as required by law, holders of the Class A Common Stock are not entitled to any vote on corporate matters, unless, in each of the three preceding fiscal years, the $0.01665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liquidation, dissolution or winding up of the Company, and after distribution of any amounts due to holders of Preferred Stock, if any, holders of the Class A Common Stock are entitled to receive the sum of $0.8333 per share before any payment or distribution to holders of the Class B Common Stock. Thereafter, holders of the Class B Common Stock are entitled to receive a payment or distribution of $0.8333 per share. Thereafter, holders of the Class A Common Stock and Class B Common Stock share equally in all payments or distributions upon liquidation, dissolution or winding up of the Company.</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other activity in stockholders’ equity during the years ended July 31, 2024,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Deferred Compensation</w:t>
            </w:r>
          </w:p>
        </w:tc>
        <w:tc>
          <w:tcPr>
            <w:tcW w:w="120" w:type="dxa"/>
            <w:vAlign w:val="bottom"/>
          </w:tcPr>
          <w:p>
            <w:pPr>
              <w:spacing w:after="0"/>
              <w:rPr>
                <w:sz w:val="16"/>
                <w:szCs w:val="16"/>
                <w:color w:val="auto"/>
              </w:rPr>
            </w:pP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 Held in Rabbi</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18"/>
                <w:szCs w:val="18"/>
                <w:color w:val="auto"/>
              </w:rPr>
            </w:pPr>
          </w:p>
        </w:tc>
        <w:tc>
          <w:tcPr>
            <w:tcW w:w="1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Trust, at cost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2021</w:t>
            </w: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2021</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5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2022</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2022</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318,285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318,285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5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2023</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2023</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318,198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318,198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5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2024</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2024</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312,124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312,124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deferred compensation plans, the Executive Deferred Compensation Plan and the Director Deferred Compensation Plan that allow for compensation to be deferred into either the Company's Class A Nonvoting Common Stock or into other investment funds. Neither plan allows funds to be transferred between the Company's Class A Nonvoting Common Stock and the other investment funds.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July 31, 2024, the deferred compensation balance in stockholders’ equity represents the investment at the original cost of shares held in the Company’s Class A Nonvoting Common Stock for the deferred compensation plans. The balance of shares held in the Rabbi Trust represents the investment in the Company’s Class A Nonvoting Common Stock at the original cost of all the Company’s Class A Nonvoting Common Stock held in deferred compensation plans.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Plans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an incentive stock plan under which the Board of Directors may grant nonqualified stock options to purchase shares of Class A Nonvoting Common Stock, restricted stock units ("RSUs"), performance-based restricted stock units ("PRSUs"), or restricted and unrestricted shares of Class A Nonvoting Common Stock to employees and non-employee directors. Certain awards may be subject to pre-established performance goals. The majority of the Company’s annual share-based awards are granted in the first quarter of the fiscal year.</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2024, the Company has reserved 1,474,258 shares of Class A Nonvoting Common Stock for outstanding stock options and RSUs and 4,862,004 shares of Class A Nonvoting Common Stock remain for future issuance of stock options and restricted and unrestricted shares under the active plans. The Company uses treasury stock or will issue new Class A Nonvoting Common Stock to deliver shares under these plans.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recognized during the years ended July 31, 2024, 2023, and 2022, was $7,361, $7,508, and $10,504, respectively. The total income tax benefit recognized in the consolidated statements of income was $1,014, $1,497 and $507 during the years ended July 31, 2024, 2023, and 2022, respectively.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“time-based” options, generally expire 10 years from the date of grant.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estimated the fair value of its time-based stock option awards granted during the years ended July 31, 2024, 2023, and 2022, using the Black-Scholes option valuation model. The weighted-average assumptions used in the Black-Scholes valuation model are reflected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Black-Scholes Option Valuation Assumptions</w:t>
            </w:r>
          </w:p>
        </w:tc>
        <w:tc>
          <w:tcPr>
            <w:tcW w:w="14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1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30.04 %</w:t>
            </w:r>
          </w:p>
        </w:tc>
      </w:tr>
      <w:tr>
        <w:trPr>
          <w:trHeight w:val="21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r>
      <w:tr>
        <w:trPr>
          <w:trHeight w:val="21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r>
    </w:tbl>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year ended July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4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40" w:type="dxa"/>
            <w:vAlign w:val="bottom"/>
          </w:tcPr>
          <w:p>
            <w:pPr>
              <w:spacing w:after="0"/>
              <w:rPr>
                <w:sz w:val="14"/>
                <w:szCs w:val="14"/>
                <w:color w:val="auto"/>
              </w:rPr>
            </w:pPr>
          </w:p>
        </w:tc>
        <w:tc>
          <w:tcPr>
            <w:tcW w:w="12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Time-Based Options</w:t>
            </w: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46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36"/>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July 31,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1,546,783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54.74</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60" w:type="dxa"/>
            <w:vAlign w:val="bottom"/>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July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1,222,046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as of July 31,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1,038,471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additional stock option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fair value of options granted during the period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12.14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11.55</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 during the period (in thousands)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options vested during the period (in thousands)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from the exercise of stock options during the period (in thousands)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on options exercised during the period (in thousands)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2024, total unrecognized compensation cost related to options that are expected to vest was $911 pre-tax, net of estimated forfeitures, which the Company expects to recognize over a weighted-average period of 1.6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RSUs issued under the plan have a grant date fair value equal to the market price of the Company's stock at the date of grant and generally vest ratably over three years, with one-third vesting one year after the grant date and one-third additional in each of the succeeding two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summarize the RSU activity during the year ended July 31, 2024:</w:t>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Non-vested RSUs as of July 31, 2023</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Granted</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Non-vested RSUs as of July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13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4"/>
        </w:trPr>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11"/>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133,868</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0" w:type="dxa"/>
            <w:vAlign w:val="bottom"/>
          </w:tcPr>
          <w:p>
            <w:pPr>
              <w:spacing w:after="0"/>
              <w:rPr>
                <w:sz w:val="1"/>
                <w:szCs w:val="1"/>
                <w:color w:val="auto"/>
              </w:rPr>
            </w:pPr>
          </w:p>
        </w:tc>
      </w:tr>
      <w:tr>
        <w:trPr>
          <w:trHeight w:val="204"/>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w:t>
            </w:r>
          </w:p>
        </w:tc>
        <w:tc>
          <w:tcPr>
            <w:tcW w:w="0" w:type="dxa"/>
            <w:vAlign w:val="bottom"/>
          </w:tcPr>
          <w:p>
            <w:pPr>
              <w:spacing w:after="0"/>
              <w:rPr>
                <w:sz w:val="1"/>
                <w:szCs w:val="1"/>
                <w:color w:val="auto"/>
              </w:rPr>
            </w:pPr>
          </w:p>
        </w:tc>
      </w:tr>
      <w:tr>
        <w:trPr>
          <w:trHeight w:val="21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148,991</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118" w:right="339" w:bottom="1440" w:gutter="0" w:footer="0" w:header="0"/>
        </w:sectPr>
      </w:pP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RSUs granted during the years ended July 31, 2023 and 2022, had a weighted-average grant-date fair value of $45.22 and $48.96, respectively.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time-based RSUs vested during the years ended July 31, 2024, 2023 and 2022, was $3,888, $3,734, and $3,669, respectively.</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2024, total unrecognized compensation cost related to RSUs that are expected to vest was $3,178 pre-tax, net of estimated forfeitures, which the Company expects to recognize over a weighted-average period of 1.9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PRSUs are contingent on the achievement of predetermined market and performance targets. The PRSUs granted under the plan vest at the end of a three-year performance period provided the service period and specified performance targets are met. For the PRSUs granted during the year ended July 31, 2024, awards will vest based on achievement of performance conditions relating to Company revenue and diluted EPS targets. For the PRSUs granted during the years ended July 31, 2023 and 2022, the vesting criteria for 50% of the grant is based upon the Company's total shareholder return ("TSR") relative to the S&amp;P 600 SmallCap Industrials Index over a three-year performance period, and the vesting criteria for the remaining 50% of the grant is based upon Company revenue targets.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PRSUs granted during the year ended July 31, 2024 had a fair value determined by the average of the high and low stock price on the date of grant.</w:t>
      </w:r>
    </w:p>
    <w:p>
      <w:pPr>
        <w:sectPr>
          <w:pgSz w:w="11900" w:h="16838" w:orient="portrait"/>
          <w:cols w:equalWidth="0" w:num="1">
            <w:col w:w="11240"/>
          </w:cols>
          <w:pgMar w:left="320" w:top="118" w:right="339" w:bottom="1440" w:gutter="0" w:footer="0" w:header="0"/>
          <w:type w:val="continuous"/>
        </w:sectPr>
      </w:pP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summarize the PRSU activity during the year ended July 31, 2024:</w:t>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Non-vested PRSUs as of July 31, 2023</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Granted</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Non-vested PRSUs as of July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13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4"/>
        </w:trPr>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11"/>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63,448</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58.39</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0" w:type="dxa"/>
            <w:vAlign w:val="bottom"/>
          </w:tcPr>
          <w:p>
            <w:pPr>
              <w:spacing w:after="0"/>
              <w:rPr>
                <w:sz w:val="1"/>
                <w:szCs w:val="1"/>
                <w:color w:val="auto"/>
              </w:rPr>
            </w:pPr>
          </w:p>
        </w:tc>
      </w:tr>
      <w:tr>
        <w:trPr>
          <w:trHeight w:val="204"/>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w:t>
            </w:r>
          </w:p>
        </w:tc>
        <w:tc>
          <w:tcPr>
            <w:tcW w:w="0" w:type="dxa"/>
            <w:vAlign w:val="bottom"/>
          </w:tcPr>
          <w:p>
            <w:pPr>
              <w:spacing w:after="0"/>
              <w:rPr>
                <w:sz w:val="1"/>
                <w:szCs w:val="1"/>
                <w:color w:val="auto"/>
              </w:rPr>
            </w:pPr>
          </w:p>
        </w:tc>
      </w:tr>
      <w:tr>
        <w:trPr>
          <w:trHeight w:val="21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103,221</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118" w:right="339" w:bottom="1440" w:gutter="0" w:footer="0" w:header="0"/>
          <w:type w:val="continuous"/>
        </w:sectPr>
      </w:pP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PRSUs granted during the year ended July 31, 2023 and 2022, had a weighted-average grant-date fair value of $55.77 and $61.76,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PRSUs vested during the years ended July 31, 2024, 2023 and 2022, was $141, $889, and $4,098, respectively.</w:t>
      </w:r>
    </w:p>
    <w:p>
      <w:pPr>
        <w:spacing w:after="0" w:line="1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2024, total unrecognized compensation cost related to PRSUs that are expected to vest was $3,227 pre-tax, net of estimated forfeitures, which the Company expects to recognize over a weighted-average period of 1.9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Loss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which includes net investment hedges and long-term intercompany loan translation adjustments, unrealized gains from cash flow hedges, and the unamortized gain on post-retirement plans, net of their related tax effects.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July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July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(95,458)</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(14,441)</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July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July 31, 2024 compared to July 31, 2023 was primarily due to the appreciation of the U.S. dollar against certain other currencies during the fiscal year. Of the amounts reclassified from accumulated other comprehensive loss during the years ended July 31, 2024 and 2023, unrealized gains on cash flow hedges were reclassified into "Cost of goods sold" and net unamortized gains on post-retirement plans were reclassified into "Investment and other income" on the Consolidated Statements of Income.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income tax benefit (expense) on the components of other comprehensive (loss)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 income:</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flow hedges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rPr>
              <w:t>(148)</w:t>
            </w:r>
          </w:p>
        </w:tc>
      </w:tr>
      <w:tr>
        <w:trPr>
          <w:trHeight w:val="219"/>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income tax adjustments and currency translation</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505</w:t>
            </w:r>
          </w:p>
        </w:tc>
      </w:tr>
      <w:tr>
        <w:trPr>
          <w:trHeight w:val="237"/>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 income</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524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Recognition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revenues are primarily from the sale of identification solutions and workplace safety products that are shipped and billed to customers. All revenue is from contracts with customers and is included in “Net sales” on the Consolidated Statements of Income. See Note 10 “Segment Information” for the Company’s disaggregated revenue disclosure.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consist of purchase orders, which in some cases are governed by master supply or distributor agreements. For each contract, the Company considers the commitment to transfer tangible products, which are generally capable of being distinct, to be separate performance obligations.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is earned and recognized at a point in time through ship-and-bill performance obligations where the customer typically obtains control of the product upon shipment or delivery, depending on freight terms. The Company considers control to have transferred if legal title, physical possession, and the significant risks and rewards of ownership of the asset have transferred to the customer and the Company has a present right to payment. In almost all cases, control transfers once a product is shipped or delivered, as this is when the customer is able to direct and obtain substantially all of the remaining benefits associated with use of the asset.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and Variable Consideration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be entitled to in exchange for the transfer of product to a customer. The transaction price is generally the price stated in the contract specific for each item sold, adjusted for all applicable variable considerations. Variable consideration generally includes discounts, returns, credits, rebates, or other allowances that reduce the transaction price. Certain discounts and price assurances are fixed and known at the time of sale.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the amount of variable consideration and reduces the transaction price to the extent it is probable that a significant reversal of cumulative revenue recognized will not occur when the uncertainty associated with the variable consideration is resolved. The expected value method is used to estimate expected returns and allowances based on historical experience. The most likely amount method is used to estimate customer rebates, which are offered retrospectively and typically defined in the master supply or distributor agreement.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Company’s standard payment terms are net 30 days, the specific payment terms and conditions in its contracts with customers vary by type and location of the customer. Cash discounts may be offered to certain customers. The Company has payment terms in its contracts with customers of less than one year, and therefore, does not recognize the time value of money or any financing component of such contracts.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offers standard warranty coverage on substantially all products which provides the customer with assurance that the product will function as intended. This standard warranty coverage is accounted for as an assurance warranty and is not considered to be a separate performance obligation. The Company records a liability for product warranty obligations at the time of sale based on historical warranty experience that is included in cost of goods sold.</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also offers extended warranty coverage for certain products, which it accounts for as service warranties. In most cases, the extended service warranty is included in the sales price of the product and is not sold separately. The Company considers the extended service warranty to be a separate performance obligation and allocates a portion of the transaction price to the service warranty based on the estimated stand-alone selling price. At the time of sale, the extended warranty transaction price is recorded as deferred revenue on the Consolidated Balance Sheets and is recognized on a straight-line basis over the life of the service warranty period. The deferred revenue is considered a contract liability as the Company has a right to payment at the time the product with the related extended service warranty is shipped or delivered and therefore, payment is received in advance of the Company's performance.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balance of contract liabilities associated with service warranty performance obligations was $2,947 and $2,757 as of July 31, 2024 and 2023, respectively. This also represents the amount of unsatisfied performance obligations related to contracts that extend beyond one year. The current portion and non-current portion of contract liabilities are included in “Other current liabilities” and “Other liabilities," respectively, on the accompanying Consolidated Balance Sheets. During the year ended July 31, 2024, the Company recognized revenue of $1,329 that was included in the contract liability balance at the beginning of the period from the amortization of extended service warranties. Of the contract liability balance outstanding at July 31, 2024, the Company expects to recognize 41% by the end of fiscal 2025, an additional 28% by the end of fiscal 2026, and the balance thereafter.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of Obtaining a Contract</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incremental direct costs of obtaining a contract (e.g., sales commissions) when incurred because the amortization period is generally twelve months or less. Contract costs are included in "Selling, general and administrative expense" on the Consolidated Statements of Income.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organized and managed within two regions: Americas &amp; Asia and Europe &amp; Australia, which are the reportable segments. The Company evaluates short-term segment performance based on segment profit and customer sales. Gain or loss on sale of businesses, interest expense, investment and other income, income taxes, and certain corporate administrative expenses are excluded when evaluating segment performance.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as of and for the years ended July 31, 2024,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750,391</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101,431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110,693</w:t>
            </w:r>
          </w:p>
        </w:tc>
        <w:tc>
          <w:tcPr>
            <w:tcW w:w="0" w:type="dxa"/>
            <w:vAlign w:val="bottom"/>
          </w:tcPr>
          <w:p>
            <w:pPr>
              <w:spacing w:after="0"/>
              <w:rPr>
                <w:sz w:val="1"/>
                <w:szCs w:val="1"/>
                <w:color w:val="auto"/>
              </w:rPr>
            </w:pPr>
          </w:p>
        </w:tc>
      </w:tr>
      <w:tr>
        <w:trPr>
          <w:trHeight w:val="233"/>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888,857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861,084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388,618</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55,263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52,360</w:t>
            </w: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443,006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440,978</w:t>
            </w:r>
          </w:p>
        </w:tc>
        <w:tc>
          <w:tcPr>
            <w:tcW w:w="0" w:type="dxa"/>
            <w:vAlign w:val="bottom"/>
          </w:tcPr>
          <w:p>
            <w:pPr>
              <w:spacing w:after="0"/>
              <w:rPr>
                <w:sz w:val="1"/>
                <w:szCs w:val="1"/>
                <w:color w:val="auto"/>
              </w:rPr>
            </w:pP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1,341,393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1,331,863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1,302,062</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26,950</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34,182</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196,842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180,503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157,307</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63,058</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267,454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246,245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220,365</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849,844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829,562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868,922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384,341</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114,069</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1,389,257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1,367,332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Expenditures for property, plant &amp; equipment: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24,051</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19,087</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segment profit to income before income taxes for the years ended July 31, 2024,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220,365</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costs: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Administrative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(27,353)</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 of business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3"/>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w:t>
            </w:r>
          </w:p>
        </w:tc>
      </w:tr>
      <w:tr>
        <w:trPr>
          <w:trHeight w:val="235"/>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225,696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sales by product category for the years ended July 31, 2024,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Safety and Facility Identification</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581,914</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Identification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275,836</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Wire Identification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203,919</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Healthcare Identification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135,364</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People Identification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105,029</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1,341,393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1,331,863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1,302,062</w:t>
            </w:r>
          </w:p>
        </w:tc>
      </w:tr>
      <w:tr>
        <w:trPr>
          <w:trHeight w:val="23"/>
        </w:trPr>
        <w:tc>
          <w:tcPr>
            <w:tcW w:w="6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fiscal 2024, the Company divested operations related to the safety and facility identification product line, while in fiscal 2023, the divested business was associated with the people identification product line.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sales and long-lived assets by geographic region for the years ended July 31, 2024,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4"/>
        </w:trPr>
        <w:tc>
          <w:tcPr>
            <w:tcW w:w="2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July 31,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9"/>
        </w:trPr>
        <w:tc>
          <w:tcPr>
            <w:tcW w:w="2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Geographic information:</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2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783,775</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790,596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764,930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524,258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543,187</w:t>
            </w:r>
          </w:p>
        </w:tc>
      </w:tr>
      <w:tr>
        <w:trPr>
          <w:trHeight w:val="219"/>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631,748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288,477</w:t>
            </w:r>
          </w:p>
        </w:tc>
      </w:tr>
      <w:tr>
        <w:trPr>
          <w:trHeight w:val="213"/>
        </w:trPr>
        <w:tc>
          <w:tcPr>
            <w:tcW w:w="2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Eliminations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26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Consolidated total</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1,331,863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831,664</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Revenues are attributed based on country of origin.</w:t>
      </w:r>
    </w:p>
    <w:p>
      <w:pPr>
        <w:spacing w:after="0" w:line="32" w:lineRule="exact"/>
        <w:rPr>
          <w:sz w:val="20"/>
          <w:szCs w:val="20"/>
          <w:color w:val="auto"/>
        </w:rPr>
      </w:pPr>
    </w:p>
    <w:p>
      <w:pPr>
        <w:ind w:left="560" w:hanging="210"/>
        <w:spacing w:after="0"/>
        <w:tabs>
          <w:tab w:leader="none" w:pos="56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consist of property, plant and equipment, goodwill, other intangible assets, and operating lease assets.</w:t>
      </w:r>
    </w:p>
    <w:p>
      <w:pPr>
        <w:spacing w:after="0" w:line="200" w:lineRule="exact"/>
        <w:rPr>
          <w:rFonts w:ascii="Times New Roman" w:cs="Times New Roman" w:eastAsia="Times New Roman" w:hAnsi="Times New Roman"/>
          <w:sz w:val="16"/>
          <w:szCs w:val="16"/>
          <w:color w:val="auto"/>
        </w:rPr>
      </w:pPr>
    </w:p>
    <w:p>
      <w:pPr>
        <w:spacing w:after="0" w:line="296"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income taxes consists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92,985</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Nations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133,643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98,995</w:t>
            </w:r>
          </w:p>
        </w:tc>
      </w:tr>
      <w:tr>
        <w:trPr>
          <w:trHeight w:val="23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225,696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before income taxes in the United States increased to $111,647 in fiscal 2024 from $92,053 in fiscal 2023 primarily due to organic sales growth and improved gross profit margin.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income before income taxes in Other Nations to $133,643 in fiscal 2023 from $98,995 in fiscal 2022 was primarily due to intercompany royalty payments to the United States that occurred in fiscal 2023 which reduced Other Nations income before income taxes by $32,857.</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consists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22,637</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8,639</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Nations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32,121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31,851</w:t>
            </w:r>
          </w:p>
        </w:tc>
      </w:tr>
      <w:tr>
        <w:trPr>
          <w:trHeight w:val="213"/>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States (U.S.)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w:t>
            </w:r>
          </w:p>
        </w:tc>
      </w:tr>
      <w:tr>
        <w:trPr>
          <w:trHeight w:val="212"/>
        </w:trPr>
        <w:tc>
          <w:tcPr>
            <w:tcW w:w="69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60,025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43,646</w:t>
            </w:r>
          </w:p>
        </w:tc>
      </w:tr>
      <w:tr>
        <w:trPr>
          <w:trHeight w:val="19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Nations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States (U.S.)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07"/>
        </w:trPr>
        <w:tc>
          <w:tcPr>
            <w:tcW w:w="69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w:t>
            </w:r>
          </w:p>
        </w:tc>
      </w:tr>
      <w:tr>
        <w:trPr>
          <w:trHeight w:val="23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50,626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effects of temporary differences are as follows as of July 31,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7,403</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9,248</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(47,609)</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R&amp;D expenditures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20,252</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and equity-based compensation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Postretirement benefits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and net operating loss carry-forwards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43,929</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(47,224)</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14,884</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71,521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9,552</w:t>
            </w:r>
          </w:p>
        </w:tc>
      </w:tr>
      <w:tr>
        <w:trPr>
          <w:trHeight w:val="23"/>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8,556</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(48,507)</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R&amp;D expenditures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9,986</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and equity-based compensation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9,937</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Postretirement benefits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and net operating loss carry-forwards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51,387</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(52,750)</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15,028</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64,231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(63,467)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w:t>
            </w:r>
          </w:p>
        </w:tc>
      </w:tr>
      <w:tr>
        <w:trPr>
          <w:trHeight w:val="23"/>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 credit carry-forwards as of July 31, 2024 consist of the following:</w:t>
      </w:r>
    </w:p>
    <w:p>
      <w:pPr>
        <w:spacing w:after="0" w:line="171" w:lineRule="exact"/>
        <w:rPr>
          <w:sz w:val="20"/>
          <w:szCs w:val="20"/>
          <w:color w:val="auto"/>
        </w:rPr>
      </w:pPr>
    </w:p>
    <w:p>
      <w:pPr>
        <w:ind w:left="980" w:hanging="324"/>
        <w:spacing w:after="0" w:line="261"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net operating loss carry-forwards of $89,282, of which $69,753 have no expiration date and the remainder of which expire from fiscal 2025 to fiscal 2040.</w:t>
      </w: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net operating loss carry-forwards of $24,527, of which $2,103 have no expiration date and the remainder of which expire in fiscal 2032.</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credit carry-forwards of $16,054, which expire from fiscal 2025 to fiscal 2034.</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credit carry-forwards of $13,635, which expire from fiscal 2025 to fiscal 2039.</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Rate Reconciliation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rate computed by applying the statutory U.S. federal income tax rate to income before income taxes to the total income tax expense is as follows:</w:t>
      </w:r>
    </w:p>
    <w:p>
      <w:pPr>
        <w:spacing w:after="0" w:line="15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Years Ended July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statutory rate</w:t>
            </w: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6"/>
        </w:trPr>
        <w:tc>
          <w:tcPr>
            <w:tcW w:w="7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International rate differential </w:t>
            </w:r>
            <w:r>
              <w:rPr>
                <w:rFonts w:ascii="Times New Roman" w:cs="Times New Roman" w:eastAsia="Times New Roman" w:hAnsi="Times New Roman"/>
                <w:sz w:val="21"/>
                <w:szCs w:val="21"/>
                <w:color w:val="auto"/>
                <w:vertAlign w:val="superscript"/>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16"/>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tax accruals and reserves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Research and development tax credits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 against foreign tax credits and foreign net operating loss carry-forwards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tax and other adjustments, net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4"/>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rate</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328"/>
        <w:spacing w:after="0" w:line="282"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foreign income tax rate differential when compared to the U.S. statutory income tax rate for the years ended July 31, 2024, 2023, and 2022.</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follows the guidance in ASC 740, "Income Taxes" regarding uncertain tax positions. The guidance requires application of a more-likely-than-not threshold to the recognition and de-recognition of income tax positions. A reconciliation of unrecognized tax benefits (excluding interest and penalties) is as follows:</w:t>
      </w:r>
    </w:p>
    <w:p>
      <w:pPr>
        <w:sectPr>
          <w:pgSz w:w="11900" w:h="16838" w:orient="portrait"/>
          <w:cols w:equalWidth="0" w:num="1">
            <w:col w:w="11240"/>
          </w:cols>
          <w:pgMar w:left="320" w:top="118" w:right="339" w:bottom="1440" w:gutter="0" w:footer="0" w:header="0"/>
        </w:sectPr>
      </w:pP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Settlements with tax authorities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2022</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Settlements with tax authorities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2024</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826" w:hanging="826"/>
        <w:spacing w:after="0"/>
        <w:tabs>
          <w:tab w:leader="none" w:pos="82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8655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3,233</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435</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(122)</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(3,226)</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(1,129)</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655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6" w:lineRule="exact"/>
        <w:rPr>
          <w:sz w:val="20"/>
          <w:szCs w:val="20"/>
          <w:color w:val="auto"/>
        </w:rPr>
      </w:pPr>
    </w:p>
    <w:p>
      <w:pPr>
        <w:ind w:left="826" w:hanging="826"/>
        <w:spacing w:after="0"/>
        <w:tabs>
          <w:tab w:leader="none" w:pos="82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655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2,902</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792</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(19)</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(2,682)</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(782)</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124</w:t>
      </w:r>
    </w:p>
    <w:p>
      <w:pPr>
        <w:spacing w:after="0" w:line="46" w:lineRule="exact"/>
        <w:rPr>
          <w:sz w:val="20"/>
          <w:szCs w:val="20"/>
          <w:color w:val="auto"/>
        </w:rPr>
      </w:pPr>
    </w:p>
    <w:p>
      <w:pPr>
        <w:ind w:left="826" w:hanging="826"/>
        <w:spacing w:after="0"/>
        <w:tabs>
          <w:tab w:leader="none" w:pos="82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8655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3,130</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1,594</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(43)</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(2,666)</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(257)</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655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6" w:lineRule="exact"/>
        <w:rPr>
          <w:sz w:val="20"/>
          <w:szCs w:val="20"/>
          <w:color w:val="auto"/>
        </w:rPr>
      </w:pPr>
    </w:p>
    <w:p>
      <w:pPr>
        <w:ind w:left="826" w:hanging="826"/>
        <w:spacing w:after="0"/>
        <w:tabs>
          <w:tab w:leader="none" w:pos="82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655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46355</wp:posOffset>
            </wp:positionV>
            <wp:extent cx="8655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74" w:space="720"/>
            <w:col w:w="1346"/>
          </w:cols>
          <w:pgMar w:left="320" w:top="118" w:right="339" w:bottom="1440" w:gutter="0" w:footer="0" w:header="0"/>
          <w:type w:val="continuous"/>
        </w:sectPr>
      </w:pPr>
    </w:p>
    <w:p>
      <w:pPr>
        <w:spacing w:after="0" w:line="1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Of the $22,590 of unrecognized tax benefits, if recognized, $19,350 would affect the Company's income tax rate. The Company has classified $19,527 and $17,587, excluding interest and penalties, of the reserve for uncertain tax positions in "Other liabilities" on the Consolidated Balance Sheets as of July 31, 2024 and 2023, respectively. The Company has classified $3,063 and $3,312, excluding interest and penalties, as a reduction of long-term deferred income tax assets on the accompanying Consolidated Balance Sheets as of July 31, 2024 and 2023,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interest expense of $893, $700, and $701 on the reserve for uncertain tax positions during the years ended July 31, 2024, 2023, and 2022, respectively. The Company also recognized benefits related to penalties of $38, $281, and $82 during the years ended July 31, 2024, 2023, and 2022, respectively. These amounts are net of reversals due to reductions for tax positions of prior years, statute of limitations, and settlements. At July 31, 2024 and 2023, the Company had $4,448 and $3,581, respectively, accrued for interest on unrecognized tax benefits. Penalties are accrued if the tax position does not meet the minimum statutory threshold to avoid the payment of a penalty. At July 31, 2024 and 2023, the Company had $1,631 and $1,674, respectively, accrued for penalties on unrecognized tax benefits. Interest expense and penalties are recorded as a component of "Income tax expense" in the Consolidated Statements of Income.</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that it is reasonably possible that the unrecognized tax benefits may be reduced by up to $4,151 in the next 12 months as a result of the resolution of worldwide tax matters, tax audit settlements, amended tax filings, and/or the expiration of statute of limitations, all of which, if recognized, would result in an income tax benefit in the Consolidated Statements of Income.</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July 31, 2024, the Company recognized $3,708 of tax benefits (including interest and penalties) associated with the lapse of statutes of limitations.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various states, and foreign jurisdictions. The following table summarizes the open tax years for the Company's major jurisdictions: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Open Tax Years</w:t>
            </w:r>
          </w:p>
        </w:tc>
      </w:tr>
      <w:tr>
        <w:trPr>
          <w:trHeight w:val="213"/>
        </w:trPr>
        <w:tc>
          <w:tcPr>
            <w:tcW w:w="8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 Federal</w:t>
            </w: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F’21 — F’24</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Common Share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(Numerator for basic and diluted income per Class A Nonvoting Common Share)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149,979</w:t>
            </w: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Numerator for basic and diluted income per Class B Voting Common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174,085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149,168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51,321</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3"/>
        </w:trPr>
        <w:tc>
          <w:tcPr>
            <w:tcW w:w="6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Brady's Class A Nonvoting Common Stock because the effect would have been anti-dilutive. The amount of anti-dilutive shares were 113,641, 549,031, and 497,307 for the years ended July 31, 2024, 2023, and 2022,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at July 31, 2024 and July 31, 2023, according to the valuation techniques the Company used to determine their fair values.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60" w:type="dxa"/>
            <w:vAlign w:val="bottom"/>
          </w:tcPr>
          <w:p>
            <w:pPr>
              <w:spacing w:after="0"/>
              <w:rPr>
                <w:sz w:val="16"/>
                <w:szCs w:val="16"/>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13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Hierarchy</w:t>
            </w:r>
          </w:p>
        </w:tc>
        <w:tc>
          <w:tcPr>
            <w:tcW w:w="0" w:type="dxa"/>
            <w:vAlign w:val="bottom"/>
          </w:tcPr>
          <w:p>
            <w:pPr>
              <w:spacing w:after="0"/>
              <w:rPr>
                <w:sz w:val="1"/>
                <w:szCs w:val="1"/>
                <w:color w:val="auto"/>
              </w:rPr>
            </w:pPr>
          </w:p>
        </w:tc>
      </w:tr>
      <w:tr>
        <w:trPr>
          <w:trHeight w:val="198"/>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18,288</w:t>
            </w:r>
          </w:p>
        </w:tc>
        <w:tc>
          <w:tcPr>
            <w:tcW w:w="120" w:type="dxa"/>
            <w:vAlign w:val="bottom"/>
          </w:tcPr>
          <w:p>
            <w:pPr>
              <w:spacing w:after="0"/>
              <w:rPr>
                <w:sz w:val="18"/>
                <w:szCs w:val="18"/>
                <w:color w:val="auto"/>
              </w:rPr>
            </w:pPr>
          </w:p>
        </w:tc>
        <w:tc>
          <w:tcPr>
            <w:tcW w:w="136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Level 1</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Level 2</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Level 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Deferred compensation plan assets</w:t>
      </w:r>
      <w:r>
        <w:rPr>
          <w:rFonts w:ascii="Times New Roman" w:cs="Times New Roman" w:eastAsia="Times New Roman" w:hAnsi="Times New Roman"/>
          <w:sz w:val="18"/>
          <w:szCs w:val="18"/>
          <w:color w:val="auto"/>
        </w:rPr>
        <w:t>: 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accompanying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Foreign exchange contracts</w:t>
      </w:r>
      <w:r>
        <w:rPr>
          <w:rFonts w:ascii="Times New Roman" w:cs="Times New Roman" w:eastAsia="Times New Roman" w:hAnsi="Times New Roman"/>
          <w:sz w:val="18"/>
          <w:szCs w:val="18"/>
          <w:color w:val="auto"/>
        </w:rPr>
        <w:t>: 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14,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hierarchy levels, outlined above, during the years ended July 31, 2024 and July 31, 2023.</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information regarding the fair value of the Company's long-term debt.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Derivatives and Hedging Activities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 as of July 31,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July 31, 2023</w:t>
            </w:r>
          </w:p>
        </w:tc>
      </w:tr>
      <w:tr>
        <w:trPr>
          <w:trHeight w:val="213"/>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39,661</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4,803</w:t>
            </w: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accompanying Consolidated Balance Sheets. For these instruments, the gain or loss on the derivative is reported as a component of other comprehensive income (“OCI”) and reclassified into income in the same period or periods during which the hedged transaction affects income. At July 31, 2024 and 2023, unrealized losses of $124 and unrealized gains of $1,580 have been included in AOCI,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consolidated statements of comprehensive income. As of July 31, 2024 and July 31, 2023, the cumulative balance recognized in accumulated other comprehensive income were losses of $1,237 and $1,746, respectively, on any outstanding foreign currency denominated debt obligations.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July 31, 2022</w:t>
            </w: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OCI:</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w w:val="99"/>
              </w:rPr>
              <w:t>2,680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(1,746)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Gains reclassified from OCI into cost of goods sold: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9"/>
              </w:rPr>
              <w:t>2,140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and hedging instruments in the accompanying Consolidated Balance Sheets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Prepaid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1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Other current</w:t>
            </w:r>
          </w:p>
        </w:tc>
        <w:tc>
          <w:tcPr>
            <w:tcW w:w="140" w:type="dxa"/>
            <w:vAlign w:val="bottom"/>
          </w:tcPr>
          <w:p>
            <w:pPr>
              <w:spacing w:after="0"/>
              <w:rPr>
                <w:sz w:val="14"/>
                <w:szCs w:val="14"/>
                <w:color w:val="auto"/>
              </w:rPr>
            </w:pPr>
          </w:p>
        </w:tc>
        <w:tc>
          <w:tcPr>
            <w:tcW w:w="9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other current</w:t>
            </w: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other current</w:t>
            </w: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19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contracts (cash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Foreign currency denominated debt (net investment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hedges)</w:t>
            </w: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 (non-designated hedges)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36,716</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 2024, the Company acquired Gravotech Holding (“Gravotech”), a global company that specializes in engraving marking and cutting solutions, headquartered in Lyon, France, for a cash purchase price of approximately €120,000, subject to a working capital adjustment provision. The Company expects to allocate a significant portion of the purchase price to goodwill and intangible assets. The assignment of goodwill to the Company’s existing reporting units is not complete as of the financial statements issuance date.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5, 2024, the Company announced an increase in the annual dividend to shareholders of the Company's Class A Common Stock, from $0.94 to $0.96 per share. A quarterly dividend of $0.24 will be paid on October 31, 2024, to shareholders of record at the close of business on October 10, 2024. This dividend represents an increase of 2.1% and is the 39th consecutive annual increase in dividends.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4, 2024, the Company's Board of Directors authorized an increase in the Company's share repurchase program, authorizing the repurchase of an additional $100.0 million of the Company's Class A Nonvoting Common Stock. The share repurchase program may be implemented from time to time on the open market or in privately negotiated transactions and has no expiration date. The repurchased shares will be available for use in connection with the Company's stock-based plans and for other corporate purposes.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With the participation of the President and Chief Executive Officer and Chief Financial Officer and Treasurer, management conducted an evaluation of the effectiveness of our internal control over financial reporting as of July 31, 2024, based on the framework and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issued by the Committee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Sponsoring Organizations of the Treadway 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the assessment, management concluded that, as of July 31, 2024, the Company’s internal control over financial reporting is effective based on those criteria.</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July 31, 2024, has been audited by Deloitte &amp; Touche LLP, an independent registered public accounting firm, as stated in their report, which is included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Brady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Brady Corporation and subsidiaries (the “Company”) as of July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July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July 31, 2024, of the Company and our report dated September 6, 2024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2024,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18" w:right="10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860" w:type="dxa"/>
            <w:vAlign w:val="bottom"/>
          </w:tcPr>
          <w:p>
            <w:pPr>
              <w:spacing w:after="0"/>
              <w:rPr>
                <w:sz w:val="20"/>
                <w:szCs w:val="20"/>
                <w:color w:val="auto"/>
              </w:rPr>
            </w:pPr>
          </w:p>
        </w:tc>
      </w:tr>
      <w:tr>
        <w:trPr>
          <w:trHeight w:val="459"/>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18"/>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486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CEO and Director</w:t>
            </w:r>
          </w:p>
        </w:tc>
      </w:tr>
      <w:tr>
        <w:trPr>
          <w:trHeight w:val="22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Ann E. Thornton</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tc>
      </w:tr>
      <w:tr>
        <w:trPr>
          <w:trHeight w:val="229"/>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Bojarski</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 Americas &amp; Asia</w:t>
            </w:r>
          </w:p>
        </w:tc>
      </w:tr>
      <w:tr>
        <w:trPr>
          <w:trHeight w:val="230"/>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Thomas F. DeBruine</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T. Gorman</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2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Brett Wilms</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 EMEA &amp; Australia</w:t>
            </w:r>
          </w:p>
        </w:tc>
      </w:tr>
      <w:tr>
        <w:trPr>
          <w:trHeight w:val="23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Joanne Collins Smee</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M. Hix</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Vineet Nargolwala</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Russell R. Shaller – </w:t>
      </w:r>
      <w:r>
        <w:rPr>
          <w:rFonts w:ascii="Times New Roman" w:cs="Times New Roman" w:eastAsia="Times New Roman" w:hAnsi="Times New Roman"/>
          <w:sz w:val="18"/>
          <w:szCs w:val="18"/>
          <w:color w:val="auto"/>
        </w:rPr>
        <w:t>Mr. Shaller joined the Company in 2015 and has served on the Company’s Board of Directors and as the Company’s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CEO since April 2022 after serving as the Company’s Senior Vice President and President - Identification Solutions from 2015 to 2022. From 2008 to 2015, he served as President, Teledyne Microwave Solutions. Before joining Teledyne,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 In 2023, Mr. Shaller was elected to the Board of Directors of Quaker Houghton (NYSE: KWR). Mr. Shaller holds a bachelor’s degree in electrical engineering from the University of Michigan, a master’s degree in electrical engineering from Johns Hopkins University and a master’s degree in business administration from the University of Delaware.</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Ann E. Thornton – </w:t>
      </w:r>
      <w:r>
        <w:rPr>
          <w:rFonts w:ascii="Times New Roman" w:cs="Times New Roman" w:eastAsia="Times New Roman" w:hAnsi="Times New Roman"/>
          <w:sz w:val="18"/>
          <w:szCs w:val="18"/>
          <w:color w:val="auto"/>
        </w:rPr>
        <w:t>Ms. Thornton joined the Company in 2009 and was named Chief Financial Officer and Treasurer in April 2023 after serving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Brady’s Chief Accounting Officer since 2016 and Corporate Controller and Director of Investor Relations since 2015. She held the positions of Corporate Accounting Supervisor, Corporate Accounting Manager, External Reporting Manager, Corporate Finance Manager and Director of Global Accounting from 2009 to 2014. Prior to joining the Company, Ms. Thornton was an auditor with PricewaterhouseCoopers from 2005 to 2009. She has a bachelor's degree in business administration and a master of accountancy degree from the University of Wisconsin - Madison and is a certified public accountant.</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Olivier Bojarski – </w:t>
      </w:r>
      <w:r>
        <w:rPr>
          <w:rFonts w:ascii="Times New Roman" w:cs="Times New Roman" w:eastAsia="Times New Roman" w:hAnsi="Times New Roman"/>
          <w:sz w:val="18"/>
          <w:szCs w:val="18"/>
          <w:color w:val="auto"/>
        </w:rPr>
        <w:t>Mr. Bojarski joined the Company in August 2022 as President – Identification Solutions, before assuming the role of President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Americas &amp; Asia in February 2023. From 2016 to 2022, Mr. Bojarski held several positions of increasing responsibility at Belden Incorporated and served as Executive Vice President, Broadband and 5G from 2019 to 2022. Before joining Belden, Mr. Bojarski was General Manager of a business unit within the electrification division of ABB Ltd. Prior to joining ABB, Mr. Bojarski held a number of positions of increasing responsibility at Panduit Corporation. He holds 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bachelor’s degree in electrical engineering from the Georgia Institute of Technology and a master’s degree in business administration from Georgia State University.</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Thomas F. DeBruine </w:t>
      </w:r>
      <w:r>
        <w:rPr>
          <w:rFonts w:ascii="Times New Roman" w:cs="Times New Roman" w:eastAsia="Times New Roman" w:hAnsi="Times New Roman"/>
          <w:sz w:val="18"/>
          <w:szCs w:val="18"/>
          <w:color w:val="auto"/>
        </w:rPr>
        <w:t>- Mr. DeBruine joined the Company in November 2000 and was named Chief Operating Officer in June 2024 after serving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Global Operations since 2022 and Director of Operations - Americas since 2016. Prior to 2016, Mr. DeBruine held local, regional and global roles in manufacturing, procurement and engineering within the Company. Prior to joining the Company, Mr. DeBruine held various operating leadership roles in automotive tier one supply and electric motor manufacturing industries. He holds a bachelor of science degree in industrial technology from the University of Wisconsin – Platteville.</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Andrew T. Gorman – </w:t>
      </w:r>
      <w:r>
        <w:rPr>
          <w:rFonts w:ascii="Times New Roman" w:cs="Times New Roman" w:eastAsia="Times New Roman" w:hAnsi="Times New Roman"/>
          <w:sz w:val="18"/>
          <w:szCs w:val="18"/>
          <w:color w:val="auto"/>
        </w:rPr>
        <w:t>Mr. Gorman joined the Company as General Counsel and Corporate Secretary in April 2020. Prior to joining the Company,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employed at AptarGroup, Inc., beginning in 2012. At AptarGroup, he served as Vice President, General Counsel, North America, Compliance Officer and Assistant Secretary. Before joining AptarGroup, he counseled corporate clients in private practice, including as an attorney at Mayer Brown, LLP in Chicago, where Mr. Gorman started his legal career. He holds a juris doctor from Loyola University Chicago School of Law, a master in professional accounting from The University of Texas at Austin, a bachelor of business administration from The University of Texas at Austin and is a certified public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accountant</w:t>
      </w:r>
      <w:r>
        <w:rPr>
          <w:rFonts w:ascii="Times New Roman" w:cs="Times New Roman" w:eastAsia="Times New Roman" w:hAnsi="Times New Roman"/>
          <w:sz w:val="21"/>
          <w:szCs w:val="21"/>
          <w:i w:val="1"/>
          <w:iCs w:val="1"/>
          <w:color w:val="auto"/>
        </w:rPr>
        <w:t>.</w:t>
      </w:r>
    </w:p>
    <w:p>
      <w:pPr>
        <w:spacing w:after="0" w:line="15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Brett Wilms – </w:t>
      </w:r>
      <w:r>
        <w:rPr>
          <w:rFonts w:ascii="Times New Roman" w:cs="Times New Roman" w:eastAsia="Times New Roman" w:hAnsi="Times New Roman"/>
          <w:sz w:val="18"/>
          <w:szCs w:val="18"/>
          <w:color w:val="auto"/>
        </w:rPr>
        <w:t>Brett Wilms joined the Company in June 2018 as Managing Director of Identification Solutions EMEA. In October 2022, Mr. Wilms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responsibility as the Interim General Manager of the Workplace Safety business, before being appointed to the role of President – EMEA &amp; Australia in February 2023. Prior to joining Brady, he was Managing Director of a business within Groupe Autajon, a French publicly-traded labels and packaging group with a primary focus on the pharmaceutical market. Before joining Groupe Autajon, Mr. Wilms was Vice President of Operations EMEA for Pentair, Inc. He holds a master’s degree in electrical engineering from the University of Brussels and a master’s degree in business administration from the University of Minnesota.</w:t>
      </w:r>
    </w:p>
    <w:p>
      <w:pPr>
        <w:spacing w:after="0" w:line="12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Patrick W. Allender – </w:t>
      </w:r>
      <w:r>
        <w:rPr>
          <w:rFonts w:ascii="Times New Roman" w:cs="Times New Roman" w:eastAsia="Times New Roman" w:hAnsi="Times New Roman"/>
          <w:sz w:val="18"/>
          <w:szCs w:val="18"/>
          <w:color w:val="auto"/>
        </w:rPr>
        <w:t>Mr. Allender was elected to the Board of Directors in 2007. He serves as the Chair of the Finance Committee and as a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Audit and Corporate Governance Committees. He served as Executive Vice President and CFO of Danaher Corporation from 1998 to 2005 and Executive Vice President from 2005 to 2007. He served as a director of Colfax Corporation (NYSE: CFX) from 2008 to 2022, when ESAB Corporation separated from Colfax Corporation. Mr. Allender joined ESAB Corporation’s (NYSE: ESAB) board in 2022, and currently serves as a director. Mr. Allender previously served as a director of Diebold Nixdorf, Inc. (NYSE: DBD) from 2011 to 2020. He has a bachelor's degree in accounting from Loyola University Maryland and is a certified public accountant. Mr. Allender's strong background in finance and accounting, as well as his past experience as the CFO of a public company, provides the Board with financial expertise and insight.</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David S. Bem, Ph.D – </w:t>
      </w:r>
      <w:r>
        <w:rPr>
          <w:rFonts w:ascii="Times New Roman" w:cs="Times New Roman" w:eastAsia="Times New Roman" w:hAnsi="Times New Roman"/>
          <w:sz w:val="18"/>
          <w:szCs w:val="18"/>
          <w:color w:val="auto"/>
        </w:rPr>
        <w:t>Dr. Bem was elected to the Board of Directors in 2019. He serves as a member of the Management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Audit and Technology Committees. Dr. Bem is Vice President, Science and Technology and Chief Technology Officer of PPG. Prior to PPG, he spent 8 years at Dow Chemical Company in a number of research and development roles, most recently as Vice President, Research and Development Consumer Solutions and Infrastructure Solutions, and also worked in research and development roles at Celanese Corporation and UOP/Honeywell International, Inc. He has a bachelor’s degree in chemistry from West Virginia University and a doctorate in inorganic chemistry from the Massachusetts Institute of Technology. Dr. Bem’s extensive experience in technology and research and development provides the Board with important expertise in new product development and innovation.</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Elizabeth P. Bruno, Ph.D – </w:t>
      </w:r>
      <w:r>
        <w:rPr>
          <w:rFonts w:ascii="Times New Roman" w:cs="Times New Roman" w:eastAsia="Times New Roman" w:hAnsi="Times New Roman"/>
          <w:sz w:val="18"/>
          <w:szCs w:val="18"/>
          <w:color w:val="auto"/>
        </w:rPr>
        <w:t>Dr. Bruno was elected to the Board of Directors in 2003. She serves as the Chair of the Corporate Governance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a member of the Finance and Technology Committees. Dr. Bruno is the President of the Brady Education Foundation in Chapel Hill, North Carolina. Dr. Bruno has a bachelor’s degree in psychology from the University of Rochester, a master of child clinical psychology degree from the University of North Carolina Chapel Hill and a doctorate in developmental psychology from the University of North Carolina Chapel Hill.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Joanne Collins Smee – </w:t>
      </w:r>
      <w:r>
        <w:rPr>
          <w:rFonts w:ascii="Times New Roman" w:cs="Times New Roman" w:eastAsia="Times New Roman" w:hAnsi="Times New Roman"/>
          <w:sz w:val="18"/>
          <w:szCs w:val="18"/>
          <w:color w:val="auto"/>
        </w:rPr>
        <w:t>Ms. Collins Smee was elected to the Board of Directors in 2022. She serves as a member of the Audit,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Compensation and Technology Committees. Ms. Collins Smee was the Executive Vice President and President, Americas, for Xerox Corporation and had been in this role from June 2022 until her retirement in 2023. She was also an Executive Vice President of Xerox Holdings Corporation during that same period. Previously, she was Chief Commercial, SMB and Channels Officer for Xerox from February 2020 to June 2022. Ms. Collins Smee joined Xerox in September 2018 as Senior Vice President and Chief Commercial Officer. Before Xerox, she led Technology Transformation Services for the U.S. Federal Government and spent more than two decades at IBM in global executive roles spanning client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delivery of technical products and services. Ms. Collins Smee has a bachelor’s degree of arts from Boston College, a master of business administration degree from New York University and a master of arts degree from Columbia University. Ms. Collins Smee’s extensive experience in high-technology global business and strong leadership skills, provides the Board with important expertise in product and services innovation.</w:t>
      </w:r>
    </w:p>
    <w:p>
      <w:pPr>
        <w:spacing w:after="0" w:line="12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Nancy L. Gioia – </w:t>
      </w:r>
      <w:r>
        <w:rPr>
          <w:rFonts w:ascii="Times New Roman" w:cs="Times New Roman" w:eastAsia="Times New Roman" w:hAnsi="Times New Roman"/>
          <w:sz w:val="18"/>
          <w:szCs w:val="18"/>
          <w:color w:val="auto"/>
        </w:rPr>
        <w:t>Ms. Gioia was elected to the Board of Directors in 2013. She serves as the Chair of the Management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is a member of the Technology Committee. She was the Director, Global Electrical Connectivity and User Experience for Ford Motor Company until her retirement in 2014, where she also held a variety of engineering and technology roles including, Director, Global Electrification; Director, Sustainable Mobility Technologies and Hybrid Vehicle Programs; Director, North America Current Vehicle Model Quality; Engineering Director, Visteon/Ford Due Diligence; Engineering Director, Small Front Wheel Drive/Rear Wheel Drive Car Platforms-North America; and Vehicle Programs Director, Lifestyle Vehicles. She previously served as director of Exelon Corporation (NYSE: EXC), Meggitt PLC (LSE: MGGT), Lucid Group, Inc. (NASDAQ: LCID) and as the Executive Director of Blue Current. She has served on the Board of Directors of Power Integrations (NASDAQ: POWI) since 2022. In 2024, she was elected to the Board of Directors of Exro Technologies Inc. (TSX: EXRO) (OTCQB: EXROF). Ms. Gioia has a bachelor’s degree in electrical engineering from the University of Michigan and a master of manufacturing systems engineering degree from Stanford University. Ms. Gioia has a CERT Certificate in Cyber-Risk Oversight from the National Association of Corporate Directors. Ms. Gioia's extensive experience in strategy, technology and engineering solutions, as well as in electrified vehicles, provides the Board with important expertise in product development and operations, and environmental sustainability for products and processes.</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Christopher M. Hix </w:t>
      </w:r>
      <w:r>
        <w:rPr>
          <w:rFonts w:ascii="Times New Roman" w:cs="Times New Roman" w:eastAsia="Times New Roman" w:hAnsi="Times New Roman"/>
          <w:sz w:val="18"/>
          <w:szCs w:val="18"/>
          <w:color w:val="auto"/>
        </w:rPr>
        <w:t>- Mr. Hix was elected to the Board of Directors in May 2024, and he serves as a member of the Audit and Finance Committees.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Executive Vice President and Chief Financial Officer of Enovis Corporation (NYSE: ENOV) from 2016 to 2022 (and its predecessor Colfax Corporation). He previously served as the Senior Vice President and Chief Financial Officer of OM Group, and as the Senior Vice President and Chief Financial Officer of Robbins &amp; Myers. Prior to Robbins &amp; Myers, he spent 14 years with Roper Industries (now Roper Technologies) in a variety of operating, financial and strategic roles. Mr. Hix served on the board of ESAB Corporation (NYSE: ESAB) from 2021 through 2024. Mr. Hix has a bachelor’s degree in business administration from the University of Southern California and a master of business administration from St. Mary’s College of California. He brings to the Company extensive knowledge and background in finance and global business operations from his past experiences as the CFO of public companies. Mr. Hix was originally identified as a director nominee by a third-party search firm through a process conducted by the Corporate Governance Committee of the Board of Directors.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Vineet Nargolwala – </w:t>
      </w:r>
      <w:r>
        <w:rPr>
          <w:rFonts w:ascii="Times New Roman" w:cs="Times New Roman" w:eastAsia="Times New Roman" w:hAnsi="Times New Roman"/>
          <w:sz w:val="18"/>
          <w:szCs w:val="18"/>
          <w:color w:val="auto"/>
        </w:rPr>
        <w:t>Mr. Nargolwala was elected to the Board of Directors in 2022. He serves as a member of the Finance and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Compensation Committees. Mr. Nargolwala is President, Chief Executive Officer and Director of Allegro MicroSystems, Inc. (NASDAQ: ALGM) and has been in these roles since June 2022. Prior to joining Allegro, Mr. Nargolwala was with Sensata Technologies from 2013 to June 2022, most recently serving as the Executive Vice President, Sensing Solutions, from March 2020 to June 2022. Before joining Sensata, he was with Honeywell International, Inc., in business strategy and leadership roles of increasing responsibility. Mr. Nargolwala has a bachelor’s degree in electrical engineering from Maharaja Sayajirao University, a master of science in electrical engineering from the University of Texas-Arlington and a master in business administration from Cornell University. Mr. Nargolwala’s extensive experience in high-technology global business and strong leadership skills, provides the Board with important expertise in product and services innovation.</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Bradley C. Richardson – </w:t>
      </w:r>
      <w:r>
        <w:rPr>
          <w:rFonts w:ascii="Times New Roman" w:cs="Times New Roman" w:eastAsia="Times New Roman" w:hAnsi="Times New Roman"/>
          <w:sz w:val="18"/>
          <w:szCs w:val="18"/>
          <w:color w:val="auto"/>
        </w:rPr>
        <w:t>Mr. Richardson was elected to the Board of Directors in 2007 and became Chairman of the Board in May 2021. He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 of the Board of Directors and the Chair of the Audit Committee and is a member of the Corporate Governance, Finance and Management Development and Compensation Committees. He served as the Executive Vice President and CFO of Avient Corporation from 2013 through 2020. He previously served as the Executive Vice President and CFO of Diebold, Inc. and as Executive Vice President Corporate Strategy and CFO of Modine Manufacturing. Prior to Modine, he spent 21 years with BP Amoco serving in various financial and operational roles. Mr. Richardson has served on the boards of Modine Manufacturing and Tronox, Inc. In 2023, Mr. Richardson was elected to the Board of Directors of Virco Mfg. Corporation (NASDAQ: VIRC). Mr. Richardson has a bachelor’s degree in finance and economics from Miami University and a master of business administration in accounting and finance from Indiana University. He brings to the Company extensive knowledge and global experience in the areas of operations, strategy, accounting, tax accounting and finance, which are areas of critical importance to the Company as a global company.</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Michelle E. Williams, Ph.D – </w:t>
      </w:r>
      <w:r>
        <w:rPr>
          <w:rFonts w:ascii="Times New Roman" w:cs="Times New Roman" w:eastAsia="Times New Roman" w:hAnsi="Times New Roman"/>
          <w:sz w:val="18"/>
          <w:szCs w:val="18"/>
          <w:color w:val="auto"/>
        </w:rPr>
        <w:t>Dr. Williams was elected to the Board of Directors in 2019. She serves as the Chair of the Technology Committee,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ESG Liaison and is a member of the Corporate Governance and Management Development and Compensation Committees. Dr. Williams served as Global Group President of Altuglas International, a subsidiary of Arkema S.A., through May 2021. Prior to joining Arkema in 2011, she spent 23 years with Rohm and Haas Company and Dow</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Chemical in manufacturing, commercial, strategy and general management positions. She was General Manager, Chemical Mechanical Polishing Technologies, and later, General Manager, Adhesives and Sealants. In 2023, Dr. Williams was elected to the Board of Directors of Cabot Corporation (NYSE: CBT). She has a bachelor’s degree in chemistry from Pace University and a doctorate in physical chemistry from the University of Utah. Dr. Williams’ experience in commercial, technology and business leadership roles provides the Board with important expertise in innovation, new product development and operations.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directors are elected to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Board Leadership Structure - </w:t>
      </w:r>
      <w:r>
        <w:rPr>
          <w:rFonts w:ascii="Times New Roman" w:cs="Times New Roman" w:eastAsia="Times New Roman" w:hAnsi="Times New Roman"/>
          <w:sz w:val="18"/>
          <w:szCs w:val="18"/>
          <w:color w:val="auto"/>
        </w:rPr>
        <w:t>The Board does not have a formal policy regarding the separation of the roles of Chief Executive Officer and Chair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as the Board believes it is in the best interest of the Company to make that determination based on the position and direction of the Company and the membership of the Board. Since September 2015, the Board’s leadership structure has included a non-executive Chair of the Board of Directors. Mr. Richardson, an independent director, currently serves in the position of non-executive Chair of the Board. The duties of the non-executive Chair include, among others: chairing meetings of the Board and executive sessions of the non-management directors; meeting periodically with the Chief Executive Officer and consulting as necessary with management on issues facing the Company; facilitating effective communication among the Chief Executive Officer and all members of the Board; and overseeing the Board's shareholder communication policies and procedures.</w:t>
      </w:r>
    </w:p>
    <w:p>
      <w:pPr>
        <w:spacing w:after="0" w:line="13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Board believes that its current leadership structure enhances the Board's oversight of, and independence from, Company management; the ability of the Board to carry out its roles and responsibilities on behalf of the Company’s shareholders; and the Company’s overall corporate governance.</w:t>
      </w:r>
    </w:p>
    <w:p>
      <w:pPr>
        <w:spacing w:after="0" w:line="1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Risk Oversight - </w:t>
      </w:r>
      <w:r>
        <w:rPr>
          <w:rFonts w:ascii="Times New Roman" w:cs="Times New Roman" w:eastAsia="Times New Roman" w:hAnsi="Times New Roman"/>
          <w:sz w:val="18"/>
          <w:szCs w:val="18"/>
          <w:color w:val="auto"/>
        </w:rPr>
        <w:t>The Board oversees the Company's risk management processes directly and through its committees. In general, the Board oversees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respective committee's areas of responsibility. Specifically, cybersecurity is a critical part of risk management for the Company. The Audit Committee is aware of the rapidly evolving nature of threats presented by cybersecurity incidents and is committed to the prevention, timely detection, and mitigation of the effects of any such incidents on the Company. In 2022, the Board elected Ms. Williams as the ESG Liaison to facilitate the Company's efforts in connection with sustainability and inclusivity. Additionally, the Audit Committee, Corporate Governance Committee, Management Development and Compensation Committee, Technology Committee and the ESG Liaison, each review certain risks, exposures and opportunities relating to the Company’s ESG strategies, initiatives, policies and practices. The Company's management is responsible for reporting significant risks to executive management as a part of the disclosure process. The significance of the risk is assessed by executive management and escalated to the respective Board committee or the Board of Directors as deemed appropriate. The Company reviews its risk assessment with the Audit Committee annually.</w:t>
      </w:r>
    </w:p>
    <w:p>
      <w:pPr>
        <w:spacing w:after="0" w:line="13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Financial Expert - </w:t>
      </w:r>
      <w:r>
        <w:rPr>
          <w:rFonts w:ascii="Times New Roman" w:cs="Times New Roman" w:eastAsia="Times New Roman" w:hAnsi="Times New Roman"/>
          <w:sz w:val="18"/>
          <w:szCs w:val="18"/>
          <w:color w:val="auto"/>
        </w:rPr>
        <w:t>The Board of Directors has determined that at least one Audit Committee financial expert is serving on its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Messrs. Richardson, Chair of the Audit Committee; Allender, member of the Audit Committee; and Hix, member of the Audit Committee, are financial experts under the rules of the SEC and financially literate and independent under the rules of the NYSE.</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 Independence - </w:t>
      </w:r>
      <w:r>
        <w:rPr>
          <w:rFonts w:ascii="Times New Roman" w:cs="Times New Roman" w:eastAsia="Times New Roman" w:hAnsi="Times New Roman"/>
          <w:sz w:val="18"/>
          <w:szCs w:val="18"/>
          <w:color w:val="auto"/>
        </w:rPr>
        <w:t>A majority of the directors must meet the criteria for independence established by the Board in accordance with the rules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Shaller, President and CEO,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After consideration of these factors, the Board concluded that the commercial relationships were not material and did not prevent the Company’s directors from being considered independent. Based on application of the NYSE independence criteria, all directors, with the exception of Mr. Shaller, are deemed independent. All members of the Audit, Management Development and Compensation, and Corporate Governance Committees are deemed independent.</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Meetings of Non-management Directors - </w:t>
      </w:r>
      <w:r>
        <w:rPr>
          <w:rFonts w:ascii="Times New Roman" w:cs="Times New Roman" w:eastAsia="Times New Roman" w:hAnsi="Times New Roman"/>
          <w:sz w:val="18"/>
          <w:szCs w:val="18"/>
          <w:color w:val="auto"/>
        </w:rPr>
        <w:t>The non-management directors of the Board regularly meet without any members of management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 of the Board, Mr. Richardson, is the presiding director at these sessions. In fiscal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2024, executive sessions were conducted at all regularly scheduled Board meetings. Interested parties can raise concerns to be addressed at these meetings by calling the confidential Brady hotline at 1-877-781-9309.</w:t>
      </w:r>
    </w:p>
    <w:p>
      <w:pPr>
        <w:spacing w:after="0" w:line="10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Members - </w:t>
      </w:r>
      <w:r>
        <w:rPr>
          <w:rFonts w:ascii="Times New Roman" w:cs="Times New Roman" w:eastAsia="Times New Roman" w:hAnsi="Times New Roman"/>
          <w:sz w:val="18"/>
          <w:szCs w:val="18"/>
          <w:color w:val="auto"/>
        </w:rPr>
        <w:t>The Audit Committee, which is a separately-designated standing committee of the Board of Directors, is composed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Messrs. Richardson (Chair), Allender, Bem and Hix and Ms. Collins Smee. Each member of the Audit Committee has been determined by the Board to be independent under the rules of the SEC and NYSE.</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Code of Ethics - </w:t>
      </w:r>
      <w:r>
        <w:rPr>
          <w:rFonts w:ascii="Times New Roman" w:cs="Times New Roman" w:eastAsia="Times New Roman" w:hAnsi="Times New Roman"/>
          <w:sz w:val="18"/>
          <w:szCs w:val="18"/>
          <w:color w:val="auto"/>
        </w:rPr>
        <w:t>The Company has a code of ethics. This code of ethics applies to all of the Company's employees, officers and directors. The code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ethics can be viewed at the Company's corporate website, www.bradyid.com, or may be obtained in print by any person, without charge, by contacting Brady Corporation, Investor Relations, P.O. Box 571, Milwaukee, WI 53201 by contacting </w:t>
      </w:r>
      <w:r>
        <w:rPr>
          <w:rFonts w:ascii="Times New Roman" w:cs="Times New Roman" w:eastAsia="Times New Roman" w:hAnsi="Times New Roman"/>
          <w:sz w:val="18"/>
          <w:szCs w:val="18"/>
          <w:u w:val="single" w:color="auto"/>
          <w:color w:val="0000FF"/>
        </w:rPr>
        <w:t>investor@bradycorp.com</w:t>
      </w:r>
      <w:r>
        <w:rPr>
          <w:rFonts w:ascii="Times New Roman" w:cs="Times New Roman" w:eastAsia="Times New Roman" w:hAnsi="Times New Roman"/>
          <w:sz w:val="18"/>
          <w:szCs w:val="18"/>
          <w:color w:val="auto"/>
        </w:rPr>
        <w:t>. The Company intends to satisfy the disclosure requirements under Item 5.05 of Form 8-K regarding an amendment to, or a waiver from, a provision of its code of ethics by placing such information on its website.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Insider Trading Policy - </w:t>
      </w:r>
      <w:r>
        <w:rPr>
          <w:rFonts w:ascii="Times New Roman" w:cs="Times New Roman" w:eastAsia="Times New Roman" w:hAnsi="Times New Roman"/>
          <w:sz w:val="18"/>
          <w:szCs w:val="18"/>
          <w:color w:val="auto"/>
        </w:rPr>
        <w:t>The Company’s Board of Directors has adopted insider trading policies and procedures governing the purchase, sale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of our securities by directors, officers and employees, that are reasonably designed to promote compliance with insider trading laws, rules and regulations, and any listing standards applicable to us. Our insider trading policy has been filed as Exhibit 19 to this Annual Report on Form 10-K. We reserve the right to purchase securities outside of the scope of the insider trading policy subject to compliance with applicable laws.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Governance Guidelines - </w:t>
      </w:r>
      <w:r>
        <w:rPr>
          <w:rFonts w:ascii="Times New Roman" w:cs="Times New Roman" w:eastAsia="Times New Roman" w:hAnsi="Times New Roman"/>
          <w:sz w:val="18"/>
          <w:szCs w:val="18"/>
          <w:color w:val="auto"/>
        </w:rPr>
        <w:t>Brady's Corporate Governance Principles, as well as the charters of the Audit, Corporate Governance,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Management Development and Compensation, and Technology Committees, are available on the Company's Corporate website, www.bradyid.com. Shareholders may request printed copies of these documents from Brady Corporation, Investor Relations, P.O. Box 571, Milwaukee, WI 53201 or by contacting </w:t>
      </w:r>
      <w:r>
        <w:rPr>
          <w:rFonts w:ascii="Times New Roman" w:cs="Times New Roman" w:eastAsia="Times New Roman" w:hAnsi="Times New Roman"/>
          <w:sz w:val="18"/>
          <w:szCs w:val="18"/>
          <w:u w:val="single" w:color="auto"/>
          <w:color w:val="0000FF"/>
        </w:rPr>
        <w:t>investor@bradycorp.com</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Director Qualifications - </w:t>
      </w:r>
      <w:r>
        <w:rPr>
          <w:rFonts w:ascii="Times New Roman" w:cs="Times New Roman" w:eastAsia="Times New Roman" w:hAnsi="Times New Roman"/>
          <w:sz w:val="18"/>
          <w:szCs w:val="18"/>
          <w:color w:val="auto"/>
        </w:rPr>
        <w:t>Brady's Corporate Governance Committee reviews the individual skills and characteristics of the directors,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 The Board does not discriminate on the basis of race, national origin, gender, religion, disability, or sexual orientation in selecting director candidates.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Company’s knowledge, based solely on a review of the Section 16(a) filings and written representations that no other reports were required, during the fiscal year ended July 31, 2024, all Section 16(a) filing requirements were complied with applicable to the Company's officers, directors and greater than 10 percent beneficial owners.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Compensation Discussion and Analysis describes the Company's executive compensation pay-for-performance philosophy and practices, the elements of our executive compensation programs, and the compensation decisions the Management Development and Compensation Committee (the “Committee”) has made under those programs and the factors considered in making those decisions. The Compensation Discussion and Analysis also analyzes the total compensation of Brady’s Chief Executive Officer (principal executive officer), Chief Financial Officer (principal financial officer), and the three other most highly compensated executive officers that were serving as executive officers as of July 31, 2024.</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fiscal 2024, the following named executive officers' (the “NEOs”) compensation is disclosed and discussed in this section:</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Russell R. Shaller, President, Chief Executive Officer and Director;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E. Thornton, Chief Financial Officer, Chief Accounting Officer and Treasurer;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Olivier Bojarski, President - Americas &amp; Asia;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F. DeBruine, Chief Operating Officer;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T. Gorman, General Counsel and Secretary.</w:t>
      </w:r>
    </w:p>
    <w:p>
      <w:pPr>
        <w:spacing w:after="0" w:line="14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Appointment of Thomas F. DeBruine: </w:t>
      </w:r>
      <w:r>
        <w:rPr>
          <w:rFonts w:ascii="Times New Roman" w:cs="Times New Roman" w:eastAsia="Times New Roman" w:hAnsi="Times New Roman"/>
          <w:sz w:val="18"/>
          <w:szCs w:val="18"/>
          <w:color w:val="auto"/>
        </w:rPr>
        <w:t>Mr. DeBruine was appointed as Chief Operating Officer of the Company, effective June 3, 2024. Prior to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 Mr. DeBruine served as Vice President of Global Operations for the Company.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Business Highlights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Item 1 “General Development of Business” for a business overview and key initiatives during fiscal 2024. Highlights for fiscal 2024 include:</w:t>
      </w:r>
    </w:p>
    <w:p>
      <w:pPr>
        <w:spacing w:after="0" w:line="171"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Class A Nonvoting Common Share was an all-time record high of $4.07 for the year ended July 31, 2024, an increase of 16.0% from fiscal 2023 Net income per diluted Class A Nonvoting Common Share of $3.51.</w:t>
      </w: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was $247.8 million for the year ended July 31, 2024, an increase of $22.1 million (9.8%) from fiscal 2023 income before income taxes of $225.7 million.</w:t>
      </w: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$1,341.4 million in fiscal 2024 compared to $1,331.9 million in fiscal 2023, an increase of 0.7%. Organic sales increased sales 2.6% and foreign currency translation increased sales 0.2%, while divestitures decreased sales 2.1%.</w:t>
      </w:r>
    </w:p>
    <w:p>
      <w:pPr>
        <w:spacing w:after="0" w:line="1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Item 7 “Management's Discussion and Analysis of Financial Condition and Results of Operations” for further discussion of fiscal 2024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Executive Summary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fiscal 2024, the Board of Directors approved a 10.0% increase in base salary for Mr. Shaller. In addition, Mr. Shaller recommended and the Committee approved increases in base salary for Ms. Thornton and Messrs. Bojarski, DeBruine and Gorman. All increases were made to recognize the performance, current scope of responsibilities and peer company data for each executive and, with regard to Ms. Thornton and Mr. Shaller, to better align their base salary with individuals holding comparable positions at peer companies. Effective June 3, 2024, Mr. DeBruine was appointed as Chief Operating Officer of the Company. As part of Mr. DeBruine's appointment, he was awarded a 30.4% increase in his base salary.</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 change from prior fiscal years, the Company's fiscal 2024 annual equity grants consisted of 50% time-based restricted stock units (“RSUs”) and 50% performance-based restricted stock units (“PRSUs”) to align executive compensation with the creation of long-term shareholder value. The RSUs vest equally over three years and are intended to facilitate retention and align with the creation of long-term shareholder value. The PRSUs reinforce the Company's pay-for-performance philosophy because award payout increases and decreases based on Company performance. Specifically, the PRSU awards granted in fiscal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2024 will vest based on achievement of performance conditions relating to Company revenue and diluted earnings per share (“EPS”) targets as set forth in the below table:</w:t>
      </w:r>
    </w:p>
    <w:p>
      <w:pPr>
        <w:spacing w:after="0" w:line="153" w:lineRule="exact"/>
        <w:rPr>
          <w:sz w:val="20"/>
          <w:szCs w:val="20"/>
          <w:color w:val="auto"/>
        </w:rPr>
      </w:pPr>
    </w:p>
    <w:tbl>
      <w:tblPr>
        <w:tblLayout w:type="fixed"/>
        <w:tblInd w:w="2440" w:type="dxa"/>
        <w:tblCellMar>
          <w:top w:w="0" w:type="dxa"/>
          <w:left w:w="0" w:type="dxa"/>
          <w:bottom w:w="0" w:type="dxa"/>
          <w:right w:w="0" w:type="dxa"/>
        </w:tblCellMar>
      </w:tblP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24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Weighting</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August 1, 2023 through July 31, 2024</w:t>
            </w:r>
          </w:p>
        </w:tc>
        <w:tc>
          <w:tcPr>
            <w:tcW w:w="24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2024 through July 31, 2025</w:t>
            </w:r>
          </w:p>
        </w:tc>
        <w:tc>
          <w:tcPr>
            <w:tcW w:w="24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August 1, 2024 through July 31, 2026</w:t>
            </w:r>
          </w:p>
        </w:tc>
        <w:tc>
          <w:tcPr>
            <w:tcW w:w="24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2023 through July 31, 2026</w:t>
            </w:r>
          </w:p>
        </w:tc>
        <w:tc>
          <w:tcPr>
            <w:tcW w:w="24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Payout opportunities will range from 0% to 200% of the target award at the end of the three-year performance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part of the Company's pay-for-performance philosophy, the Company's compensation program includes several features that maintain alignment with shareholders: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Emphasis on Variable Compensation</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significant portion of each NEO's total compensation opportunity is tied to Company performance, which is</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intended to drive shareholder value.</w:t>
            </w:r>
          </w:p>
        </w:tc>
      </w:tr>
      <w:tr>
        <w:trPr>
          <w:trHeight w:val="29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Ownership Requirements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believes that the interests of shareholders and executives are aligned when executives are</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shareholders in possession of a meaningful amount of Company stock. Furthermore, stock ownership</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requirements encourage positive performance behaviors and discourage executive officers from taking</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excessive risk. In order to encourage our executive officers and directors to acquire and retain ownership of a</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significant number of shares of the Company's stock, stock ownership requirements have been established and</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are equal to a specified multiple of the executive officer's base salary. Our NEOs are expected to obtain the</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required ownership levels within five years of becoming an executive officer. Refer to the heading "Stock</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w w:val="99"/>
              </w:rPr>
              <w:t>Ownership Requirements" for further discussion of the stock ownership requirements established for each NEO</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and the actions that the Company may take when an executive is not in compliance with his or her respective</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ownership requirement.</w:t>
            </w:r>
          </w:p>
        </w:tc>
      </w:tr>
      <w:tr>
        <w:trPr>
          <w:trHeight w:val="27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Clawback Provisions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During fiscal 2024, the Committee adopted the Brady Corporation Incentive Recovery Policy, which requires</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Company to recover the amount of erroneously awarded incentive-based compensation received by certain</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covered officers, including the NEOs, in the event of certain accounting restatements. The Incentive Recovery</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Policy satisfies NYSE listing requirements implementing SEC rules adopted under the Dodd-Frank Wall Street</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and Consumer Protection Act and applies to incentive-based compensation received on or after the effective</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date required by the listing requirements. The Incentive Recovery Policy is filed as Exhibit 97 to this Annual</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 on Form 10-K and incorporated by reference.</w:t>
            </w:r>
          </w:p>
        </w:tc>
      </w:tr>
      <w:tr>
        <w:trPr>
          <w:trHeight w:val="301"/>
        </w:trPr>
        <w:tc>
          <w:tcPr>
            <w:tcW w:w="3020" w:type="dxa"/>
            <w:vAlign w:val="bottom"/>
          </w:tcPr>
          <w:p>
            <w:pPr>
              <w:spacing w:after="0"/>
              <w:rPr>
                <w:sz w:val="24"/>
                <w:szCs w:val="24"/>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addition to the Incentive Recovery Policy, there is a recoupment policy under which incentive compensation</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payments and/or awards may be recouped by the Company if such payments and/or awards were based on</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9"/>
              </w:rPr>
              <w:t>erroneous results. The recoupment policy applies to executive officers and other key executives who participate</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in any of the Company's incentive plans and i) have engaged in intentional misconduct that results in a material</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inaccuracy in the Company's financial statements, ii) have engaged in fraudulent or other willful and deliberate</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conduct that is detrimental to the Company or iii) there is a material, negative revision of a performance</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measure for which incentive compensation was paid or awarded. Under the recoupment policy, the Committee</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may take a variety of actions including, among others, seeking repayment of incentive compensation (cash</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and/or equity) that is greater than what would have been awarded if the compensation had been based on</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accurate results and the forfeiture of incentive compensation. As this policy suggests, the Committee believes</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that any incentive compensation should be based only on accurate and reliable financial and operational</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information, and, thus, any inappropriately paid incentive compensation should be returned to the Company for</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benefit of shareholders. The Committee believes that this recoupment policy enhances the Company's</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risk mitigation efforts.</w:t>
            </w:r>
          </w:p>
        </w:tc>
      </w:tr>
      <w:tr>
        <w:trPr>
          <w:trHeight w:val="28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Thresholds and Caps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Excessive risk-taking is mitigated by utilizing caps on incentive plan payouts, multiple performance metrics,</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and different performance metrics for our annual cash incentive program and PRSUs. Our cash incentive</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awards are determined based on financial results for organic revenue, income before income taxes, division</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organic revenue and division operating income, which aggregate to a maximum payout of 200% of target.</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Executive officers then receive a performance rating that results in a multiplier ranging from 0% to 150%,</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resulting in a maximum payout of 300% of target.</w:t>
            </w:r>
          </w:p>
        </w:tc>
      </w:tr>
      <w:tr>
        <w:trPr>
          <w:trHeight w:val="297"/>
        </w:trPr>
        <w:tc>
          <w:tcPr>
            <w:tcW w:w="3020" w:type="dxa"/>
            <w:vAlign w:val="bottom"/>
          </w:tcPr>
          <w:p>
            <w:pPr>
              <w:spacing w:after="0"/>
              <w:rPr>
                <w:sz w:val="24"/>
                <w:szCs w:val="24"/>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grant  equity  compensation  to  executive  officers  that  promotes  long-term  financial  and  operating</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performance by delivering incremental value to the extent that our stock price increases over time. PRSUs</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incorporate Company performance relative to a benchmark over a three-year period and have a maximum</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payout of 200% of target.</w:t>
            </w:r>
          </w:p>
        </w:tc>
      </w:tr>
      <w:tr>
        <w:trPr>
          <w:trHeight w:val="27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Insider  Trading  and  Anti-Hedging</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Insider Trading Policy prohibits executive officers from trading during certain periods each quarter until</w:t>
            </w:r>
          </w:p>
        </w:tc>
      </w:tr>
      <w:tr>
        <w:trPr>
          <w:trHeight w:val="184"/>
        </w:trPr>
        <w:tc>
          <w:tcPr>
            <w:tcW w:w="3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Policy</w:t>
            </w: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after we publicly disclose our financial and operating results. We may impose additional restricted trading</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periods at any time if we believe trading by executives would be inappropriate because of developments that</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are, or could be, material and which have not been publicly disclosed. The Insider Trading Policy also prohibits</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pledging of Company stock as collateral for loans, holding Company securities in a margin account by</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officers, directors or employees, and the hedging of Company securities.</w:t>
            </w:r>
          </w:p>
        </w:tc>
      </w:tr>
      <w:tr>
        <w:trPr>
          <w:trHeight w:val="28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Risk Reviews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conducts an annual compensation-related risk review and presents findings and suggested risk</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mitigation actions to both the Audit and Management Development and Compensation Committees.</w:t>
            </w:r>
          </w:p>
        </w:tc>
      </w:tr>
      <w:tr>
        <w:trPr>
          <w:trHeight w:val="873"/>
        </w:trPr>
        <w:tc>
          <w:tcPr>
            <w:tcW w:w="3020" w:type="dxa"/>
            <w:vAlign w:val="bottom"/>
          </w:tcPr>
          <w:p>
            <w:pPr>
              <w:spacing w:after="0"/>
              <w:rPr>
                <w:sz w:val="24"/>
                <w:szCs w:val="24"/>
                <w:color w:val="auto"/>
              </w:rPr>
            </w:pPr>
          </w:p>
        </w:tc>
        <w:tc>
          <w:tcPr>
            <w:tcW w:w="822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65</w:t>
            </w:r>
          </w:p>
        </w:tc>
      </w:tr>
      <w:tr>
        <w:trPr>
          <w:trHeight w:val="115"/>
        </w:trPr>
        <w:tc>
          <w:tcPr>
            <w:tcW w:w="3020" w:type="dxa"/>
            <w:vAlign w:val="bottom"/>
            <w:tcBorders>
              <w:bottom w:val="single" w:sz="8" w:color="9A9A9A"/>
            </w:tcBorders>
          </w:tcPr>
          <w:p>
            <w:pPr>
              <w:spacing w:after="0"/>
              <w:rPr>
                <w:sz w:val="10"/>
                <w:szCs w:val="10"/>
                <w:color w:val="auto"/>
              </w:rPr>
            </w:pPr>
          </w:p>
        </w:tc>
        <w:tc>
          <w:tcPr>
            <w:tcW w:w="8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Company’s compensation programs also maintain alignment with shareholders by not including certain features:</w:t>
      </w:r>
    </w:p>
    <w:p>
      <w:pPr>
        <w:sectPr>
          <w:pgSz w:w="11900" w:h="16838" w:orient="portrait"/>
          <w:cols w:equalWidth="0" w:num="1">
            <w:col w:w="11240"/>
          </w:cols>
          <w:pgMar w:left="320" w:top="118" w:right="339" w:bottom="1440" w:gutter="0" w:footer="0" w:header="0"/>
        </w:sectPr>
      </w:pPr>
    </w:p>
    <w:p>
      <w:pPr>
        <w:spacing w:after="0" w:line="223" w:lineRule="exact"/>
        <w:rPr>
          <w:sz w:val="20"/>
          <w:szCs w:val="20"/>
          <w:color w:val="auto"/>
        </w:rPr>
      </w:pPr>
    </w:p>
    <w:p>
      <w:pPr>
        <w:ind w:left="20" w:right="20"/>
        <w:spacing w:after="0" w:line="237" w:lineRule="auto"/>
        <w:rPr>
          <w:sz w:val="20"/>
          <w:szCs w:val="20"/>
          <w:color w:val="auto"/>
        </w:rPr>
      </w:pPr>
      <w:r>
        <w:rPr>
          <w:rFonts w:ascii="Times New Roman" w:cs="Times New Roman" w:eastAsia="Times New Roman" w:hAnsi="Times New Roman"/>
          <w:sz w:val="18"/>
          <w:szCs w:val="18"/>
          <w:color w:val="auto"/>
        </w:rPr>
        <w:t>No Excessive Change of Control Payments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Messrs. Shaller, Bojarski and DeBruine and Ms. Thornton's maximum cash benefit is equal to two times their base salary and two times their target annual cash incentive in the year in which the termination occurs. For all</w:t>
      </w:r>
    </w:p>
    <w:p>
      <w:pPr>
        <w:spacing w:after="0" w:line="1" w:lineRule="exact"/>
        <w:rPr>
          <w:sz w:val="20"/>
          <w:szCs w:val="20"/>
          <w:color w:val="auto"/>
        </w:rPr>
      </w:pPr>
    </w:p>
    <w:p>
      <w:pPr>
        <w:sectPr>
          <w:pgSz w:w="11900" w:h="16838" w:orient="portrait"/>
          <w:cols w:equalWidth="0" w:num="2">
            <w:col w:w="2420" w:space="720"/>
            <w:col w:w="8100"/>
          </w:cols>
          <w:pgMar w:left="320" w:top="118" w:right="339" w:bottom="1440" w:gutter="0" w:footer="0" w:header="0"/>
          <w:type w:val="continuous"/>
        </w:sectPr>
      </w:pPr>
    </w:p>
    <w:p>
      <w:pPr>
        <w:jc w:val="both"/>
        <w:ind w:left="3140" w:right="20"/>
        <w:spacing w:after="0" w:line="198" w:lineRule="auto"/>
        <w:rPr>
          <w:sz w:val="20"/>
          <w:szCs w:val="20"/>
          <w:color w:val="auto"/>
        </w:rPr>
      </w:pPr>
      <w:r>
        <w:rPr>
          <w:rFonts w:ascii="Times New Roman" w:cs="Times New Roman" w:eastAsia="Times New Roman" w:hAnsi="Times New Roman"/>
          <w:sz w:val="18"/>
          <w:szCs w:val="18"/>
          <w:color w:val="auto"/>
        </w:rPr>
        <w:t>other NEOs, their maximum cash benefit is equal to two times salary and two times the average annual cash incentive payment received in the three years immediately prior to the date the change of control occurs. In the event of a change of control, unexercised stock options become fully exercisable or, if canceled, each named</w:t>
      </w:r>
    </w:p>
    <w:p>
      <w:pPr>
        <w:spacing w:after="0" w:line="2" w:lineRule="exact"/>
        <w:rPr>
          <w:sz w:val="20"/>
          <w:szCs w:val="20"/>
          <w:color w:val="auto"/>
        </w:rPr>
      </w:pPr>
    </w:p>
    <w:p>
      <w:pPr>
        <w:ind w:left="3140" w:right="20"/>
        <w:spacing w:after="0" w:line="226" w:lineRule="auto"/>
        <w:rPr>
          <w:sz w:val="20"/>
          <w:szCs w:val="20"/>
          <w:color w:val="auto"/>
        </w:rPr>
      </w:pPr>
      <w:r>
        <w:rPr>
          <w:rFonts w:ascii="Times New Roman" w:cs="Times New Roman" w:eastAsia="Times New Roman" w:hAnsi="Times New Roman"/>
          <w:sz w:val="18"/>
          <w:szCs w:val="18"/>
          <w:color w:val="auto"/>
        </w:rPr>
        <w:t>executive officer shall be given cash or stock equal to the in-the-money value of the canceled stock options. In the event of a change of control, PRSUs and RSUs become fully vested at target.</w:t>
      </w:r>
    </w:p>
    <w:p>
      <w:pPr>
        <w:sectPr>
          <w:pgSz w:w="11900" w:h="16838" w:orient="portrait"/>
          <w:cols w:equalWidth="0" w:num="1">
            <w:col w:w="11240"/>
          </w:cols>
          <w:pgMar w:left="320" w:top="118" w:right="339" w:bottom="1440" w:gutter="0" w:footer="0" w:header="0"/>
          <w:type w:val="continuous"/>
        </w:sectPr>
      </w:pPr>
    </w:p>
    <w:p>
      <w:pPr>
        <w:spacing w:after="0" w:line="103"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Stock options issued are not repriced, replaced, or regranted through cancellation or by lowering the option price of a previously granted option.</w:t>
      </w:r>
    </w:p>
    <w:p>
      <w:pPr>
        <w:spacing w:after="0" w:line="118" w:lineRule="exact"/>
        <w:rPr>
          <w:sz w:val="20"/>
          <w:szCs w:val="20"/>
          <w:color w:val="auto"/>
        </w:rPr>
      </w:pPr>
    </w:p>
    <w:p>
      <w:pPr>
        <w:sectPr>
          <w:pgSz w:w="11900" w:h="16838" w:orient="portrait"/>
          <w:cols w:equalWidth="0" w:num="2">
            <w:col w:w="2520" w:space="620"/>
            <w:col w:w="8100"/>
          </w:cols>
          <w:pgMar w:left="320" w:top="118" w:right="339" w:bottom="1440" w:gutter="0" w:footer="0" w:header="0"/>
          <w:type w:val="continuous"/>
        </w:sectPr>
      </w:pPr>
    </w:p>
    <w:p>
      <w:pPr>
        <w:ind w:left="20"/>
        <w:spacing w:after="0" w:line="237" w:lineRule="auto"/>
        <w:rPr>
          <w:sz w:val="20"/>
          <w:szCs w:val="20"/>
          <w:color w:val="auto"/>
        </w:rPr>
      </w:pPr>
      <w:r>
        <w:rPr>
          <w:rFonts w:ascii="Times New Roman" w:cs="Times New Roman" w:eastAsia="Times New Roman" w:hAnsi="Times New Roman"/>
          <w:sz w:val="18"/>
          <w:szCs w:val="18"/>
          <w:color w:val="auto"/>
        </w:rPr>
        <w:t>Policies and Practices Relating to the Timing of Equity Awards</w:t>
      </w:r>
    </w:p>
    <w:p>
      <w:pPr>
        <w:spacing w:after="0" w:line="20" w:lineRule="exact"/>
        <w:rPr>
          <w:sz w:val="20"/>
          <w:szCs w:val="20"/>
          <w:color w:val="auto"/>
        </w:rPr>
      </w:pPr>
      <w:r>
        <w:rPr>
          <w:sz w:val="20"/>
          <w:szCs w:val="20"/>
          <w:color w:val="auto"/>
        </w:rPr>
        <w:br w:type="column"/>
      </w:r>
    </w:p>
    <w:p>
      <w:pPr>
        <w:ind w:right="20"/>
        <w:spacing w:after="0" w:line="237" w:lineRule="auto"/>
        <w:rPr>
          <w:sz w:val="20"/>
          <w:szCs w:val="20"/>
          <w:color w:val="auto"/>
        </w:rPr>
      </w:pPr>
      <w:r>
        <w:rPr>
          <w:rFonts w:ascii="Times New Roman" w:cs="Times New Roman" w:eastAsia="Times New Roman" w:hAnsi="Times New Roman"/>
          <w:sz w:val="18"/>
          <w:szCs w:val="18"/>
          <w:color w:val="auto"/>
        </w:rPr>
        <w:t>We generally grant annual equity-based awards during the first quarter of our fiscal year based on the Committee’s approval of the awards, although such timing may change from year to year. The Committee also</w:t>
      </w:r>
    </w:p>
    <w:p>
      <w:pPr>
        <w:spacing w:after="0" w:line="1" w:lineRule="exact"/>
        <w:rPr>
          <w:sz w:val="20"/>
          <w:szCs w:val="20"/>
          <w:color w:val="auto"/>
        </w:rPr>
      </w:pPr>
    </w:p>
    <w:p>
      <w:pPr>
        <w:sectPr>
          <w:pgSz w:w="11900" w:h="16838" w:orient="portrait"/>
          <w:cols w:equalWidth="0" w:num="2">
            <w:col w:w="2700" w:space="440"/>
            <w:col w:w="8100"/>
          </w:cols>
          <w:pgMar w:left="320" w:top="118" w:right="339" w:bottom="1440" w:gutter="0" w:footer="0" w:header="0"/>
          <w:type w:val="continuous"/>
        </w:sectPr>
      </w:pPr>
    </w:p>
    <w:p>
      <w:pPr>
        <w:jc w:val="both"/>
        <w:ind w:left="3140" w:right="20"/>
        <w:spacing w:after="0" w:line="198" w:lineRule="auto"/>
        <w:rPr>
          <w:sz w:val="20"/>
          <w:szCs w:val="20"/>
          <w:color w:val="auto"/>
        </w:rPr>
      </w:pPr>
      <w:r>
        <w:rPr>
          <w:rFonts w:ascii="Times New Roman" w:cs="Times New Roman" w:eastAsia="Times New Roman" w:hAnsi="Times New Roman"/>
          <w:sz w:val="18"/>
          <w:szCs w:val="18"/>
          <w:color w:val="auto"/>
        </w:rPr>
        <w:t>may consider and approve interim or mid-year grants, or grants made on another basis, from time to time based on business needs, changing compensation practices or other factors, in the discretion of the Committee. The Committee does not take into account material nonpublic information in determining the timing and terms of</w:t>
      </w:r>
    </w:p>
    <w:p>
      <w:pPr>
        <w:spacing w:after="0" w:line="2" w:lineRule="exact"/>
        <w:rPr>
          <w:sz w:val="20"/>
          <w:szCs w:val="20"/>
          <w:color w:val="auto"/>
        </w:rPr>
      </w:pPr>
    </w:p>
    <w:p>
      <w:pPr>
        <w:ind w:left="3140" w:right="20"/>
        <w:spacing w:after="0" w:line="226" w:lineRule="auto"/>
        <w:rPr>
          <w:sz w:val="20"/>
          <w:szCs w:val="20"/>
          <w:color w:val="auto"/>
        </w:rPr>
      </w:pPr>
      <w:r>
        <w:rPr>
          <w:rFonts w:ascii="Times New Roman" w:cs="Times New Roman" w:eastAsia="Times New Roman" w:hAnsi="Times New Roman"/>
          <w:sz w:val="18"/>
          <w:szCs w:val="18"/>
          <w:color w:val="auto"/>
        </w:rPr>
        <w:t>equity-based awards, and we have not timed the disclosure of material nonpublic information for the purpose of affecting the value of executive compensation.</w:t>
      </w:r>
    </w:p>
    <w:p>
      <w:pPr>
        <w:sectPr>
          <w:pgSz w:w="11900" w:h="16838" w:orient="portrait"/>
          <w:cols w:equalWidth="0" w:num="1">
            <w:col w:w="11240"/>
          </w:cols>
          <w:pgMar w:left="320" w:top="118"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seek to align the interests of our executives with those of our shareholders by evaluating performance on the basis of key financial measurements that we believe closely correlate to long-term shareholder value. To this end, we have structured our compensation program to accomplish the following:</w:t>
      </w:r>
    </w:p>
    <w:p>
      <w:pPr>
        <w:spacing w:after="0" w:line="10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Company to attract, retain, motivate, develop and reward talented executives;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compensation plans that are both internally equitable when comparing similar roles and levels within the Company and externally competitive when comparing to the external market and the Company’s designated peer group;</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appropriate balance between base salary and short-term and long-term incentive opportunities;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integrated compensation programs aligned to the Company’s annual and long-term financial goals and realized performance in order to reward the successful creation of long-term shareholder value;</w:t>
      </w: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individual initiative and achievement with the amount of compensation each executive receives reflective of the executive’s level of proficiency within his or her role and their level of sustained performance; and</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pay-for-performance philosophy where the level of rewards is aligned to Company performance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Development &amp; Compensation Committee’s Role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Committee is responsible for fulfilling the following responsibilities and duties:</w:t>
      </w:r>
    </w:p>
    <w:p>
      <w:pPr>
        <w:spacing w:after="0" w:line="17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monitor the compensation of the Company's CEO and executive officers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the CEO and executive officers and evaluate CEO and executive officer performance in light of those goals and objectives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executive compensation, benefits, policies and strategies to support corporate objectives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development process for executives and review development plans of key executives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compensation programs, policies and practices for potential risk and to ensure they do not foster excessive risk taking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Company's equity incentive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management regarding executive compensation</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an annual basis with respect to executive officers, the Committee approves base salary adjustments, long-term equity incentive awards, the annual cash incentives paid for the achievement of performance metrics in the prior fiscal year and the annual cash incentive performance targets for the upcoming fiscal year. In addition, the Committee annually reviews a summary of the elements of compensation for each executive officer in order to evaluate, among other items, how a potential change to an element of our compensation program would affect the respective executive officer's overall compensation. When a new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executive officer is hired, the Committee is involved in reviewing and approving base salary, annual incentive target, sign-on incentives, annual equity awards, and other aspects of the executive's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Consultants’ Role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Committee has historically utilized the services of an executive compensation consulting firm to assist with the review and evaluation of compensation levels and policies on a periodic basis, as well as to provide advice with respect to new or modified compensation programs. In fiscal 2024, the Committee utilized the services of Pay Governance LLC and Pearl Meyer as compensation consultants, each of which were determined to be independent by the Corporate Governance Committee. In fiscal 2024, the compensation consultants completed an analysis of the Company's current compensation peer group, reviewed the Company's short-term and long-term incentive framework relative to market trends and the Company's strategy and objectives, completed a peer group review of CEO annual total compensation, presented to the Board of Directors any significant regulatory changes and executive compensation trends, and worked on ad hoc compensation-related requests from the Management Development &amp; Compensation Committee throughout the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aid in determining compensation for fiscal 2024, management obtained compensation data on peer group executive officer compensation through a subscription with Equilar, Inc. and published survey data from various third parties. Our CEO, Mr. Shaller, used this data to make recommendations to the Committee concerning compensation for each executive officer other than himself. Mr. Shaller made no recommendation with respect to his own compensation. In setting compensation for each executive officer, the Committee takes into consideration these recommendations, along with Company results during the fiscal year, the level of responsibility and demonstrated leadership capability, third-party market compensation data, and the results of annual performance reviews which, for our CEO, included a self-assessment and feedback from his direct reports and each member of the Board of Directors. The Committee also took into consideration the recommendations of Pay Governance LLC with respect to compensation elements for the CEO. Mr. Shaller did not attend the portion of any meeting during which the Committee discussed matters related specifically to his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total compensation program includes five elements: base salary, annual cash incentives, long-term equity incentives, employee benefits, and perquisites. We use these elements of compensation to attract, retain, motivate, develop and reward our executives.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compensation philosophy is to allocate a significant portion of total compensation to long-term compensation (equity incentive awards) in order to align the achievement of performance goals for our executives with shareholder interests. For fiscal 2024, equity incentive awards comprised 67% of Mr. Shaller’s total target compensation in his role as President, Chief Executive Officer and Director of the Company and on average, 33% of the total target compensation of the other NEOs.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general, we target each NEO's total of base salary, annual cash incentive, and long-term equity incentive compensation elements to be at or near the market median (50th percentile) with an opportunity for above market median pay (generally up to the 75th percentile) if performance goals for annual and long-term incentives are achieved above target. Our compensation structure is balanced by the payment of below market median compensation to our NEOs when actual financial results or individual performance do not meet expected results. The following table describes the purpose of each compensation element and how that element is related to our pay-for-performance approach: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62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522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Performance Alignment</w:t>
            </w:r>
          </w:p>
        </w:tc>
      </w:tr>
      <w:tr>
        <w:trPr>
          <w:trHeight w:val="169"/>
        </w:trPr>
        <w:tc>
          <w:tcPr>
            <w:tcW w:w="22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120" w:type="dxa"/>
            <w:vAlign w:val="bottom"/>
          </w:tcPr>
          <w:p>
            <w:pPr>
              <w:spacing w:after="0"/>
              <w:rPr>
                <w:sz w:val="14"/>
                <w:szCs w:val="14"/>
                <w:color w:val="auto"/>
              </w:rPr>
            </w:pPr>
          </w:p>
        </w:tc>
        <w:tc>
          <w:tcPr>
            <w:tcW w:w="35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 fixed level of income used to attract and</w:t>
            </w:r>
          </w:p>
        </w:tc>
        <w:tc>
          <w:tcPr>
            <w:tcW w:w="120" w:type="dxa"/>
            <w:vAlign w:val="bottom"/>
          </w:tcPr>
          <w:p>
            <w:pPr>
              <w:spacing w:after="0"/>
              <w:rPr>
                <w:sz w:val="14"/>
                <w:szCs w:val="14"/>
                <w:color w:val="auto"/>
              </w:rPr>
            </w:pPr>
          </w:p>
        </w:tc>
        <w:tc>
          <w:tcPr>
            <w:tcW w:w="52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Base  salary  increase  depends  upon  individual  performance,  job</w:t>
            </w:r>
          </w:p>
        </w:tc>
      </w:tr>
      <w:tr>
        <w:trPr>
          <w:trHeight w:val="184"/>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retain  executives  by  compensating  for  the</w:t>
            </w:r>
          </w:p>
        </w:tc>
        <w:tc>
          <w:tcPr>
            <w:tcW w:w="5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proficiency and market competitiveness.</w:t>
            </w:r>
          </w:p>
        </w:tc>
      </w:tr>
      <w:tr>
        <w:trPr>
          <w:trHeight w:val="180"/>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primary functions and responsibilities of the</w:t>
            </w:r>
          </w:p>
        </w:tc>
        <w:tc>
          <w:tcPr>
            <w:tcW w:w="5220" w:type="dxa"/>
            <w:vAlign w:val="bottom"/>
          </w:tcPr>
          <w:p>
            <w:pPr>
              <w:spacing w:after="0"/>
              <w:rPr>
                <w:sz w:val="15"/>
                <w:szCs w:val="15"/>
                <w:color w:val="auto"/>
              </w:rPr>
            </w:pP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position.</w:t>
            </w:r>
          </w:p>
        </w:tc>
        <w:tc>
          <w:tcPr>
            <w:tcW w:w="5220" w:type="dxa"/>
            <w:vAlign w:val="bottom"/>
          </w:tcPr>
          <w:p>
            <w:pPr>
              <w:spacing w:after="0"/>
              <w:rPr>
                <w:sz w:val="20"/>
                <w:szCs w:val="20"/>
                <w:color w:val="auto"/>
              </w:rPr>
            </w:pPr>
          </w:p>
        </w:tc>
      </w:tr>
      <w:tr>
        <w:trPr>
          <w:trHeight w:val="27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cash incentive award</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attract,  retain,  motivate  and  reward</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performance and individual performance of each executive</w:t>
            </w:r>
          </w:p>
        </w:tc>
      </w:tr>
      <w:tr>
        <w:trPr>
          <w:trHeight w:val="184"/>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executives for achieving or exceeding annual</w:t>
            </w:r>
          </w:p>
        </w:tc>
        <w:tc>
          <w:tcPr>
            <w:tcW w:w="5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determines  the  amount  of  the  respective  executive's  annual  cash</w:t>
            </w:r>
          </w:p>
        </w:tc>
      </w:tr>
      <w:tr>
        <w:trPr>
          <w:trHeight w:val="180"/>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performance  goals  at  total  Company  and</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incentive award.</w:t>
            </w: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levels.</w:t>
            </w:r>
          </w:p>
        </w:tc>
        <w:tc>
          <w:tcPr>
            <w:tcW w:w="5220" w:type="dxa"/>
            <w:vAlign w:val="bottom"/>
          </w:tcPr>
          <w:p>
            <w:pPr>
              <w:spacing w:after="0"/>
              <w:rPr>
                <w:sz w:val="20"/>
                <w:szCs w:val="20"/>
                <w:color w:val="auto"/>
              </w:rPr>
            </w:pPr>
          </w:p>
        </w:tc>
      </w:tr>
      <w:tr>
        <w:trPr>
          <w:trHeight w:val="27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long-term equity</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attract,  retain,  motivate  and  reward</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assessment of executive leadership, experience and expected future</w:t>
            </w:r>
          </w:p>
        </w:tc>
      </w:tr>
      <w:tr>
        <w:trPr>
          <w:trHeight w:val="184"/>
        </w:trPr>
        <w:tc>
          <w:tcPr>
            <w:tcW w:w="24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incentive awards: RSUs and</w:t>
            </w:r>
          </w:p>
        </w:tc>
        <w:tc>
          <w:tcPr>
            <w:tcW w:w="36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executives for the successful creation of long-</w:t>
            </w:r>
          </w:p>
        </w:tc>
        <w:tc>
          <w:tcPr>
            <w:tcW w:w="5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contribution, combined with market data, are used to determine the</w:t>
            </w:r>
          </w:p>
        </w:tc>
      </w:tr>
      <w:tr>
        <w:trPr>
          <w:trHeight w:val="234"/>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shareholder value.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equity granted to each executive.</w:t>
            </w:r>
          </w:p>
        </w:tc>
      </w:tr>
      <w:tr>
        <w:trPr>
          <w:trHeight w:val="297"/>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are intended to facilitate retention and to align executives with</w:t>
            </w: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creation of long-term shareholder value.</w:t>
            </w:r>
          </w:p>
        </w:tc>
      </w:tr>
      <w:tr>
        <w:trPr>
          <w:trHeight w:val="306"/>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 are intended to align executives with long-term financial goals</w:t>
            </w: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the creation of long-term shareholder value.</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Benchmarking Total Compensation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Committee uses peer group data to assess the reasonableness and competitiveness of several elements of compensation, including base salaries, annual cash incentives, and long-term equity awards of positions similar to those of our NEOs. The guiding principles of the Company's peer group company selection process includes considerations for company size and scope, industry focus, operational scope, product and workforce. The following 18 companies were included in the fiscal 2024 total compensation analysis conducted using publicly available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Albany International Corp.</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Franklin Electric Co., Inc.</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Methode Electronics, Inc.</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Allegion plc</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Graco Inc.</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MSA Safety Incorporated</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Barnes Group Inc.</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Helios Technologies, Inc.</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Nordson Corporation</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EnPro Industries, Inc.</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IDEX Corporation</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Tennant Company</w:t>
            </w: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ESCO Technologies Inc.</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Ingevity Corporation</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TriMas Corporation</w:t>
            </w: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Signal Corp.</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Kadant Inc.</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Watts Water Technologies, Inc.</w:t>
            </w:r>
          </w:p>
        </w:tc>
      </w:tr>
      <w:tr>
        <w:trPr>
          <w:trHeight w:val="850"/>
        </w:trPr>
        <w:tc>
          <w:tcPr>
            <w:tcW w:w="2860" w:type="dxa"/>
            <w:vAlign w:val="bottom"/>
          </w:tcPr>
          <w:p>
            <w:pPr>
              <w:spacing w:after="0"/>
              <w:rPr>
                <w:sz w:val="24"/>
                <w:szCs w:val="24"/>
                <w:color w:val="auto"/>
              </w:rPr>
            </w:pPr>
          </w:p>
        </w:tc>
        <w:tc>
          <w:tcPr>
            <w:tcW w:w="37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68</w:t>
            </w:r>
          </w:p>
        </w:tc>
        <w:tc>
          <w:tcPr>
            <w:tcW w:w="464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Named Executive Officer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reflects the base salary for each NEO in effect at the end of each fiscal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31, 2023</w:t>
            </w:r>
          </w:p>
        </w:tc>
        <w:tc>
          <w:tcPr>
            <w:tcW w:w="2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Percentage Change</w:t>
            </w: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795,000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 E. Thornton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Bojarski</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5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Thomas F. DeBruine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T. Gorman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bl>
    <w:p>
      <w:pPr>
        <w:spacing w:after="0" w:line="238" w:lineRule="exact"/>
        <w:rPr>
          <w:sz w:val="20"/>
          <w:szCs w:val="20"/>
          <w:color w:val="auto"/>
        </w:rPr>
      </w:pPr>
    </w:p>
    <w:p>
      <w:pPr>
        <w:jc w:val="both"/>
        <w:ind w:left="660" w:hanging="328"/>
        <w:spacing w:after="0" w:line="266"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 2023, Mr. DeBruine received a base salary increase to $345,000 at the time annual raises were made to other NEOs. In connection with his appointment to Chief Operating Officer, Mr. DeBruine received a base salary increase to $450,000 to reflect his change in role and more closely align his compensation with market compensation for similar positions among our peer group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Awards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executives participate in an annual cash incentive plan. The Company is organized and managed on a global basis within two segments: Americas</w:t>
      </w:r>
    </w:p>
    <w:p>
      <w:pPr>
        <w:spacing w:after="0" w:line="27" w:lineRule="exact"/>
        <w:rPr>
          <w:sz w:val="20"/>
          <w:szCs w:val="20"/>
          <w:color w:val="auto"/>
        </w:rPr>
      </w:pPr>
    </w:p>
    <w:p>
      <w:pPr>
        <w:ind w:right="20" w:firstLine="8"/>
        <w:spacing w:after="0" w:line="260" w:lineRule="auto"/>
        <w:tabs>
          <w:tab w:leader="none" w:pos="2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 and Europe &amp; Australia. Annual cash incentive award payouts to Mr. Bojarski, President of Americas &amp; Asia, are primarily based on segment performance. Payouts to the other NEOs are based on total company performance.</w:t>
      </w:r>
    </w:p>
    <w:p>
      <w:pPr>
        <w:spacing w:after="0" w:line="1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and the Committee annually evaluate the performance metrics of the cash incentive award program, and concluded that the elements of the fiscal 2024 plan represent critical elements of the Company’s performance that when combined, are designed to result in sustainable long-term sales and profit growth. Set forth below is a description of the fiscal 2024 financial performance metrics for the annual cash incentive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604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NEO</w:t>
            </w:r>
          </w:p>
        </w:tc>
      </w:tr>
      <w:tr>
        <w:trPr>
          <w:trHeight w:val="169"/>
        </w:trPr>
        <w:tc>
          <w:tcPr>
            <w:tcW w:w="1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tcPr>
          <w:p>
            <w:pPr>
              <w:spacing w:after="0"/>
              <w:rPr>
                <w:sz w:val="14"/>
                <w:szCs w:val="14"/>
                <w:color w:val="auto"/>
              </w:rPr>
            </w:pPr>
          </w:p>
        </w:tc>
        <w:tc>
          <w:tcPr>
            <w:tcW w:w="59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sales is measured as total net sales calculated in accordance with U.S.</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35%</w:t>
            </w:r>
          </w:p>
        </w:tc>
        <w:tc>
          <w:tcPr>
            <w:tcW w:w="100" w:type="dxa"/>
            <w:vAlign w:val="bottom"/>
          </w:tcPr>
          <w:p>
            <w:pPr>
              <w:spacing w:after="0"/>
              <w:rPr>
                <w:sz w:val="14"/>
                <w:szCs w:val="14"/>
                <w:color w:val="auto"/>
              </w:rPr>
            </w:pPr>
          </w:p>
        </w:tc>
        <w:tc>
          <w:tcPr>
            <w:tcW w:w="19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Messrs. Shaller,</w:t>
            </w:r>
          </w:p>
        </w:tc>
      </w:tr>
      <w:tr>
        <w:trPr>
          <w:trHeight w:val="175"/>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GAAP, excluding the impact of foreign currency translation and any current year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DeBruine, Gorman and</w:t>
            </w: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Ms. Thornton</w:t>
            </w:r>
          </w:p>
        </w:tc>
      </w:tr>
      <w:tr>
        <w:trPr>
          <w:trHeight w:val="29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before</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 is defined as total net sales minus total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Messrs. Shaller,</w:t>
            </w:r>
          </w:p>
        </w:tc>
      </w:tr>
      <w:tr>
        <w:trPr>
          <w:trHeight w:val="175"/>
        </w:trPr>
        <w:tc>
          <w:tcPr>
            <w:tcW w:w="2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taxes</w:t>
            </w:r>
          </w:p>
        </w:tc>
        <w:tc>
          <w:tcPr>
            <w:tcW w:w="6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expenses before deducting income tax expense calculated in accordance with</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DeBruine, Gorman and</w:t>
            </w: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U.S. GAAP, excluding the impact of foreign currency translation and any current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Ms. Thornton</w:t>
            </w: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sales</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sales is measured as division net sales calculated in accordance with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Mr. Bojarski</w:t>
            </w:r>
          </w:p>
        </w:tc>
      </w:tr>
      <w:tr>
        <w:trPr>
          <w:trHeight w:val="175"/>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U.S. GAAP, excluding the impact of foreign currency translation and any current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9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operating</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operating income is measured as division net sales less cost of goods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Mr. Bojarski</w:t>
            </w:r>
          </w:p>
        </w:tc>
      </w:tr>
      <w:tr>
        <w:trPr>
          <w:trHeight w:val="176"/>
        </w:trPr>
        <w:tc>
          <w:tcPr>
            <w:tcW w:w="2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w:t>
            </w:r>
          </w:p>
        </w:tc>
        <w:tc>
          <w:tcPr>
            <w:tcW w:w="6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sold, selling expenses, research and development expenses, and administrative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expenses calculated in accordance with U.S. GAAP, excluding the impact of</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any current year 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 is measured as total net sales calculated in accordance with U.S.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Mr. Bojarski</w:t>
            </w:r>
          </w:p>
        </w:tc>
      </w:tr>
      <w:tr>
        <w:trPr>
          <w:trHeight w:val="175"/>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GAAP, excluding the impact of foreign currency translation and any current year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9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before</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 is defined as total net sales minus total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Mr. Bojarski</w:t>
            </w:r>
          </w:p>
        </w:tc>
      </w:tr>
      <w:tr>
        <w:trPr>
          <w:trHeight w:val="191"/>
        </w:trPr>
        <w:tc>
          <w:tcPr>
            <w:tcW w:w="202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income taxes</w:t>
            </w:r>
          </w:p>
        </w:tc>
        <w:tc>
          <w:tcPr>
            <w:tcW w:w="60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expenses before deducting income tax expense calculated in accordance with</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bl>
    <w:p>
      <w:pPr>
        <w:ind w:left="2040" w:right="3300"/>
        <w:spacing w:after="0" w:line="233" w:lineRule="auto"/>
        <w:rPr>
          <w:sz w:val="20"/>
          <w:szCs w:val="20"/>
          <w:color w:val="auto"/>
        </w:rPr>
      </w:pPr>
      <w:r>
        <w:rPr>
          <w:rFonts w:ascii="Times New Roman" w:cs="Times New Roman" w:eastAsia="Times New Roman" w:hAnsi="Times New Roman"/>
          <w:sz w:val="18"/>
          <w:szCs w:val="18"/>
          <w:color w:val="auto"/>
        </w:rPr>
        <w:t>U.S. GAAP, excluding the impact of foreign currency translation and any current year acquisitions or divestitures.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funding level of the fiscal 2024 annual cash incentive plan was determined based on the level of achievement of the annual sales and profit metrics described above compared to stated thresholds that were established at the beginning of the fiscal year. These thresholds are set forth in the tables below for each NEO. The annual cash incentive plan also includes a minimum profit threshold that must be exceeded in order for any cash incentive amount to be funded, regardless of the achievement of revenue. In addition, plan participants must be employed on the payment date to receive the payout of their annual incentive award.</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Individual contribution is determined by assessing the level of achievement of each NEO’s individual annual goals combined with his or her ability to deliver on the competencies needed to achieve those goals. The competencies include items such as optimizing work processes through continuous improvement initiatives, building strong customer relationships and providing excellent customer service, creating innovative new product solutions, valuing different perspectives and developing our people. Individual annual goals and competencies are included in each NEO’s performance assessment to ensure they are focused on initiatives within their area of responsibility that will increase both sales and profitability and drive long-term shareholder value.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our objective is to set goals that are quantitative and measurable, certain elements of the performance assessment may be subjective. Assessments and rating recommendations for all executive officers, except the CEO, are delivered to the Committee by the CEO in July. The CEO provides the Committee with a self-assessment of his own performance without a rating recommendation and the Committee conducts an annual review and evaluation process to determine the CEO's performance rating.</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rating system consists of five performance levels, each with a predetermined multiplier that is applied to the available annual cash incentive that is earned and payable based upon the NEO's contribution to the fiscal year objectives and their individual annual goals: Unsatisfactory - 0%; Needs Improvement - 50%; Fully Meets Objectives - 100%; Exceeds Objectives - 125%; and Outstanding - 150%. The annual cash incentive target is calculated as a percentage of the NEO’s eligible compensation, which is defined as base salary paid during the fiscal year. The achievement of the financial performance metrics defined in the table above is applied to this target for each NEO, and their individual performance rating is then applied, resulting in the annual cash incentive award. The following sections detail this calculation for each NEO.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Messrs. Shaller, DeBruine and Gorman and Ms. Thornton</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cash incentive payable to Messrs. Shaller, DeBruine and Gorman and Ms. Thornton for fiscal 2024 was based on total sales and income before income taxes. For fiscal 2024, an annual cash incentive was funded for the achievement of total sales and income before income taxes. The multiplier for individual performance was applied to the two components to arrive at the final cash incentive award achieved.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threshold, target, maximum and actual cash incentive award earned for Messrs. Shaller, DeBruine and Gorman and Ms. Thornton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4"/>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Fiscal 2024 Actual Results</w:t>
            </w:r>
          </w:p>
        </w:tc>
        <w:tc>
          <w:tcPr>
            <w:tcW w:w="1180" w:type="dxa"/>
            <w:vAlign w:val="bottom"/>
          </w:tcPr>
          <w:p>
            <w:pPr>
              <w:spacing w:after="0"/>
              <w:rPr>
                <w:sz w:val="16"/>
                <w:szCs w:val="16"/>
                <w:color w:val="auto"/>
              </w:rPr>
            </w:pPr>
          </w:p>
        </w:tc>
      </w:tr>
      <w:tr>
        <w:trPr>
          <w:trHeight w:val="23"/>
        </w:trPr>
        <w:tc>
          <w:tcPr>
            <w:tcW w:w="3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Performance Measure </w:t>
            </w:r>
            <w:r>
              <w:rPr>
                <w:rFonts w:ascii="Times New Roman" w:cs="Times New Roman" w:eastAsia="Times New Roman" w:hAnsi="Times New Roman"/>
                <w:sz w:val="14"/>
                <w:szCs w:val="14"/>
                <w:color w:val="auto"/>
              </w:rPr>
              <w:t>(weighting)</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Achievement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(35%)(millions)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2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$1,463.4 or more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Before Income Taxes (65%)</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$256.2 or more</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Varies</w:t>
            </w:r>
          </w:p>
        </w:tc>
        <w:tc>
          <w:tcPr>
            <w:tcW w:w="0" w:type="dxa"/>
            <w:vAlign w:val="bottom"/>
          </w:tcPr>
          <w:p>
            <w:pPr>
              <w:spacing w:after="0"/>
              <w:rPr>
                <w:sz w:val="1"/>
                <w:szCs w:val="1"/>
                <w:color w:val="auto"/>
              </w:rPr>
            </w:pPr>
          </w:p>
        </w:tc>
      </w:tr>
      <w:tr>
        <w:trPr>
          <w:trHeight w:val="137"/>
        </w:trPr>
        <w:tc>
          <w:tcPr>
            <w:tcW w:w="33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Fiscal 2024 Annual Cash Incentive Award:</w:t>
            </w:r>
          </w:p>
        </w:tc>
        <w:tc>
          <w:tcPr>
            <w:tcW w:w="11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720" w:type="dxa"/>
            <w:vAlign w:val="bottom"/>
            <w:gridSpan w:val="2"/>
            <w:shd w:val="clear" w:color="auto" w:fill="CCEEFF"/>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80" w:type="dxa"/>
            <w:vAlign w:val="bottom"/>
            <w:gridSpan w:val="2"/>
            <w:shd w:val="clear" w:color="auto" w:fill="CCEEFF"/>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360" w:type="dxa"/>
            <w:vAlign w:val="bottom"/>
            <w:gridSpan w:val="2"/>
            <w:shd w:val="clear" w:color="auto" w:fill="CCEEFF"/>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260" w:type="dxa"/>
            <w:vAlign w:val="bottom"/>
            <w:shd w:val="clear" w:color="auto" w:fill="CCEEFF"/>
          </w:tcPr>
          <w:p>
            <w:pPr>
              <w:jc w:val="right"/>
              <w:ind w:right="114"/>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0" w:type="dxa"/>
            <w:vAlign w:val="bottom"/>
          </w:tcPr>
          <w:p>
            <w:pPr>
              <w:spacing w:after="0"/>
              <w:rPr>
                <w:sz w:val="1"/>
                <w:szCs w:val="1"/>
                <w:color w:val="auto"/>
              </w:rPr>
            </w:pPr>
          </w:p>
        </w:tc>
      </w:tr>
      <w:tr>
        <w:trPr>
          <w:trHeight w:val="200"/>
        </w:trPr>
        <w:tc>
          <w:tcPr>
            <w:tcW w:w="33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2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R.R. Shaller</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$1,439,180</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A.E. Thornton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$439,146</w:t>
            </w:r>
          </w:p>
        </w:tc>
        <w:tc>
          <w:tcPr>
            <w:tcW w:w="0" w:type="dxa"/>
            <w:vAlign w:val="bottom"/>
          </w:tcPr>
          <w:p>
            <w:pPr>
              <w:spacing w:after="0"/>
              <w:rPr>
                <w:sz w:val="1"/>
                <w:szCs w:val="1"/>
                <w:color w:val="auto"/>
              </w:rPr>
            </w:pPr>
          </w:p>
        </w:tc>
      </w:tr>
      <w:tr>
        <w:trPr>
          <w:trHeight w:val="230"/>
        </w:trPr>
        <w:tc>
          <w:tcPr>
            <w:tcW w:w="3300" w:type="dxa"/>
            <w:vAlign w:val="bottom"/>
            <w:gridSpan w:val="2"/>
          </w:tcPr>
          <w:p>
            <w:pPr>
              <w:ind w:left="560"/>
              <w:spacing w:after="0" w:line="230" w:lineRule="exact"/>
              <w:rPr>
                <w:sz w:val="20"/>
                <w:szCs w:val="20"/>
                <w:color w:val="auto"/>
              </w:rPr>
            </w:pPr>
            <w:r>
              <w:rPr>
                <w:rFonts w:ascii="Times New Roman" w:cs="Times New Roman" w:eastAsia="Times New Roman" w:hAnsi="Times New Roman"/>
                <w:sz w:val="18"/>
                <w:szCs w:val="18"/>
                <w:color w:val="auto"/>
              </w:rPr>
              <w:t xml:space="preserve">T.F. DeBruine </w:t>
            </w:r>
            <w:r>
              <w:rPr>
                <w:rFonts w:ascii="Times New Roman" w:cs="Times New Roman" w:eastAsia="Times New Roman" w:hAnsi="Times New Roman"/>
                <w:sz w:val="23"/>
                <w:szCs w:val="23"/>
                <w:color w:val="auto"/>
                <w:vertAlign w:val="superscript"/>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$60,880</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 xml:space="preserve">T.F. DeBruine </w:t>
            </w:r>
            <w:r>
              <w:rPr>
                <w:rFonts w:ascii="Times New Roman" w:cs="Times New Roman" w:eastAsia="Times New Roman" w:hAnsi="Times New Roman"/>
                <w:sz w:val="23"/>
                <w:szCs w:val="23"/>
                <w:color w:val="auto"/>
                <w:vertAlign w:val="superscript"/>
              </w:rPr>
              <w:t>(2)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$246,016</w:t>
            </w:r>
          </w:p>
        </w:tc>
        <w:tc>
          <w:tcPr>
            <w:tcW w:w="0" w:type="dxa"/>
            <w:vAlign w:val="bottom"/>
          </w:tcPr>
          <w:p>
            <w:pPr>
              <w:spacing w:after="0"/>
              <w:rPr>
                <w:sz w:val="1"/>
                <w:szCs w:val="1"/>
                <w:color w:val="auto"/>
              </w:rPr>
            </w:pPr>
          </w:p>
        </w:tc>
      </w:tr>
      <w:tr>
        <w:trPr>
          <w:trHeight w:val="234"/>
        </w:trPr>
        <w:tc>
          <w:tcPr>
            <w:tcW w:w="3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A.T. Gorman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$342,957</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salary paid to Mr. DeBruine from June 3, 2024 to July 31, 2024 in his role as Chief Operating Officer.</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calculation is based upon salary paid to Mr. DeBruine from August 1, 2023 to June 3, 2024 in his role as Vice President of Global Operations.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Mr. Shaller's individual performance multiplier was the result of his contribution to several fiscal year objectives and individual annual goals as follows:</w:t>
      </w:r>
    </w:p>
    <w:p>
      <w:pPr>
        <w:spacing w:after="0" w:line="108" w:lineRule="exact"/>
        <w:rPr>
          <w:sz w:val="20"/>
          <w:szCs w:val="20"/>
          <w:color w:val="auto"/>
        </w:rPr>
      </w:pPr>
    </w:p>
    <w:p>
      <w:pPr>
        <w:jc w:val="both"/>
        <w:ind w:left="660" w:hanging="328"/>
        <w:spacing w:after="0" w:line="257"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 Objective focused on establishing a new strategic direction for the total company in order to drive long-term sales growth. The Company executed its reorganization to a regional operating structure during fiscal 2024 to take advantage of synergies within the regions, utilize its best go-to-market strategies, and accelerate new product development with increased geographic scale.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organic sales growth - Objective focused on delivering organic sales growth. The Company’s organic sales growth rate was 2.6% in fiscal 2024.</w:t>
      </w:r>
    </w:p>
    <w:p>
      <w:pPr>
        <w:jc w:val="both"/>
        <w:ind w:left="660" w:hanging="328"/>
        <w:spacing w:after="0" w:line="255"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income before income taxes - Objective focused on improving income before income taxes while making the investments for sustainable long-term organic sales growth. Income before income taxes improved from $225.7 million in fiscal 2023 to $247.8 million in fiscal 2024, while investments in R&amp;D increased from $61.4 million in fiscal 2023 to $67.7 million in fiscal 2024.</w:t>
      </w:r>
    </w:p>
    <w:p>
      <w:pPr>
        <w:spacing w:after="0" w:line="13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Shaller's performance, the Committee determined that Mr. Shaller's resulting performance level was 125% for his individual performance multiplier.</w:t>
      </w:r>
    </w:p>
    <w:p>
      <w:pPr>
        <w:spacing w:after="0" w:line="10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Ms. Thornton's individual performance multiplier for her role as CFO was the result of her contribution to several fiscal year objectives and individual annual goals as follows:</w:t>
      </w:r>
    </w:p>
    <w:p>
      <w:pPr>
        <w:spacing w:after="0" w:line="108" w:lineRule="exact"/>
        <w:rPr>
          <w:sz w:val="20"/>
          <w:szCs w:val="20"/>
          <w:color w:val="auto"/>
        </w:rPr>
      </w:pPr>
    </w:p>
    <w:p>
      <w:pPr>
        <w:jc w:val="both"/>
        <w:ind w:left="660" w:hanging="328"/>
        <w:spacing w:after="0" w:line="255"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 Objective focused on reducing selling, general and administrative expenses throughout the Company, with a specific focus on reducing general and administrative expenses in a sustainable manner while continuing to invest in sales-generating resources. As a percentage of net sales, SG&amp;A expenses increased from 27.8% in fiscal 2023 to 28.1% in fiscal 2024 primarily due to investments in sales and technology-related roles.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 Objective focused on improving income before income taxes while making the investments for sustainable long-term organic sales growth. Income before income taxes improved from $225.7 million in fiscal 2023 to $247.8 million in fiscal 2024, while investments in R&amp;D increased from $61.4 million in fiscal 2023 to $67.7 million in fiscal 2024.</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 Objective focused on delivering strong cash flow in relation to net income. The company's cash flow from operating activities increased from $209.1 million in fiscal 2023 to $255.1 million in fiscal 2024. The Company's cash flow from operating activities as a percentage of net income was 119.6% in fiscal 2023 compared to 129.3% in fiscal 2024.</w:t>
      </w:r>
    </w:p>
    <w:p>
      <w:pPr>
        <w:spacing w:after="0" w:line="13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Ms. Thornton's performance, the Committee determined that Ms. Thornton's resulting performance level was 100% for her individual performance multiplier.</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Mr. DeBruine's individual performance multiplier was the result of his contribution to several fiscal year objectives and individual annual goals as follows:</w:t>
      </w:r>
    </w:p>
    <w:p>
      <w:pPr>
        <w:spacing w:after="0" w:line="108" w:lineRule="exact"/>
        <w:rPr>
          <w:sz w:val="20"/>
          <w:szCs w:val="20"/>
          <w:color w:val="auto"/>
        </w:rPr>
      </w:pPr>
    </w:p>
    <w:p>
      <w:pPr>
        <w:ind w:left="66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enhancement - Objective focused on improving the Company's digital presence and the use of data-driven marketing automation tools to expand and enhance our sales capabilities across both our Americas &amp; Asia and Europe &amp; Australia segments.</w:t>
      </w: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 Objective focused on leading the integration of artificial intelligence (“AI”) and other advanced technologies into company processes to enhance efficiency, optimize existing tools, and drive innovation across all operational areas.</w:t>
      </w: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 Objective focused on overseeing all aspects of physical location management, including site selection and facility ownership or lease rationalization, to ensure optimal operational efficiency and continuity.</w:t>
      </w:r>
    </w:p>
    <w:p>
      <w:pPr>
        <w:ind w:left="660" w:right="2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 Objective focused on fostering a culture of sustainability, integrating ESG considerations into daily operations, with a focus on reducing waste.</w:t>
      </w:r>
    </w:p>
    <w:p>
      <w:pPr>
        <w:spacing w:after="0" w:line="1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DeBruine's performance, the Committee determined that Mr. DeBruine's resulting performance level was 125% for his individual performance multiplier.</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Mr. Gorman's individual performance multiplier was the result of his contribution to several fiscal year objectives and individual annual goals as follows:</w:t>
      </w:r>
    </w:p>
    <w:p>
      <w:pPr>
        <w:spacing w:after="0" w:line="108" w:lineRule="exact"/>
        <w:rPr>
          <w:sz w:val="20"/>
          <w:szCs w:val="20"/>
          <w:color w:val="auto"/>
        </w:rPr>
      </w:pPr>
    </w:p>
    <w:p>
      <w:pPr>
        <w:ind w:left="66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 Objective focused on ensuring continued compliance with domestic and international laws and regulations, as well as maintaining internal compliance programs.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structure simplification - Objective focused on simplifying the Company's legal entity structure.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Gorman's performance, the Committee determined that Mr. Gorman's resulting performance level was 125% for his individual performance multiplier.</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Bojarski</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cash incentive payable to Mr. Bojarski for fiscal 2024 was based on achievement of Americas &amp; Asia segment sales and operating income. For fiscal 2024, a cash incentive was funded for the achievement of the Americas &amp; Asia segment sales and operating income, as well as total company sales and total company income before income taxes based upon the achievement of the financial targets established at the beginning of the fiscal year. The multiplier for individual performance was applied to the achievement of these components to arrive at the final cash incentive award achieved.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threshold, target, maximum and actual payout amounts for Mr. Bojarski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5"/>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Fiscal 2024 Actual Results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 (weighting)</w:t>
            </w:r>
          </w:p>
        </w:tc>
        <w:tc>
          <w:tcPr>
            <w:tcW w:w="1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0" w:type="dxa"/>
            <w:vAlign w:val="bottom"/>
          </w:tcPr>
          <w:p>
            <w:pPr>
              <w:spacing w:after="0"/>
              <w:rPr>
                <w:sz w:val="1"/>
                <w:szCs w:val="1"/>
                <w:color w:val="auto"/>
              </w:rPr>
            </w:pPr>
          </w:p>
        </w:tc>
      </w:tr>
      <w:tr>
        <w:trPr>
          <w:trHeight w:val="169"/>
        </w:trPr>
        <w:tc>
          <w:tcPr>
            <w:tcW w:w="32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Americas &amp; Asia Division Sales (25%)</w:t>
            </w: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20" w:type="dxa"/>
            <w:vAlign w:val="bottom"/>
          </w:tcPr>
          <w:p>
            <w:pPr>
              <w:spacing w:after="0"/>
              <w:rPr>
                <w:sz w:val="21"/>
                <w:szCs w:val="21"/>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$961.3 or more</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175"/>
        </w:trPr>
        <w:tc>
          <w:tcPr>
            <w:tcW w:w="3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Americas &amp; Asia Division Operating</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(45%)(millions)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$237.4 or more</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Company Sales (10%)(millions)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2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$1,463.4 or more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Company Income Before Income</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(20%)(millions)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$256.2 or more</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37"/>
        </w:trPr>
        <w:tc>
          <w:tcPr>
            <w:tcW w:w="33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Fiscal 2024 Annual Cash Incentive Award:</w:t>
            </w:r>
          </w:p>
        </w:tc>
        <w:tc>
          <w:tcPr>
            <w:tcW w:w="11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720" w:type="dxa"/>
            <w:vAlign w:val="bottom"/>
            <w:gridSpan w:val="2"/>
            <w:shd w:val="clear" w:color="auto" w:fill="CCEEFF"/>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80" w:type="dxa"/>
            <w:vAlign w:val="bottom"/>
            <w:gridSpan w:val="2"/>
            <w:shd w:val="clear" w:color="auto" w:fill="CCEEFF"/>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440" w:type="dxa"/>
            <w:vAlign w:val="bottom"/>
            <w:gridSpan w:val="3"/>
            <w:shd w:val="clear" w:color="auto" w:fill="CCEEFF"/>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18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0" w:type="dxa"/>
            <w:vAlign w:val="bottom"/>
          </w:tcPr>
          <w:p>
            <w:pPr>
              <w:spacing w:after="0"/>
              <w:rPr>
                <w:sz w:val="1"/>
                <w:szCs w:val="1"/>
                <w:color w:val="auto"/>
              </w:rPr>
            </w:pPr>
          </w:p>
        </w:tc>
      </w:tr>
      <w:tr>
        <w:trPr>
          <w:trHeight w:val="200"/>
        </w:trPr>
        <w:tc>
          <w:tcPr>
            <w:tcW w:w="33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4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32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O. Bojarski</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$449,869</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Bojarski's individual performance multiplier was the result of his contribution to several fiscal year objectives and individual annual goals in his role as President - Americas &amp; Asia as follows:</w:t>
      </w:r>
    </w:p>
    <w:p>
      <w:pPr>
        <w:spacing w:after="0" w:line="108" w:lineRule="exact"/>
        <w:rPr>
          <w:sz w:val="20"/>
          <w:szCs w:val="20"/>
          <w:color w:val="auto"/>
        </w:rPr>
      </w:pPr>
    </w:p>
    <w:p>
      <w:pPr>
        <w:jc w:val="both"/>
        <w:ind w:left="660" w:hanging="328"/>
        <w:spacing w:after="0" w:line="25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&amp; Asia segment profit - Objective focused on improving segment profit in the Americas &amp; Asia segment while making the investments for sustainable long-term organic sales growth. Segment profit within the Americas &amp; Asia segment improved from $180.5 million in fiscal 2023 to $196.8 million in fiscal 2024.</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&amp; Asia organic sales growth - Objective focused on delivering organic sales growth in the Americas &amp; Asia segment. Organic sales within the Americas &amp; Asia segment increased by 3.1% in fiscal 2024.</w:t>
      </w:r>
    </w:p>
    <w:p>
      <w:pPr>
        <w:jc w:val="both"/>
        <w:ind w:left="660" w:hanging="328"/>
        <w:spacing w:after="0" w:line="253"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development process - Objective focused on implementing sustainable processes to grow the Company’s pipeline of new products and to deliver the new products to market in a timely and cost-effective manner. Numerous new products were launched during fiscal 2024, including several printers introducing expanded software and mobile capabilities. The new product pipeline was streamlined and improved which has reduced the time frame and cost to move from new product idea to product launch.</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Bojarski's performance, the Committee determined that Mr. Bojarski's resulting performance level was 100% for his individual performance multiplier as President - Americas &amp; Asia.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Awards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fiscal 2024, the Committee reviewed historical award sizes and median levels of equity awarded to similar positions at our peer companies and other relevant market data. The Committee then approved the fiscal 2024 awards consisting of a combination of RSUs and PRSUs to align executive compensation with the creation of long-term shareholder value. The Committee uses its discretion in combination with peer group data, analysis of actual pay and performance, and advice from its independent compensation consultant to determine the size and type of equity awards granted to the CEO. For all other executives, the Committee also considers the input from the CEO when determining the size and type of annual equity awards.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RSUs: </w:t>
      </w:r>
      <w:r>
        <w:rPr>
          <w:rFonts w:ascii="Times New Roman" w:cs="Times New Roman" w:eastAsia="Times New Roman" w:hAnsi="Times New Roman"/>
          <w:sz w:val="18"/>
          <w:szCs w:val="18"/>
          <w:color w:val="auto"/>
        </w:rPr>
        <w:t>RSUs generally vest one-third annually for three years. The Committee has the ability to vary the vesting schedule for new RSU grants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of the plan. All RSUs are granted following the Committee's approval, with a fair value equal to the average of the high and low stock price on the grant date.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PRSUs: </w:t>
      </w:r>
      <w:r>
        <w:rPr>
          <w:rFonts w:ascii="Times New Roman" w:cs="Times New Roman" w:eastAsia="Times New Roman" w:hAnsi="Times New Roman"/>
          <w:sz w:val="18"/>
          <w:szCs w:val="18"/>
          <w:color w:val="auto"/>
        </w:rPr>
        <w:t>PRSUs granted in fiscal 2024 include two vesting criteria: 50% of the shares vest based on diluted EPS targets, and 50% of the shares vest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revenue performance. Each of these metrics is based on achievement over four separate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periods as discussed in the Executive Summary. The diluted EPS performance measure aligns executive compensation with the creation of long-term shareholder value. If threshold performance is not achieved for a particular performance period, then no award will vest relative to that performance period. PRSUs will vest between 0% and 200% of target depending on the relative three-year achievement of revenue and diluted EPS growth goals over the respective performance periods.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dividends are paid or accrued on the RSUs or PRSUs prior to the issuance of shares.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long-term equity incentive awards granted to the Company's NEOs during fiscal 2024:</w:t>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Officers</w:t>
            </w:r>
          </w:p>
        </w:tc>
        <w:tc>
          <w:tcPr>
            <w:tcW w:w="280" w:type="dxa"/>
            <w:vAlign w:val="bottom"/>
          </w:tcPr>
          <w:p>
            <w:pPr>
              <w:spacing w:after="0"/>
              <w:rPr>
                <w:sz w:val="17"/>
                <w:szCs w:val="17"/>
                <w:color w:val="auto"/>
              </w:rPr>
            </w:pPr>
          </w:p>
        </w:tc>
        <w:tc>
          <w:tcPr>
            <w:tcW w:w="2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Total Grant Date</w:t>
            </w:r>
          </w:p>
        </w:tc>
        <w:tc>
          <w:tcPr>
            <w:tcW w:w="180" w:type="dxa"/>
            <w:vAlign w:val="bottom"/>
          </w:tcPr>
          <w:p>
            <w:pPr>
              <w:spacing w:after="0"/>
              <w:rPr>
                <w:sz w:val="17"/>
                <w:szCs w:val="17"/>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PRSUs (at target)</w:t>
            </w:r>
          </w:p>
        </w:tc>
        <w:tc>
          <w:tcPr>
            <w:tcW w:w="160" w:type="dxa"/>
            <w:vAlign w:val="bottom"/>
          </w:tcPr>
          <w:p>
            <w:pPr>
              <w:spacing w:after="0"/>
              <w:rPr>
                <w:sz w:val="17"/>
                <w:szCs w:val="17"/>
                <w:color w:val="auto"/>
              </w:rPr>
            </w:pPr>
          </w:p>
        </w:tc>
        <w:tc>
          <w:tcPr>
            <w:tcW w:w="20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RSUs</w:t>
            </w:r>
          </w:p>
        </w:tc>
        <w:tc>
          <w:tcPr>
            <w:tcW w:w="0" w:type="dxa"/>
            <w:vAlign w:val="bottom"/>
          </w:tcPr>
          <w:p>
            <w:pPr>
              <w:spacing w:after="0"/>
              <w:rPr>
                <w:sz w:val="1"/>
                <w:szCs w:val="1"/>
                <w:color w:val="auto"/>
              </w:rPr>
            </w:pPr>
          </w:p>
        </w:tc>
      </w:tr>
      <w:tr>
        <w:trPr>
          <w:trHeight w:val="243"/>
        </w:trPr>
        <w:tc>
          <w:tcPr>
            <w:tcW w:w="42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160" w:type="dxa"/>
            <w:vAlign w:val="bottom"/>
          </w:tcPr>
          <w:p>
            <w:pPr>
              <w:spacing w:after="0"/>
              <w:rPr>
                <w:sz w:val="21"/>
                <w:szCs w:val="21"/>
                <w:color w:val="auto"/>
              </w:rPr>
            </w:pPr>
          </w:p>
        </w:tc>
        <w:tc>
          <w:tcPr>
            <w:tcW w:w="2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3,551,028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1,775,508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1,775,520</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 Thornton</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337,513</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 Bojarski</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341,020</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T.F. DeBruine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110,038</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PRSUs Earned for the Fiscal 2022 - 2024 Performance Period</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outlines the performance metrics, performance levels and actual performance achievement for the fiscal 2022 - 2024 PRSU cycle for the TSR and compound annual growth rate (“CAGR”) metrics: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9"/>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Threshold (25%)   Target (100%)</w:t>
            </w:r>
          </w:p>
        </w:tc>
        <w:tc>
          <w:tcPr>
            <w:tcW w:w="1840" w:type="dxa"/>
            <w:vAlign w:val="bottom"/>
            <w:gridSpan w:val="7"/>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50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 Payout</w:t>
            </w:r>
          </w:p>
        </w:tc>
        <w:tc>
          <w:tcPr>
            <w:tcW w:w="0" w:type="dxa"/>
            <w:vAlign w:val="bottom"/>
          </w:tcPr>
          <w:p>
            <w:pPr>
              <w:spacing w:after="0"/>
              <w:rPr>
                <w:sz w:val="1"/>
                <w:szCs w:val="1"/>
                <w:color w:val="auto"/>
              </w:rPr>
            </w:pPr>
          </w:p>
        </w:tc>
      </w:tr>
      <w:tr>
        <w:trPr>
          <w:trHeight w:val="243"/>
        </w:trPr>
        <w:tc>
          <w:tcPr>
            <w:tcW w:w="236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9"/>
            <w:vMerge w:val="continue"/>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0" w:type="dxa"/>
            <w:vAlign w:val="bottom"/>
          </w:tcPr>
          <w:p>
            <w:pPr>
              <w:spacing w:after="0"/>
              <w:rPr>
                <w:sz w:val="1"/>
                <w:szCs w:val="1"/>
                <w:color w:val="auto"/>
              </w:rPr>
            </w:pPr>
          </w:p>
        </w:tc>
      </w:tr>
      <w:tr>
        <w:trPr>
          <w:trHeight w:val="223"/>
        </w:trPr>
        <w:tc>
          <w:tcPr>
            <w:tcW w:w="2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Relative TSR Percentile</w:t>
            </w: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25th</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50th</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75th</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56th</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126.0 %</w:t>
            </w:r>
          </w:p>
        </w:tc>
        <w:tc>
          <w:tcPr>
            <w:tcW w:w="0" w:type="dxa"/>
            <w:vAlign w:val="bottom"/>
          </w:tcPr>
          <w:p>
            <w:pPr>
              <w:spacing w:after="0"/>
              <w:rPr>
                <w:sz w:val="1"/>
                <w:szCs w:val="1"/>
                <w:color w:val="auto"/>
              </w:rPr>
            </w:pPr>
          </w:p>
        </w:tc>
      </w:tr>
      <w:tr>
        <w:trPr>
          <w:trHeight w:val="450"/>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00" w:type="dxa"/>
            <w:vAlign w:val="bottom"/>
          </w:tcPr>
          <w:p>
            <w:pPr>
              <w:spacing w:after="0"/>
              <w:rPr>
                <w:sz w:val="24"/>
                <w:szCs w:val="24"/>
                <w:color w:val="auto"/>
              </w:rPr>
            </w:pPr>
          </w:p>
        </w:tc>
        <w:tc>
          <w:tcPr>
            <w:tcW w:w="12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5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Payout</w:t>
            </w:r>
          </w:p>
        </w:tc>
        <w:tc>
          <w:tcPr>
            <w:tcW w:w="0" w:type="dxa"/>
            <w:vAlign w:val="bottom"/>
          </w:tcPr>
          <w:p>
            <w:pPr>
              <w:spacing w:after="0"/>
              <w:rPr>
                <w:sz w:val="1"/>
                <w:szCs w:val="1"/>
                <w:color w:val="auto"/>
              </w:rPr>
            </w:pPr>
          </w:p>
        </w:tc>
      </w:tr>
      <w:tr>
        <w:trPr>
          <w:trHeight w:val="184"/>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3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220" w:type="dxa"/>
            <w:vAlign w:val="bottom"/>
            <w:gridSpan w:val="5"/>
          </w:tcPr>
          <w:p>
            <w:pPr>
              <w:ind w:left="320"/>
              <w:spacing w:after="0" w:line="184" w:lineRule="exact"/>
              <w:rPr>
                <w:sz w:val="20"/>
                <w:szCs w:val="20"/>
                <w:color w:val="auto"/>
              </w:rPr>
            </w:pPr>
            <w:r>
              <w:rPr>
                <w:rFonts w:ascii="Times New Roman" w:cs="Times New Roman" w:eastAsia="Times New Roman" w:hAnsi="Times New Roman"/>
                <w:sz w:val="18"/>
                <w:szCs w:val="18"/>
                <w:b w:val="1"/>
                <w:bCs w:val="1"/>
                <w:color w:val="auto"/>
              </w:rPr>
              <w:t>Target</w:t>
            </w:r>
          </w:p>
        </w:tc>
        <w:tc>
          <w:tcPr>
            <w:tcW w:w="1300" w:type="dxa"/>
            <w:vAlign w:val="bottom"/>
            <w:gridSpan w:val="5"/>
            <w:vMerge w:val="continue"/>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6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2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9"/>
                <w:szCs w:val="19"/>
                <w:color w:val="auto"/>
              </w:rPr>
            </w:pPr>
          </w:p>
        </w:tc>
        <w:tc>
          <w:tcPr>
            <w:tcW w:w="11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19"/>
                <w:szCs w:val="19"/>
                <w:color w:val="auto"/>
              </w:rPr>
            </w:pPr>
          </w:p>
        </w:tc>
        <w:tc>
          <w:tcPr>
            <w:tcW w:w="90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(200%)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0" w:type="dxa"/>
            <w:vAlign w:val="bottom"/>
          </w:tcPr>
          <w:p>
            <w:pPr>
              <w:spacing w:after="0"/>
              <w:rPr>
                <w:sz w:val="1"/>
                <w:szCs w:val="1"/>
                <w:color w:val="auto"/>
              </w:rPr>
            </w:pPr>
          </w:p>
        </w:tc>
      </w:tr>
      <w:tr>
        <w:trPr>
          <w:trHeight w:val="178"/>
        </w:trPr>
        <w:tc>
          <w:tcPr>
            <w:tcW w:w="226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August 1, 2021 - July 31,</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Year 1 CAGR</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126.0 %</w:t>
            </w:r>
          </w:p>
        </w:tc>
        <w:tc>
          <w:tcPr>
            <w:tcW w:w="0" w:type="dxa"/>
            <w:vAlign w:val="bottom"/>
          </w:tcPr>
          <w:p>
            <w:pPr>
              <w:spacing w:after="0"/>
              <w:rPr>
                <w:sz w:val="1"/>
                <w:szCs w:val="1"/>
                <w:color w:val="auto"/>
              </w:rPr>
            </w:pPr>
          </w:p>
        </w:tc>
      </w:tr>
      <w:tr>
        <w:trPr>
          <w:trHeight w:val="184"/>
        </w:trPr>
        <w:tc>
          <w:tcPr>
            <w:tcW w:w="2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 2022 - July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 2 CAGR</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5.6 %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0" w:type="dxa"/>
            <w:vAlign w:val="bottom"/>
          </w:tcPr>
          <w:p>
            <w:pPr>
              <w:spacing w:after="0"/>
              <w:rPr>
                <w:sz w:val="1"/>
                <w:szCs w:val="1"/>
                <w:color w:val="auto"/>
              </w:rPr>
            </w:pPr>
          </w:p>
        </w:tc>
      </w:tr>
      <w:tr>
        <w:trPr>
          <w:trHeight w:val="184"/>
        </w:trPr>
        <w:tc>
          <w:tcPr>
            <w:tcW w:w="2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 2023 - July 31,</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Year 3 CAGR</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4"/>
        </w:trPr>
        <w:tc>
          <w:tcPr>
            <w:tcW w:w="2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 2021 - July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CAGR</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3.5 %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23"/>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Payout Achieved</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66"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performance and baseline have been adjusted to reflect divestitures. As the Company divested businesses in fiscal 2023 and fiscal 2024, the corresponding target performance has been modified for these performance periods. The Company's initial target performance was a CAGR of 6% for each of these years.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PRSUs achieved a total payout of 89% based on half the awards vesting based on the TSR metric and half the awards vesting based on the revenue growth metric.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 and Welfare Benefits: </w:t>
      </w:r>
      <w:r>
        <w:rPr>
          <w:rFonts w:ascii="Times New Roman" w:cs="Times New Roman" w:eastAsia="Times New Roman" w:hAnsi="Times New Roman"/>
          <w:sz w:val="18"/>
          <w:szCs w:val="18"/>
          <w:color w:val="auto"/>
        </w:rPr>
        <w:t>We provide subsidized health and welfare benefits which include medical, dental, life and disability insurance and paid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 Executive officers are entitled to participate in our health and welfare plans on generally the same terms and conditions as other employees, subject to limitations under applicable law. In addition, the Company maintains a supplemental long-term disability policy for its U.S. executives. The supplemental long-term disability policy provides for an additional 15% of compensation, up to a maximum additional benefit of $5,000 per month. Brady pays the premiums for these benefits; therefore, these benefits represent taxable benefits to the executive.</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Retirement Benefits: </w:t>
      </w:r>
      <w:r>
        <w:rPr>
          <w:rFonts w:ascii="Times New Roman" w:cs="Times New Roman" w:eastAsia="Times New Roman" w:hAnsi="Times New Roman"/>
          <w:sz w:val="18"/>
          <w:szCs w:val="18"/>
          <w:color w:val="auto"/>
        </w:rPr>
        <w:t>Brady employees (including NEOs) in the United States and certain expatriate employees working for its international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eligible to participate in the Brady Corporation Matched 401(k) Plan (the “Matched 401(k) Plan”). NEOs in the United States and employees at certain United States locations are also eligible to participate in the Brady Corporation Funded Retirement Plan (“Funded Retirement Plan”). In addition, certain Brady international employees are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eligible to participate in Company sponsored statutory and supplementary defined benefit pension plans that are primarily unfunded and provide an income benefit upon termination or retirement.</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Funded Retirement Plan is a defined contribution plan through which the Company contributes 4% of the annual wages of each eligible participant. In addition, participants may elect to defer up to 5% of their annual wages into the Matched 401(k) Plan, which is matched up to an additional 4% contribution from the Company. Participants may elect to contribute an additional 45% of their eligible earnings to their Matched 401(k) Plan account without an additional matching contribution from the Company, which is subject to specified maximum limits allowed by the Internal Revenue Service ("IRS"). The assets of the Matched 401(k) Plan and Funded Retirement Plan credited to each participant are invested by the trustee of the Plans as directed by each plan participant in a variety of investment funds as permitted by the Plans. Participants in the Matched 401(k) Plan become fully vested in employer contributions over a two-year period of continuous service. Employer contributions to the Funded Retirement Plan become fully vested over a six-year period of continuous service.</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in certain circumstances. Under certain specified circumstances, the Matched 401(k) Plan allows a participant to withdraw loans on their account.</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Arrangements: </w:t>
      </w:r>
      <w:r>
        <w:rPr>
          <w:rFonts w:ascii="Times New Roman" w:cs="Times New Roman" w:eastAsia="Times New Roman" w:hAnsi="Times New Roman"/>
          <w:sz w:val="18"/>
          <w:szCs w:val="18"/>
          <w:color w:val="auto"/>
        </w:rPr>
        <w:t>The Company has two deferred compensation plans, the Executive Deferred Compensation Plan and the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Compensation Plan, that allow for compensation to be deferred into either the Company’s Class A Nonvoting Common Stock or other investment funds. Both the Director Deferred Compensation and the Executive Deferred Compensation Plans disallow transfers from other investment funds into the Company’s Class A Nonvoting Stock, and both disallow transfers from the Company’s Class A Nonvoting Stock into other investment funds. The assets in both deferred compensation plans are held in a Rabbi Trust and are invested by the trustee as directed by the participant. Executives and directors may elect whether to receive their account balance following termination of employment in a single lump sum payment or by means of distribution under an annual installment method. Distributions of the Company’s Class A Nonvoting Common Stock are made in-kind; distributions of mutual funds are made in cash.</w:t>
      </w:r>
    </w:p>
    <w:p>
      <w:pPr>
        <w:spacing w:after="0" w:line="13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Executives are eligible to participate in the Brady Restoration Plan, which is a non-qualified deferred compensation plan that allows an equivalent benefit to the Matched 401(k) Plan and the Funded Retirement Plan for executives' income exceeding the IRS limits of participation in a qualified 401(k)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Perquisites: </w:t>
      </w:r>
      <w:r>
        <w:rPr>
          <w:rFonts w:ascii="Times New Roman" w:cs="Times New Roman" w:eastAsia="Times New Roman" w:hAnsi="Times New Roman"/>
          <w:sz w:val="18"/>
          <w:szCs w:val="18"/>
          <w:color w:val="auto"/>
        </w:rPr>
        <w:t>Brady generally provides executives with the following perquisites:</w:t>
      </w:r>
    </w:p>
    <w:p>
      <w:pPr>
        <w:spacing w:after="0" w:line="17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planning and tax preparation;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car or car allowance;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examination;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care insurance;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liability insurance.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Requirements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encourage our executive officers and directors to acquire and retain ownership of a significant number of shares of the Company's stock, stock ownership requirements have been established.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Board of Directors has established the following stock ownership requirements for our NEOs:</w:t>
            </w:r>
          </w:p>
        </w:tc>
        <w:tc>
          <w:tcPr>
            <w:tcW w:w="2600" w:type="dxa"/>
            <w:vAlign w:val="bottom"/>
          </w:tcPr>
          <w:p>
            <w:pPr>
              <w:spacing w:after="0"/>
              <w:rPr>
                <w:sz w:val="20"/>
                <w:szCs w:val="20"/>
                <w:color w:val="auto"/>
              </w:rPr>
            </w:pPr>
          </w:p>
        </w:tc>
      </w:tr>
      <w:tr>
        <w:trPr>
          <w:trHeight w:val="189"/>
        </w:trPr>
        <w:tc>
          <w:tcPr>
            <w:tcW w:w="862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2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9"/>
              </w:rPr>
              <w:t>5 times base salary</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 Thornton</w:t>
            </w:r>
          </w:p>
        </w:tc>
        <w:tc>
          <w:tcPr>
            <w:tcW w:w="260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3 times base salary</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 Bojarski</w:t>
            </w:r>
          </w:p>
        </w:tc>
        <w:tc>
          <w:tcPr>
            <w:tcW w:w="2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9"/>
              </w:rPr>
              <w:t>3 times base salary</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T.F. DeBruine</w:t>
            </w:r>
          </w:p>
        </w:tc>
        <w:tc>
          <w:tcPr>
            <w:tcW w:w="260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3 times base salary</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2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9"/>
              </w:rPr>
              <w:t>2 times base salary</w:t>
            </w: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NEOs are expected to meet their ownership requirement within five years of becoming an executive officer and may not sell shares, other than to cover tax withholding requirements associated with the vesting or exercise of an equity award, until such time as they meet the requirements. All NEOs were in compliance with their respective ownership requirements as of July 31, 2024. If an executive does not meet his or her ownership requirement within five years, the Committee may direct that the executive's after-tax payout on any incentive plans will be in Class A Nonvoting Common Stock in order to satisfy the executive’s ownership requirement.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Actual stock ownership of each NEO is reviewed on an annual basis to ensure the guidelines are met. The following equity balances are included for purposes of determining whether an executive meets his or her ownership requirements: the fair market values of Company stock owned, Company stock held in the Executive Deferred Compensation Plan, RSUs, and the value of vested and “in the money” stock options. The fair market value of PRSUs are excluded from the determination of executive ownership levels.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and Anti-Hedging Policy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Insider Trading Policy prohibits hedging and other monetization transactions in Company securities by officers, directors and employees. The prohibition of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Change of Control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Offer Letters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offer letter dated May 24, 2024 with Mr. DeBruine. The offer letter provided that Mr. DeBruine receive an annual base salary of $450,000, with eligibility for a target annual bonus at 60% of base salary, a recommendation for a fiscal 2025 annual equity award with a grant date value of $475,000 and ability to participate in the Company’s equity incentive and other benefit plans on a basis similar to other executive officers, including a car allowance.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Shaller also has an employment offer letter providing for certain severance benefits, as described below under “Potential Payments Upon Termination or Change of Control.” None of the other NEOs have any severance agreements or similar arrangements that would apply outside of a change of control.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Agreements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previously approved change of control agreements for all of the NEOs of the Company. The agreements applicable to the NEOs provide a payment of an amount commensurate to a multiple of their salary and annual cash incentive payment, as specified in their respective agreement, prior to the date the change of control occurs in the event of termination or resignation for good cause upon a change of control. All of the NEO's agreements provide for up to $25,000 of attorney fees to enforce the executive's rights under the agreement. Payments under the agreement will be made over two years.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2012 Omnibus Incentive Stock Plan and the 2017 and 2023 Omnibus Incentive Plans,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stock options become fully exercisable and all restrictions placed on restricted stock, and performance-based and time-based restricted stock units will lapse. If any stock option is canceled subsequent to the events described above, the Company or the corporation assuming the obligations of the Company, shall pay an amount of cash or stock equal to the in-the-money value of the canceled stock options. The awards granted under the 2017 and 2023 Omnibus Incentive Plans provide for either accelerated or continuation of vesting of stock options and RSUs upon termination due to retirement, for which the eligibility criteria is 60 years of age and 5 years of service.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Non-Compete/Non-Solicitation/Confidentiality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Equity awards under the Company's 2012 Omnibus Incentive Stock Plan and the 2017 and 2023 Omnibus Incentive Plans contain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NEOs for 12 months after termination of employment with the Company, from</w:t>
      </w:r>
    </w:p>
    <w:p>
      <w:pPr>
        <w:spacing w:after="0" w:line="3" w:lineRule="exact"/>
        <w:rPr>
          <w:sz w:val="20"/>
          <w:szCs w:val="20"/>
          <w:color w:val="auto"/>
        </w:rPr>
      </w:pPr>
    </w:p>
    <w:p>
      <w:pPr>
        <w:jc w:val="both"/>
        <w:ind w:firstLine="8"/>
        <w:spacing w:after="0" w:line="255" w:lineRule="auto"/>
        <w:tabs>
          <w:tab w:leader="none" w:pos="2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duties for or as a competitor of the Company which are the same or similar to those performed by the recipient in the 24 months prior to termination of employment with the Company, (ii) soliciting customers for the sale of competitive products, (iii) soliciting employees to join a competitor or otherwise terminate their relationship with the Company, or (iv) interfering in the Company's relationships with its vendors and suppliers.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a federal income tax deduction to publicly traded companies for compensation in excess of $1 million per year paid to certain current and former executive officers. Historically,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 million deduction limit generally has not applied to compensation that satisfies IRS requirements for qualified performance-based compensation.</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Committee's intent is to preserve the deductibility of executive compensation to the extent reasonably practicable and to the extent consistent with its other compensation objectives. However, the Committee believes Section 162(m) is only one of several relevant considerations in establishing executive compensation and believes Section 162(m) implications should not compromise its ability to design and maintain executive compensation arrangements intended to, among other things, attract, motivate and help retain a highly qualified and successful management team to lead the Company. As a result, the Committee retains the flexibility to provide compensation it determines to be in the best interests of the Company and its shareholders even if that compensation ultimately is not tax deductible.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Considerations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reviewing preliminary recommendations and in connection with approving the terms of a given incentive plan, management and the Committee review and consider the accounting implications of a compensation arrangement, including the estimated expense and other accounting and disclosure requirements. With consideration of the accounting treatment associated with an incentive plan design, management and the Committee may alter or modify the incentive award if the award and the related accounting consequences were to adversely affect our financial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Development and Compensation Committee Interlocks and Insider Participation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fiscal 2024, the Committee was composed of Mses. Gioia and Williams and Messrs. Bem, Richardson and Nargolwala. There are no relationships among the Company's executive officers, members of the Committee or entities whose executives serve on the Board that require disclosure under applicable SEC regulations.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Development and Compensation Committee Report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with management; based on the review and discussions, the Committee recommended to the Board of Directors that the Compensation Discussion and Analysis be included in the Company's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Gioia, Chair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Vineet Nargolwala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Richardson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Williams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Practices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believes that its compensation policies, practices, and procedures for executive officers and all other employees are designed to avoid incentives that create unnecessary or excessive risks that are reasonably likely to have a material adverse effect on the Company. The Company's compensation programs are weighted towards offering long-term incentives that reward sustainable performance; do not offer significant short-term incentives that might drive high-risk investments at the expense of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including executive officers, to evaluate and ensure that they did not foster risk-taking beyond that deemed acceptable within the Company's business model.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compensation awarded to, earned by, or paid to the NEOs, who served as executive officers during the year ended July 31, 2024, for services rendered as an executive officer to the Company and its subsidiaries during the years ended July 31, 2024, July 31, 2023 and July 31,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2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Incentive Plan</w:t>
            </w: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7"/>
              </w:rPr>
              <w:t>Bonus ($)</w:t>
            </w:r>
          </w:p>
        </w:tc>
        <w:tc>
          <w:tcPr>
            <w:tcW w:w="120" w:type="dxa"/>
            <w:vAlign w:val="bottom"/>
            <w:vMerge w:val="restart"/>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Awards</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2"/>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R.R. Shaller, President, CEO &amp;</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859,212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3,551,028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1,439,180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6,047,628</w:t>
            </w:r>
          </w:p>
        </w:tc>
        <w:tc>
          <w:tcPr>
            <w:tcW w:w="0" w:type="dxa"/>
            <w:vAlign w:val="bottom"/>
          </w:tcPr>
          <w:p>
            <w:pPr>
              <w:spacing w:after="0"/>
              <w:rPr>
                <w:sz w:val="1"/>
                <w:szCs w:val="1"/>
                <w:color w:val="auto"/>
              </w:rPr>
            </w:pPr>
          </w:p>
        </w:tc>
      </w:tr>
      <w:tr>
        <w:trPr>
          <w:trHeight w:val="114"/>
        </w:trPr>
        <w:tc>
          <w:tcPr>
            <w:tcW w:w="21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774,808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1,164,390</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1,162,212</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141,087</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3,242,497</w:t>
            </w:r>
          </w:p>
        </w:tc>
        <w:tc>
          <w:tcPr>
            <w:tcW w:w="0" w:type="dxa"/>
            <w:vAlign w:val="bottom"/>
          </w:tcPr>
          <w:p>
            <w:pPr>
              <w:spacing w:after="0"/>
              <w:rPr>
                <w:sz w:val="1"/>
                <w:szCs w:val="1"/>
                <w:color w:val="auto"/>
              </w:rPr>
            </w:pPr>
          </w:p>
        </w:tc>
      </w:tr>
      <w:tr>
        <w:trPr>
          <w:trHeight w:val="143"/>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Director </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1,608,387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1,000,505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737,828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119,055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3,968,554</w:t>
            </w: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A.E. Thornton, CFO, CAO &amp;</w:t>
            </w:r>
          </w:p>
        </w:tc>
        <w:tc>
          <w:tcPr>
            <w:tcW w:w="7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468,173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75,978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1,658,313</w:t>
            </w:r>
          </w:p>
        </w:tc>
        <w:tc>
          <w:tcPr>
            <w:tcW w:w="0" w:type="dxa"/>
            <w:vAlign w:val="bottom"/>
          </w:tcPr>
          <w:p>
            <w:pPr>
              <w:spacing w:after="0"/>
              <w:rPr>
                <w:sz w:val="1"/>
                <w:szCs w:val="1"/>
                <w:color w:val="auto"/>
              </w:rPr>
            </w:pPr>
          </w:p>
        </w:tc>
      </w:tr>
      <w:tr>
        <w:trPr>
          <w:trHeight w:val="100"/>
        </w:trPr>
        <w:tc>
          <w:tcPr>
            <w:tcW w:w="2140" w:type="dxa"/>
            <w:vAlign w:val="bottom"/>
            <w:vMerge w:val="continue"/>
          </w:tcPr>
          <w:p>
            <w:pPr>
              <w:spacing w:after="0"/>
              <w:rPr>
                <w:sz w:val="8"/>
                <w:szCs w:val="8"/>
                <w:color w:val="auto"/>
              </w:rPr>
            </w:pPr>
          </w:p>
        </w:tc>
        <w:tc>
          <w:tcPr>
            <w:tcW w:w="7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314,614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50,025</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50,060</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203,881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44,423</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663,003</w:t>
            </w:r>
          </w:p>
        </w:tc>
        <w:tc>
          <w:tcPr>
            <w:tcW w:w="0" w:type="dxa"/>
            <w:vAlign w:val="bottom"/>
          </w:tcPr>
          <w:p>
            <w:pPr>
              <w:spacing w:after="0"/>
              <w:rPr>
                <w:sz w:val="1"/>
                <w:szCs w:val="1"/>
                <w:color w:val="auto"/>
              </w:rPr>
            </w:pPr>
          </w:p>
        </w:tc>
      </w:tr>
      <w:tr>
        <w:trPr>
          <w:trHeight w:val="202"/>
        </w:trPr>
        <w:tc>
          <w:tcPr>
            <w:tcW w:w="2140" w:type="dxa"/>
            <w:vAlign w:val="bottom"/>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Treasurer </w:t>
            </w:r>
            <w:r>
              <w:rPr>
                <w:rFonts w:ascii="Times New Roman" w:cs="Times New Roman" w:eastAsia="Times New Roman" w:hAnsi="Times New Roman"/>
                <w:sz w:val="21"/>
                <w:szCs w:val="21"/>
                <w:color w:val="auto"/>
                <w:vertAlign w:val="superscript"/>
              </w:rPr>
              <w:t>(5)</w:t>
            </w: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251,631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188,912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556,091</w:t>
            </w:r>
          </w:p>
        </w:tc>
        <w:tc>
          <w:tcPr>
            <w:tcW w:w="0" w:type="dxa"/>
            <w:vAlign w:val="bottom"/>
          </w:tcPr>
          <w:p>
            <w:pPr>
              <w:spacing w:after="0"/>
              <w:rPr>
                <w:sz w:val="1"/>
                <w:szCs w:val="1"/>
                <w:color w:val="auto"/>
              </w:rPr>
            </w:pPr>
          </w:p>
        </w:tc>
      </w:tr>
      <w:tr>
        <w:trPr>
          <w:trHeight w:val="212"/>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 Bojarski, President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682,053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1,690,331</w:t>
            </w:r>
          </w:p>
        </w:tc>
        <w:tc>
          <w:tcPr>
            <w:tcW w:w="0" w:type="dxa"/>
            <w:vAlign w:val="bottom"/>
          </w:tcPr>
          <w:p>
            <w:pPr>
              <w:spacing w:after="0"/>
              <w:rPr>
                <w:sz w:val="1"/>
                <w:szCs w:val="1"/>
                <w:color w:val="auto"/>
              </w:rPr>
            </w:pPr>
          </w:p>
        </w:tc>
      </w:tr>
      <w:tr>
        <w:trPr>
          <w:trHeight w:val="284"/>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401,077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600,029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387,290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1,666,529</w:t>
            </w:r>
          </w:p>
        </w:tc>
        <w:tc>
          <w:tcPr>
            <w:tcW w:w="0" w:type="dxa"/>
            <w:vAlign w:val="bottom"/>
          </w:tcPr>
          <w:p>
            <w:pPr>
              <w:spacing w:after="0"/>
              <w:rPr>
                <w:sz w:val="1"/>
                <w:szCs w:val="1"/>
                <w:color w:val="auto"/>
              </w:rPr>
            </w:pPr>
          </w:p>
        </w:tc>
      </w:tr>
      <w:tr>
        <w:trPr>
          <w:trHeight w:val="231"/>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T.F. DeBruine, Chief Operating</w:t>
            </w:r>
          </w:p>
        </w:tc>
        <w:tc>
          <w:tcPr>
            <w:tcW w:w="7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354,327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306,896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80,432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961,739</w:t>
            </w:r>
          </w:p>
        </w:tc>
        <w:tc>
          <w:tcPr>
            <w:tcW w:w="0" w:type="dxa"/>
            <w:vAlign w:val="bottom"/>
          </w:tcPr>
          <w:p>
            <w:pPr>
              <w:spacing w:after="0"/>
              <w:rPr>
                <w:sz w:val="1"/>
                <w:szCs w:val="1"/>
                <w:color w:val="auto"/>
              </w:rPr>
            </w:pPr>
          </w:p>
        </w:tc>
      </w:tr>
      <w:tr>
        <w:trPr>
          <w:trHeight w:val="100"/>
        </w:trPr>
        <w:tc>
          <w:tcPr>
            <w:tcW w:w="2140" w:type="dxa"/>
            <w:vAlign w:val="bottom"/>
            <w:vMerge w:val="continue"/>
          </w:tcPr>
          <w:p>
            <w:pPr>
              <w:spacing w:after="0"/>
              <w:rPr>
                <w:sz w:val="8"/>
                <w:szCs w:val="8"/>
                <w:color w:val="auto"/>
              </w:rPr>
            </w:pPr>
          </w:p>
        </w:tc>
        <w:tc>
          <w:tcPr>
            <w:tcW w:w="7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317,500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151,926</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60,063</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238,125</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68,912</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836,526</w:t>
            </w:r>
          </w:p>
        </w:tc>
        <w:tc>
          <w:tcPr>
            <w:tcW w:w="0" w:type="dxa"/>
            <w:vAlign w:val="bottom"/>
          </w:tcPr>
          <w:p>
            <w:pPr>
              <w:spacing w:after="0"/>
              <w:rPr>
                <w:sz w:val="1"/>
                <w:szCs w:val="1"/>
                <w:color w:val="auto"/>
              </w:rPr>
            </w:pPr>
          </w:p>
        </w:tc>
      </w:tr>
      <w:tr>
        <w:trPr>
          <w:trHeight w:val="156"/>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140" w:type="dxa"/>
            <w:vAlign w:val="bottom"/>
            <w:vMerge w:val="continue"/>
          </w:tcPr>
          <w:p>
            <w:pPr>
              <w:spacing w:after="0"/>
              <w:rPr>
                <w:sz w:val="4"/>
                <w:szCs w:val="4"/>
                <w:color w:val="auto"/>
              </w:rPr>
            </w:pPr>
          </w:p>
        </w:tc>
        <w:tc>
          <w:tcPr>
            <w:tcW w:w="7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259,331</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125,085</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27,319</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199,876</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41,241</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652,852</w:t>
            </w:r>
          </w:p>
        </w:tc>
        <w:tc>
          <w:tcPr>
            <w:tcW w:w="0" w:type="dxa"/>
            <w:vAlign w:val="bottom"/>
          </w:tcPr>
          <w:p>
            <w:pPr>
              <w:spacing w:after="0"/>
              <w:rPr>
                <w:sz w:val="1"/>
                <w:szCs w:val="1"/>
                <w:color w:val="auto"/>
              </w:rPr>
            </w:pPr>
          </w:p>
        </w:tc>
      </w:tr>
      <w:tr>
        <w:trPr>
          <w:trHeight w:val="205"/>
        </w:trPr>
        <w:tc>
          <w:tcPr>
            <w:tcW w:w="21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 Gorman, General Counsel</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1,069,266</w:t>
            </w:r>
          </w:p>
        </w:tc>
        <w:tc>
          <w:tcPr>
            <w:tcW w:w="0" w:type="dxa"/>
            <w:vAlign w:val="bottom"/>
          </w:tcPr>
          <w:p>
            <w:pPr>
              <w:spacing w:after="0"/>
              <w:rPr>
                <w:sz w:val="1"/>
                <w:szCs w:val="1"/>
                <w:color w:val="auto"/>
              </w:rPr>
            </w:pPr>
          </w:p>
        </w:tc>
      </w:tr>
      <w:tr>
        <w:trPr>
          <w:trHeight w:val="100"/>
        </w:trPr>
        <w:tc>
          <w:tcPr>
            <w:tcW w:w="21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322,616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191,792</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75,828</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193,569</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72,292</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856,097</w:t>
            </w:r>
          </w:p>
        </w:tc>
        <w:tc>
          <w:tcPr>
            <w:tcW w:w="0" w:type="dxa"/>
            <w:vAlign w:val="bottom"/>
          </w:tcPr>
          <w:p>
            <w:pPr>
              <w:spacing w:after="0"/>
              <w:rPr>
                <w:sz w:val="1"/>
                <w:szCs w:val="1"/>
                <w:color w:val="auto"/>
              </w:rPr>
            </w:pPr>
          </w:p>
        </w:tc>
      </w:tr>
      <w:tr>
        <w:trPr>
          <w:trHeight w:val="156"/>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Secretary</w:t>
            </w: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1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308,481</w:t>
            </w: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188,792</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75,752</w:t>
            </w: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220,564</w:t>
            </w: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72,478</w:t>
            </w: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866,067</w:t>
            </w: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53"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RSUs and PRSUs computed in accordance with accounting guidance for equity grants made or modified in the applicable year. The grant date fair value of RSUs is calculated based on the number of shares of Class A Common Stock underlying the RSUs times the average of the high and low stock price of Class A Common Stock on the date of grant. The grant date fair value of PRSUs was calculated based on the number of shares of Class A Common Stock underlying the award times the average of the high and low stock price of Class A Common Stock on the date of grant. The actual value of a RSU will depend on the market value of the Class A Common Stock on the date the stock is sold. The table reflects the grant date fair value at target for PRSUs (100%). The values of the stock awards in fiscal at the grant date if the highest level of performance conditions were to be achieved would be as follows: Mr. Shaller, $5,326,536; Ms. Thornton, $1,012,519; Mr. Bojarski, $1,023,087; Mr. DeBruine, $330,128; and Mr. Gorman, $472,594.</w:t>
      </w: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cash incentives earned during the listed fiscal years, which was paid during the next fiscal year.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'All Other Compensation' column include: matching contributions to the Company’s Matched 401(k) Plan, Funded Retirement Plan and Restoration Plan, company car or car allowance, the cost of group term life insurance, the cost of long-term care insurance, the cost of disability insurance and other compensation or perquisites. The other compensation includes pay related to severance agreements, settlement agreements and other perquisites including annual allowances for financial and tax planning and the cost of personal liability insurance. Refer to the table following these footnotes.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appointment to President, Chief Executive Officer and Director on April 1, 2022, Mr. Shaller was awarded $760,500 of stock options and $760,500 of RSUs. In addition, Mr. Shaller was granted an additional $250,000 RSU award at this time. The $760,500 stock option and $760,500 RSU grants related to an early grant of Mr. Shaller's fiscal 2023 equity awards, so he did not receive any stock options or RSUs during fiscal 2023. As such, fiscal 2024 was the first year in which Mr. Shaller received his full Chief Executive Officer compensation and benefits.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Thornton was appointed as Chief Financial Officer, Chief Accounting Officer and Treasurer effective April 14, 2023. As part of her appointment, Ms. Thornton received a base salary of $450,000. In fiscal 2024, Ms. Thornton began receiving equity awards and other incentive benefits corresponding to her appointment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Group Term</w:t>
            </w: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Total All Other</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Company Car</w:t>
            </w:r>
          </w:p>
        </w:tc>
        <w:tc>
          <w:tcPr>
            <w:tcW w:w="12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Disability</w:t>
            </w:r>
          </w:p>
        </w:tc>
        <w:tc>
          <w:tcPr>
            <w:tcW w:w="22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Contributions</w:t>
            </w:r>
          </w:p>
        </w:tc>
        <w:tc>
          <w:tcPr>
            <w:tcW w:w="1220" w:type="dxa"/>
            <w:vAlign w:val="bottom"/>
            <w:gridSpan w:val="3"/>
            <w:vMerge w:val="continue"/>
          </w:tcPr>
          <w:p>
            <w:pPr>
              <w:spacing w:after="0"/>
              <w:rPr>
                <w:sz w:val="14"/>
                <w:szCs w:val="14"/>
                <w:color w:val="auto"/>
              </w:rPr>
            </w:pPr>
          </w:p>
        </w:tc>
        <w:tc>
          <w:tcPr>
            <w:tcW w:w="12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Life Insurance</w:t>
            </w:r>
          </w:p>
        </w:tc>
        <w:tc>
          <w:tcPr>
            <w:tcW w:w="12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Care Insurance</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Insurance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214"/>
        </w:trPr>
        <w:tc>
          <w:tcPr>
            <w:tcW w:w="12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w w:val="89"/>
              </w:rPr>
              <w:t>($</w:t>
            </w:r>
          </w:p>
        </w:tc>
        <w:tc>
          <w:tcPr>
            <w:tcW w:w="5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32"/>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163,895</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198,208</w:t>
            </w:r>
          </w:p>
        </w:tc>
        <w:tc>
          <w:tcPr>
            <w:tcW w:w="0" w:type="dxa"/>
            <w:vAlign w:val="bottom"/>
          </w:tcPr>
          <w:p>
            <w:pPr>
              <w:spacing w:after="0"/>
              <w:rPr>
                <w:sz w:val="1"/>
                <w:szCs w:val="1"/>
                <w:color w:val="auto"/>
              </w:rPr>
            </w:pPr>
          </w:p>
        </w:tc>
      </w:tr>
      <w:tr>
        <w:trPr>
          <w:trHeight w:val="257"/>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R.R. Shaller</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108,563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141,087</w:t>
            </w:r>
          </w:p>
        </w:tc>
        <w:tc>
          <w:tcPr>
            <w:tcW w:w="0" w:type="dxa"/>
            <w:vAlign w:val="bottom"/>
          </w:tcPr>
          <w:p>
            <w:pPr>
              <w:spacing w:after="0"/>
              <w:rPr>
                <w:sz w:val="1"/>
                <w:szCs w:val="1"/>
                <w:color w:val="auto"/>
              </w:rPr>
            </w:pPr>
          </w:p>
        </w:tc>
      </w:tr>
      <w:tr>
        <w:trPr>
          <w:trHeight w:val="259"/>
        </w:trPr>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87,677</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6,475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119,055</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50,953</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75,978</w:t>
            </w:r>
          </w:p>
        </w:tc>
        <w:tc>
          <w:tcPr>
            <w:tcW w:w="0" w:type="dxa"/>
            <w:vAlign w:val="bottom"/>
          </w:tcPr>
          <w:p>
            <w:pPr>
              <w:spacing w:after="0"/>
              <w:rPr>
                <w:sz w:val="1"/>
                <w:szCs w:val="1"/>
                <w:color w:val="auto"/>
              </w:rPr>
            </w:pPr>
          </w:p>
        </w:tc>
      </w:tr>
      <w:tr>
        <w:trPr>
          <w:trHeight w:val="257"/>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A.E. Thornton</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44,423</w:t>
            </w:r>
          </w:p>
        </w:tc>
        <w:tc>
          <w:tcPr>
            <w:tcW w:w="0" w:type="dxa"/>
            <w:vAlign w:val="bottom"/>
          </w:tcPr>
          <w:p>
            <w:pPr>
              <w:spacing w:after="0"/>
              <w:rPr>
                <w:sz w:val="1"/>
                <w:szCs w:val="1"/>
                <w:color w:val="auto"/>
              </w:rPr>
            </w:pPr>
          </w:p>
        </w:tc>
      </w:tr>
      <w:tr>
        <w:trPr>
          <w:trHeight w:val="259"/>
        </w:trPr>
        <w:tc>
          <w:tcPr>
            <w:tcW w:w="12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35,516</w:t>
            </w:r>
          </w:p>
        </w:tc>
        <w:tc>
          <w:tcPr>
            <w:tcW w:w="0" w:type="dxa"/>
            <w:vAlign w:val="bottom"/>
          </w:tcPr>
          <w:p>
            <w:pPr>
              <w:spacing w:after="0"/>
              <w:rPr>
                <w:sz w:val="1"/>
                <w:szCs w:val="1"/>
                <w:color w:val="auto"/>
              </w:rPr>
            </w:pPr>
          </w:p>
        </w:tc>
      </w:tr>
      <w:tr>
        <w:trPr>
          <w:trHeight w:val="234"/>
        </w:trPr>
        <w:tc>
          <w:tcPr>
            <w:tcW w:w="1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 Bojarski</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67,123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97,005</w:t>
            </w:r>
          </w:p>
        </w:tc>
        <w:tc>
          <w:tcPr>
            <w:tcW w:w="0" w:type="dxa"/>
            <w:vAlign w:val="bottom"/>
          </w:tcPr>
          <w:p>
            <w:pPr>
              <w:spacing w:after="0"/>
              <w:rPr>
                <w:sz w:val="1"/>
                <w:szCs w:val="1"/>
                <w:color w:val="auto"/>
              </w:rPr>
            </w:pPr>
          </w:p>
        </w:tc>
      </w:tr>
      <w:tr>
        <w:trPr>
          <w:trHeight w:val="108"/>
        </w:trPr>
        <w:tc>
          <w:tcPr>
            <w:tcW w:w="12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31,880</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16,408</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23,868</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78,133</w:t>
            </w:r>
          </w:p>
        </w:tc>
        <w:tc>
          <w:tcPr>
            <w:tcW w:w="0" w:type="dxa"/>
            <w:vAlign w:val="bottom"/>
          </w:tcPr>
          <w:p>
            <w:pPr>
              <w:spacing w:after="0"/>
              <w:rPr>
                <w:sz w:val="1"/>
                <w:szCs w:val="1"/>
                <w:color w:val="auto"/>
              </w:rPr>
            </w:pPr>
          </w:p>
        </w:tc>
      </w:tr>
      <w:tr>
        <w:trPr>
          <w:trHeight w:val="151"/>
        </w:trPr>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45,854</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5"/>
              </w:rPr>
              <w:t>11,182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80,432</w:t>
            </w:r>
          </w:p>
        </w:tc>
        <w:tc>
          <w:tcPr>
            <w:tcW w:w="0" w:type="dxa"/>
            <w:vAlign w:val="bottom"/>
          </w:tcPr>
          <w:p>
            <w:pPr>
              <w:spacing w:after="0"/>
              <w:rPr>
                <w:sz w:val="1"/>
                <w:szCs w:val="1"/>
                <w:color w:val="auto"/>
              </w:rPr>
            </w:pPr>
          </w:p>
        </w:tc>
      </w:tr>
      <w:tr>
        <w:trPr>
          <w:trHeight w:val="256"/>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T.F. DeBruine</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2"/>
                <w:szCs w:val="22"/>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68,912</w:t>
            </w:r>
          </w:p>
        </w:tc>
        <w:tc>
          <w:tcPr>
            <w:tcW w:w="0" w:type="dxa"/>
            <w:vAlign w:val="bottom"/>
          </w:tcPr>
          <w:p>
            <w:pPr>
              <w:spacing w:after="0"/>
              <w:rPr>
                <w:sz w:val="1"/>
                <w:szCs w:val="1"/>
                <w:color w:val="auto"/>
              </w:rPr>
            </w:pPr>
          </w:p>
        </w:tc>
      </w:tr>
      <w:tr>
        <w:trPr>
          <w:trHeight w:val="259"/>
        </w:trPr>
        <w:tc>
          <w:tcPr>
            <w:tcW w:w="12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41,241</w:t>
            </w: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69,987</w:t>
            </w:r>
          </w:p>
        </w:tc>
        <w:tc>
          <w:tcPr>
            <w:tcW w:w="0" w:type="dxa"/>
            <w:vAlign w:val="bottom"/>
          </w:tcPr>
          <w:p>
            <w:pPr>
              <w:spacing w:after="0"/>
              <w:rPr>
                <w:sz w:val="1"/>
                <w:szCs w:val="1"/>
                <w:color w:val="auto"/>
              </w:rPr>
            </w:pPr>
          </w:p>
        </w:tc>
      </w:tr>
      <w:tr>
        <w:trPr>
          <w:trHeight w:val="257"/>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 Gorman</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43,540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72,292</w:t>
            </w:r>
          </w:p>
        </w:tc>
        <w:tc>
          <w:tcPr>
            <w:tcW w:w="0" w:type="dxa"/>
            <w:vAlign w:val="bottom"/>
          </w:tcPr>
          <w:p>
            <w:pPr>
              <w:spacing w:after="0"/>
              <w:rPr>
                <w:sz w:val="1"/>
                <w:szCs w:val="1"/>
                <w:color w:val="auto"/>
              </w:rPr>
            </w:pPr>
          </w:p>
        </w:tc>
      </w:tr>
      <w:tr>
        <w:trPr>
          <w:trHeight w:val="259"/>
        </w:trPr>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44,718</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3,486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72,478</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for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grants of plan-based awards made during fiscal 2024 to the NEOs.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All Other Stock</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Option Awards: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8"/>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Estimated Future Payouts Under Non-Equity</w:t>
            </w:r>
          </w:p>
        </w:tc>
        <w:tc>
          <w:tcPr>
            <w:tcW w:w="2120" w:type="dxa"/>
            <w:vAlign w:val="bottom"/>
            <w:gridSpan w:val="5"/>
          </w:tcPr>
          <w:p>
            <w:pPr>
              <w:jc w:val="center"/>
              <w:ind w:left="342"/>
              <w:spacing w:after="0"/>
              <w:rPr>
                <w:sz w:val="20"/>
                <w:szCs w:val="20"/>
                <w:color w:val="auto"/>
              </w:rPr>
            </w:pPr>
            <w:r>
              <w:rPr>
                <w:rFonts w:ascii="Times New Roman" w:cs="Times New Roman" w:eastAsia="Times New Roman" w:hAnsi="Times New Roman"/>
                <w:sz w:val="12"/>
                <w:szCs w:val="12"/>
                <w:b w:val="1"/>
                <w:bCs w:val="1"/>
                <w:color w:val="auto"/>
                <w:w w:val="96"/>
              </w:rPr>
              <w:t>Estimated Future Payouts Under</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Awards:</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Exercise or</w:t>
            </w:r>
          </w:p>
        </w:tc>
        <w:tc>
          <w:tcPr>
            <w:tcW w:w="80" w:type="dxa"/>
            <w:vAlign w:val="bottom"/>
          </w:tcPr>
          <w:p>
            <w:pPr>
              <w:spacing w:after="0"/>
              <w:rPr>
                <w:sz w:val="12"/>
                <w:szCs w:val="12"/>
                <w:color w:val="auto"/>
              </w:rPr>
            </w:pPr>
          </w:p>
        </w:tc>
        <w:tc>
          <w:tcPr>
            <w:tcW w:w="940" w:type="dxa"/>
            <w:vAlign w:val="bottom"/>
            <w:vMerge w:val="restart"/>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8"/>
              </w:rPr>
              <w:t>Grant Date Fair</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gridSpan w:val="6"/>
          </w:tcPr>
          <w:p>
            <w:pPr>
              <w:jc w:val="center"/>
              <w:ind w:left="422"/>
              <w:spacing w:after="0" w:line="108" w:lineRule="exact"/>
              <w:rPr>
                <w:sz w:val="20"/>
                <w:szCs w:val="20"/>
                <w:color w:val="auto"/>
              </w:rPr>
            </w:pPr>
            <w:r>
              <w:rPr>
                <w:rFonts w:ascii="Times New Roman" w:cs="Times New Roman" w:eastAsia="Times New Roman" w:hAnsi="Times New Roman"/>
                <w:sz w:val="12"/>
                <w:szCs w:val="12"/>
                <w:b w:val="1"/>
                <w:bCs w:val="1"/>
                <w:color w:val="auto"/>
                <w:w w:val="95"/>
              </w:rPr>
              <w:t>Incentive Plan Awards (1)</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gridSpan w:val="5"/>
          </w:tcPr>
          <w:p>
            <w:pPr>
              <w:jc w:val="center"/>
              <w:ind w:left="342"/>
              <w:spacing w:after="0" w:line="108" w:lineRule="exact"/>
              <w:rPr>
                <w:sz w:val="20"/>
                <w:szCs w:val="20"/>
                <w:color w:val="auto"/>
              </w:rPr>
            </w:pPr>
            <w:r>
              <w:rPr>
                <w:rFonts w:ascii="Times New Roman" w:cs="Times New Roman" w:eastAsia="Times New Roman" w:hAnsi="Times New Roman"/>
                <w:sz w:val="12"/>
                <w:szCs w:val="12"/>
                <w:b w:val="1"/>
                <w:bCs w:val="1"/>
                <w:color w:val="auto"/>
                <w:w w:val="95"/>
              </w:rPr>
              <w:t>Equity Incentive Plan Awards (2)</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9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w w:val="95"/>
              </w:rPr>
              <w:t>Base Price of</w:t>
            </w:r>
          </w:p>
        </w:tc>
        <w:tc>
          <w:tcPr>
            <w:tcW w:w="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120"/>
              <w:spacing w:after="0" w:line="95" w:lineRule="exact"/>
              <w:rPr>
                <w:sz w:val="20"/>
                <w:szCs w:val="20"/>
                <w:color w:val="auto"/>
              </w:rPr>
            </w:pPr>
            <w:r>
              <w:rPr>
                <w:rFonts w:ascii="Times New Roman" w:cs="Times New Roman" w:eastAsia="Times New Roman" w:hAnsi="Times New Roman"/>
                <w:sz w:val="9"/>
                <w:szCs w:val="9"/>
                <w:b w:val="1"/>
                <w:bCs w:val="1"/>
                <w:color w:val="auto"/>
              </w:rPr>
              <w:t>Shares of Stock</w:t>
            </w:r>
          </w:p>
        </w:tc>
        <w:tc>
          <w:tcPr>
            <w:tcW w:w="980" w:type="dxa"/>
            <w:vAlign w:val="bottom"/>
            <w:gridSpan w:val="2"/>
            <w:vMerge w:val="restart"/>
          </w:tcPr>
          <w:p>
            <w:pPr>
              <w:jc w:val="center"/>
              <w:ind w:right="100"/>
              <w:spacing w:after="0" w:line="95" w:lineRule="exact"/>
              <w:rPr>
                <w:sz w:val="20"/>
                <w:szCs w:val="20"/>
                <w:color w:val="auto"/>
              </w:rPr>
            </w:pPr>
            <w:r>
              <w:rPr>
                <w:rFonts w:ascii="Times New Roman" w:cs="Times New Roman" w:eastAsia="Times New Roman" w:hAnsi="Times New Roman"/>
                <w:sz w:val="9"/>
                <w:szCs w:val="9"/>
                <w:b w:val="1"/>
                <w:bCs w:val="1"/>
                <w:color w:val="auto"/>
              </w:rPr>
              <w:t>Underlying</w:t>
            </w:r>
          </w:p>
        </w:tc>
        <w:tc>
          <w:tcPr>
            <w:tcW w:w="920" w:type="dxa"/>
            <w:vAlign w:val="bottom"/>
            <w:gridSpan w:val="2"/>
            <w:vMerge w:val="restart"/>
          </w:tcPr>
          <w:p>
            <w:pPr>
              <w:jc w:val="center"/>
              <w:ind w:right="100"/>
              <w:spacing w:after="0" w:line="95" w:lineRule="exact"/>
              <w:rPr>
                <w:sz w:val="20"/>
                <w:szCs w:val="20"/>
                <w:color w:val="auto"/>
              </w:rPr>
            </w:pPr>
            <w:r>
              <w:rPr>
                <w:rFonts w:ascii="Times New Roman" w:cs="Times New Roman" w:eastAsia="Times New Roman" w:hAnsi="Times New Roman"/>
                <w:sz w:val="9"/>
                <w:szCs w:val="9"/>
                <w:b w:val="1"/>
                <w:bCs w:val="1"/>
                <w:color w:val="auto"/>
              </w:rPr>
              <w:t>Stock or</w:t>
            </w:r>
          </w:p>
        </w:tc>
        <w:tc>
          <w:tcPr>
            <w:tcW w:w="1020" w:type="dxa"/>
            <w:vAlign w:val="bottom"/>
            <w:gridSpan w:val="2"/>
            <w:vMerge w:val="restart"/>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Value of Stock and</w:t>
            </w: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0"/>
                <w:szCs w:val="10"/>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300" w:type="dxa"/>
            <w:vAlign w:val="bottom"/>
            <w:vMerge w:val="restart"/>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1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60" w:type="dxa"/>
            <w:vAlign w:val="bottom"/>
            <w:vMerge w:val="restart"/>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6"/>
              </w:rPr>
              <w:t>Target ($)</w:t>
            </w:r>
          </w:p>
        </w:tc>
        <w:tc>
          <w:tcPr>
            <w:tcW w:w="100" w:type="dxa"/>
            <w:vAlign w:val="bottom"/>
            <w:vMerge w:val="restart"/>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10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120" w:type="dxa"/>
            <w:vAlign w:val="bottom"/>
            <w:vMerge w:val="restart"/>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Target (#)</w:t>
            </w:r>
          </w:p>
        </w:tc>
        <w:tc>
          <w:tcPr>
            <w:tcW w:w="120" w:type="dxa"/>
            <w:vAlign w:val="bottom"/>
            <w:vMerge w:val="restart"/>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120" w:type="dxa"/>
            <w:vAlign w:val="bottom"/>
          </w:tcPr>
          <w:p>
            <w:pPr>
              <w:spacing w:after="0"/>
              <w:rPr>
                <w:sz w:val="10"/>
                <w:szCs w:val="10"/>
                <w:color w:val="auto"/>
              </w:rPr>
            </w:pPr>
          </w:p>
        </w:tc>
        <w:tc>
          <w:tcPr>
            <w:tcW w:w="9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rPr>
              <w:t>or Units</w:t>
            </w:r>
          </w:p>
        </w:tc>
        <w:tc>
          <w:tcPr>
            <w:tcW w:w="9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9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w w:val="96"/>
              </w:rPr>
              <w:t>Option Awards</w:t>
            </w:r>
          </w:p>
        </w:tc>
        <w:tc>
          <w:tcPr>
            <w:tcW w:w="80" w:type="dxa"/>
            <w:vAlign w:val="bottom"/>
          </w:tcPr>
          <w:p>
            <w:pPr>
              <w:spacing w:after="0"/>
              <w:rPr>
                <w:sz w:val="10"/>
                <w:szCs w:val="10"/>
                <w:color w:val="auto"/>
              </w:rPr>
            </w:pPr>
          </w:p>
        </w:tc>
        <w:tc>
          <w:tcPr>
            <w:tcW w:w="94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2"/>
                <w:szCs w:val="12"/>
                <w:b w:val="1"/>
                <w:bCs w:val="1"/>
                <w:color w:val="auto"/>
                <w:w w:val="96"/>
              </w:rPr>
              <w:t>Option Awards</w:t>
            </w:r>
          </w:p>
        </w:tc>
        <w:tc>
          <w:tcPr>
            <w:tcW w:w="0" w:type="dxa"/>
            <w:vAlign w:val="bottom"/>
          </w:tcPr>
          <w:p>
            <w:pPr>
              <w:spacing w:after="0"/>
              <w:rPr>
                <w:sz w:val="1"/>
                <w:szCs w:val="1"/>
                <w:color w:val="auto"/>
              </w:rPr>
            </w:pPr>
          </w:p>
        </w:tc>
      </w:tr>
      <w:tr>
        <w:trPr>
          <w:trHeight w:val="157"/>
        </w:trPr>
        <w:tc>
          <w:tcPr>
            <w:tcW w:w="8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CCEEFF"/>
            </w:tcBorders>
            <w:vMerge w:val="continue"/>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(3)</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(4)</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154"/>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R.R. Shaller</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874,500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2,623,500</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94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8/1/2023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8,676</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34,705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6"/>
              </w:rPr>
              <w:t>69,410</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1,775,508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12"/>
                <w:szCs w:val="12"/>
                <w:color w:val="auto"/>
                <w:w w:val="98"/>
              </w:rPr>
              <w:t>10/2/2023</w:t>
            </w: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32,400</w:t>
            </w: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1,775,520</w:t>
            </w:r>
          </w:p>
        </w:tc>
        <w:tc>
          <w:tcPr>
            <w:tcW w:w="0" w:type="dxa"/>
            <w:vAlign w:val="bottom"/>
          </w:tcPr>
          <w:p>
            <w:pPr>
              <w:spacing w:after="0"/>
              <w:rPr>
                <w:sz w:val="1"/>
                <w:szCs w:val="1"/>
                <w:color w:val="auto"/>
              </w:rPr>
            </w:pPr>
          </w:p>
        </w:tc>
      </w:tr>
      <w:tr>
        <w:trPr>
          <w:trHeight w:val="15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A.E. Thornton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330,750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992,250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8"/>
              </w:rPr>
              <w:t>8/1/2023</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1,649</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6"/>
              </w:rPr>
              <w:t>13,194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337,503</w:t>
            </w: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94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8"/>
              </w:rPr>
              <w:t>10/2/2023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right"/>
              <w:ind w:right="3"/>
              <w:spacing w:after="0"/>
              <w:rPr>
                <w:sz w:val="20"/>
                <w:szCs w:val="20"/>
                <w:color w:val="auto"/>
              </w:rPr>
            </w:pPr>
            <w:r>
              <w:rPr>
                <w:rFonts w:ascii="Times New Roman" w:cs="Times New Roman" w:eastAsia="Times New Roman" w:hAnsi="Times New Roman"/>
                <w:sz w:val="12"/>
                <w:szCs w:val="12"/>
                <w:color w:val="auto"/>
              </w:rPr>
              <w:t>6,159</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337,513</w:t>
            </w:r>
          </w:p>
        </w:tc>
        <w:tc>
          <w:tcPr>
            <w:tcW w:w="0" w:type="dxa"/>
            <w:vAlign w:val="bottom"/>
          </w:tcPr>
          <w:p>
            <w:pPr>
              <w:spacing w:after="0"/>
              <w:rPr>
                <w:sz w:val="1"/>
                <w:szCs w:val="1"/>
                <w:color w:val="auto"/>
              </w:rPr>
            </w:pPr>
          </w:p>
        </w:tc>
      </w:tr>
      <w:tr>
        <w:trPr>
          <w:trHeight w:val="165"/>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 Bojarski</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349,875</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1,049,625</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94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8/1/2023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1,667</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6"/>
              </w:rPr>
              <w:t>13,332</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341,033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12"/>
                <w:szCs w:val="12"/>
                <w:color w:val="auto"/>
                <w:w w:val="98"/>
              </w:rPr>
              <w:t>10/2/2023</w:t>
            </w: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6,223</w:t>
            </w: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341,020</w:t>
            </w:r>
          </w:p>
        </w:tc>
        <w:tc>
          <w:tcPr>
            <w:tcW w:w="0" w:type="dxa"/>
            <w:vAlign w:val="bottom"/>
          </w:tcPr>
          <w:p>
            <w:pPr>
              <w:spacing w:after="0"/>
              <w:rPr>
                <w:sz w:val="1"/>
                <w:szCs w:val="1"/>
                <w:color w:val="auto"/>
              </w:rPr>
            </w:pPr>
          </w:p>
        </w:tc>
      </w:tr>
      <w:tr>
        <w:trPr>
          <w:trHeight w:val="15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T.F. DeBruine</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183,221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549,663</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8"/>
              </w:rPr>
              <w:t>8/1/2023</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4,302</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110,046</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94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8"/>
              </w:rPr>
              <w:t>10/2/2023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right"/>
              <w:ind w:right="3"/>
              <w:spacing w:after="0"/>
              <w:rPr>
                <w:sz w:val="20"/>
                <w:szCs w:val="20"/>
                <w:color w:val="auto"/>
              </w:rPr>
            </w:pPr>
            <w:r>
              <w:rPr>
                <w:rFonts w:ascii="Times New Roman" w:cs="Times New Roman" w:eastAsia="Times New Roman" w:hAnsi="Times New Roman"/>
                <w:sz w:val="12"/>
                <w:szCs w:val="12"/>
                <w:color w:val="auto"/>
              </w:rPr>
              <w:t>2,008</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110,038</w:t>
            </w:r>
          </w:p>
        </w:tc>
        <w:tc>
          <w:tcPr>
            <w:tcW w:w="0" w:type="dxa"/>
            <w:vAlign w:val="bottom"/>
          </w:tcPr>
          <w:p>
            <w:pPr>
              <w:spacing w:after="0"/>
              <w:rPr>
                <w:sz w:val="1"/>
                <w:szCs w:val="1"/>
                <w:color w:val="auto"/>
              </w:rPr>
            </w:pPr>
          </w:p>
        </w:tc>
      </w:tr>
      <w:tr>
        <w:trPr>
          <w:trHeight w:val="166"/>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 Gorman</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207,000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621,000</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94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8/1/2023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770</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6,158</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157,522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12"/>
                <w:szCs w:val="12"/>
                <w:color w:val="auto"/>
                <w:w w:val="98"/>
              </w:rPr>
              <w:t>10/2/2023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2,875</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157,550</w:t>
            </w: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660" w:hanging="328"/>
        <w:spacing w:after="0" w:line="257"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July 2023 meeting, the Committee approved the values of the annual cash incentive award threshold, target and maximums under the Company's annual cash incentive plan. The structure of the plan is described in the Compensation Discussion and Analysis above and was set prior to the beginning of the fiscal year.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granted August 1, 2023, as part of the annual fiscal 2024 equity grant. These PRSUs have a three-year performance period with the number of shares issued at vesting determined by the Company's achievement of revenue and diluted EPS growth goals over the three-year performance period. Payout opportunities will range from 0% to 200% of the target award. Target payout is set at 100% of award value, with threshold and maximum payouts set at 25% and 200% of target award value, respectively.</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awards vest equally over three years.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line="282"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price for the RSU and PRSU awards is the average of the high and low prices of the Company’s Class A Common Stock as reported by the NYSE on the date of the grant.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July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Equity Incentive Plan</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Equity Incentive Plan</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Market or</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Payout Value of</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Option</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16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Number of</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13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 or Units of</w:t>
            </w:r>
          </w:p>
        </w:tc>
        <w:tc>
          <w:tcPr>
            <w:tcW w:w="16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Stock That</w:t>
            </w:r>
          </w:p>
        </w:tc>
        <w:tc>
          <w:tcPr>
            <w:tcW w:w="13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Stock That Have Not</w:t>
            </w:r>
          </w:p>
        </w:tc>
        <w:tc>
          <w:tcPr>
            <w:tcW w:w="16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 Rights</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Rights That Have Not</w:t>
            </w:r>
          </w:p>
        </w:tc>
        <w:tc>
          <w:tcPr>
            <w:tcW w:w="0" w:type="dxa"/>
            <w:vAlign w:val="bottom"/>
          </w:tcPr>
          <w:p>
            <w:pPr>
              <w:spacing w:after="0"/>
              <w:rPr>
                <w:sz w:val="1"/>
                <w:szCs w:val="1"/>
                <w:color w:val="auto"/>
              </w:rPr>
            </w:pPr>
          </w:p>
        </w:tc>
      </w:tr>
      <w:tr>
        <w:trPr>
          <w:trHeight w:val="135"/>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3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6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 Not Vested</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71"/>
        </w:trPr>
        <w:tc>
          <w:tcPr>
            <w:tcW w:w="122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174"/>
        </w:trPr>
        <w:tc>
          <w:tcPr>
            <w:tcW w:w="1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R.R. Shaller</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23,576</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25,636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9/30/2030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6,832</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9/16/2031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40,619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20,309</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4/1/2032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3800" w:type="dxa"/>
            <w:vAlign w:val="bottom"/>
          </w:tcPr>
          <w:p>
            <w:pPr>
              <w:jc w:val="right"/>
              <w:ind w:right="2937"/>
              <w:spacing w:after="0"/>
              <w:rPr>
                <w:sz w:val="20"/>
                <w:szCs w:val="20"/>
                <w:color w:val="auto"/>
              </w:rPr>
            </w:pPr>
            <w:r>
              <w:rPr>
                <w:rFonts w:ascii="Times New Roman" w:cs="Times New Roman" w:eastAsia="Times New Roman" w:hAnsi="Times New Roman"/>
                <w:sz w:val="13"/>
                <w:szCs w:val="13"/>
                <w:color w:val="auto"/>
              </w:rPr>
              <w:t>115,077</w:t>
            </w:r>
          </w:p>
        </w:tc>
      </w:tr>
      <w:tr>
        <w:trPr>
          <w:trHeight w:val="181"/>
        </w:trPr>
        <w:tc>
          <w:tcPr>
            <w:tcW w:w="6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shd w:val="clear" w:color="auto" w:fill="CCEEFF"/>
          </w:tcPr>
          <w:p>
            <w:pPr>
              <w:spacing w:after="0"/>
              <w:rPr>
                <w:sz w:val="15"/>
                <w:szCs w:val="15"/>
                <w:color w:val="auto"/>
              </w:rPr>
            </w:pPr>
          </w:p>
        </w:tc>
        <w:tc>
          <w:tcPr>
            <w:tcW w:w="3800" w:type="dxa"/>
            <w:vAlign w:val="bottom"/>
            <w:shd w:val="clear" w:color="auto" w:fill="CCEEFF"/>
          </w:tcPr>
          <w:p>
            <w:pPr>
              <w:jc w:val="right"/>
              <w:ind w:right="2937"/>
              <w:spacing w:after="0"/>
              <w:rPr>
                <w:sz w:val="20"/>
                <w:szCs w:val="20"/>
                <w:color w:val="auto"/>
              </w:rPr>
            </w:pPr>
            <w:r>
              <w:rPr>
                <w:rFonts w:ascii="Times New Roman" w:cs="Times New Roman" w:eastAsia="Times New Roman" w:hAnsi="Times New Roman"/>
                <w:sz w:val="13"/>
                <w:szCs w:val="13"/>
                <w:color w:val="auto"/>
              </w:rPr>
              <w:t>127,752</w:t>
            </w:r>
          </w:p>
        </w:tc>
      </w:tr>
      <w:tr>
        <w:trPr>
          <w:trHeight w:val="170"/>
        </w:trPr>
        <w:tc>
          <w:tcPr>
            <w:tcW w:w="6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5,428</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4"/>
                <w:szCs w:val="14"/>
                <w:color w:val="auto"/>
              </w:rPr>
            </w:pPr>
          </w:p>
        </w:tc>
        <w:tc>
          <w:tcPr>
            <w:tcW w:w="3800" w:type="dxa"/>
            <w:vAlign w:val="bottom"/>
          </w:tcPr>
          <w:p>
            <w:pPr>
              <w:jc w:val="right"/>
              <w:ind w:right="2937"/>
              <w:spacing w:after="0"/>
              <w:rPr>
                <w:sz w:val="20"/>
                <w:szCs w:val="20"/>
                <w:color w:val="auto"/>
              </w:rPr>
            </w:pPr>
            <w:r>
              <w:rPr>
                <w:rFonts w:ascii="Times New Roman" w:cs="Times New Roman" w:eastAsia="Times New Roman" w:hAnsi="Times New Roman"/>
                <w:sz w:val="13"/>
                <w:szCs w:val="13"/>
                <w:color w:val="auto"/>
              </w:rPr>
              <w:t>388,699</w:t>
            </w:r>
          </w:p>
        </w:tc>
      </w:tr>
      <w:tr>
        <w:trPr>
          <w:trHeight w:val="181"/>
        </w:trPr>
        <w:tc>
          <w:tcPr>
            <w:tcW w:w="6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32,400</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shd w:val="clear" w:color="auto" w:fill="CCEEFF"/>
          </w:tcPr>
          <w:p>
            <w:pPr>
              <w:spacing w:after="0"/>
              <w:rPr>
                <w:sz w:val="15"/>
                <w:szCs w:val="15"/>
                <w:color w:val="auto"/>
              </w:rPr>
            </w:pPr>
          </w:p>
        </w:tc>
        <w:tc>
          <w:tcPr>
            <w:tcW w:w="3800" w:type="dxa"/>
            <w:vAlign w:val="bottom"/>
            <w:shd w:val="clear" w:color="auto" w:fill="CCEEFF"/>
          </w:tcPr>
          <w:p>
            <w:pPr>
              <w:jc w:val="right"/>
              <w:ind w:right="2937"/>
              <w:spacing w:after="0"/>
              <w:rPr>
                <w:sz w:val="20"/>
                <w:szCs w:val="20"/>
                <w:color w:val="auto"/>
              </w:rPr>
            </w:pPr>
            <w:r>
              <w:rPr>
                <w:rFonts w:ascii="Times New Roman" w:cs="Times New Roman" w:eastAsia="Times New Roman" w:hAnsi="Times New Roman"/>
                <w:sz w:val="13"/>
                <w:szCs w:val="13"/>
                <w:color w:val="auto"/>
              </w:rPr>
              <w:t>2,320,164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2,897</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w:t>
            </w:r>
          </w:p>
        </w:tc>
        <w:tc>
          <w:tcPr>
            <w:tcW w:w="4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207,454</w:t>
            </w: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(8)</w:t>
            </w: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207,454</w:t>
            </w:r>
          </w:p>
        </w:tc>
      </w:tr>
      <w:tr>
        <w:trPr>
          <w:trHeight w:val="170"/>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10,428</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(9)</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746,749</w:t>
            </w: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10,428</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w:t>
            </w: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746,749</w:t>
            </w:r>
          </w:p>
        </w:tc>
      </w:tr>
      <w:tr>
        <w:trPr>
          <w:trHeight w:val="170"/>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34,705</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(11)</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2,485,225</w:t>
            </w:r>
          </w:p>
        </w:tc>
      </w:tr>
      <w:tr>
        <w:trPr>
          <w:trHeight w:val="262"/>
        </w:trPr>
        <w:tc>
          <w:tcPr>
            <w:tcW w:w="13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170"/>
        </w:trPr>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A.E. Thornton</w:t>
            </w: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4,080</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35.14</w:t>
            </w:r>
          </w:p>
        </w:tc>
        <w:tc>
          <w:tcPr>
            <w:tcW w:w="1900" w:type="dxa"/>
            <w:vAlign w:val="bottom"/>
          </w:tcPr>
          <w:p>
            <w:pPr>
              <w:jc w:val="right"/>
              <w:ind w:right="1037"/>
              <w:spacing w:after="0"/>
              <w:rPr>
                <w:sz w:val="20"/>
                <w:szCs w:val="20"/>
                <w:color w:val="auto"/>
              </w:rPr>
            </w:pPr>
            <w:r>
              <w:rPr>
                <w:rFonts w:ascii="Times New Roman" w:cs="Times New Roman" w:eastAsia="Times New Roman" w:hAnsi="Times New Roman"/>
                <w:sz w:val="13"/>
                <w:szCs w:val="13"/>
                <w:color w:val="auto"/>
              </w:rPr>
              <w:t>9/23/2026</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3,775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36.85</w:t>
            </w:r>
          </w:p>
        </w:tc>
        <w:tc>
          <w:tcPr>
            <w:tcW w:w="190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3"/>
                <w:szCs w:val="13"/>
                <w:color w:val="auto"/>
              </w:rPr>
              <w:t>9/22/2027</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136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3,302</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43.98</w:t>
            </w:r>
          </w:p>
        </w:tc>
        <w:tc>
          <w:tcPr>
            <w:tcW w:w="1900" w:type="dxa"/>
            <w:vAlign w:val="bottom"/>
          </w:tcPr>
          <w:p>
            <w:pPr>
              <w:jc w:val="right"/>
              <w:ind w:right="1037"/>
              <w:spacing w:after="0"/>
              <w:rPr>
                <w:sz w:val="20"/>
                <w:szCs w:val="20"/>
                <w:color w:val="auto"/>
              </w:rPr>
            </w:pPr>
            <w:r>
              <w:rPr>
                <w:rFonts w:ascii="Times New Roman" w:cs="Times New Roman" w:eastAsia="Times New Roman" w:hAnsi="Times New Roman"/>
                <w:sz w:val="13"/>
                <w:szCs w:val="13"/>
                <w:color w:val="auto"/>
              </w:rPr>
              <w:t>9/25/2028</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3,021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54.05</w:t>
            </w:r>
          </w:p>
        </w:tc>
        <w:tc>
          <w:tcPr>
            <w:tcW w:w="190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3"/>
                <w:szCs w:val="13"/>
                <w:color w:val="auto"/>
              </w:rPr>
              <w:t>9/20/2029</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136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4,273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39.92</w:t>
            </w:r>
          </w:p>
        </w:tc>
        <w:tc>
          <w:tcPr>
            <w:tcW w:w="1900" w:type="dxa"/>
            <w:vAlign w:val="bottom"/>
          </w:tcPr>
          <w:p>
            <w:pPr>
              <w:jc w:val="right"/>
              <w:ind w:right="1037"/>
              <w:spacing w:after="0"/>
              <w:rPr>
                <w:sz w:val="20"/>
                <w:szCs w:val="20"/>
                <w:color w:val="auto"/>
              </w:rPr>
            </w:pPr>
            <w:r>
              <w:rPr>
                <w:rFonts w:ascii="Times New Roman" w:cs="Times New Roman" w:eastAsia="Times New Roman" w:hAnsi="Times New Roman"/>
                <w:sz w:val="13"/>
                <w:szCs w:val="13"/>
                <w:color w:val="auto"/>
              </w:rPr>
              <w:t>9/30/2030</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2,278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49.79</w:t>
            </w:r>
          </w:p>
        </w:tc>
        <w:tc>
          <w:tcPr>
            <w:tcW w:w="190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3"/>
                <w:szCs w:val="13"/>
                <w:color w:val="auto"/>
              </w:rPr>
              <w:t>9/16/2031</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136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1,334</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2,666</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w:t>
            </w:r>
          </w:p>
        </w:tc>
        <w:tc>
          <w:tcPr>
            <w:tcW w:w="28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43.50</w:t>
            </w:r>
          </w:p>
        </w:tc>
        <w:tc>
          <w:tcPr>
            <w:tcW w:w="1900" w:type="dxa"/>
            <w:vAlign w:val="bottom"/>
          </w:tcPr>
          <w:p>
            <w:pPr>
              <w:jc w:val="right"/>
              <w:ind w:right="1037"/>
              <w:spacing w:after="0"/>
              <w:rPr>
                <w:sz w:val="20"/>
                <w:szCs w:val="20"/>
                <w:color w:val="auto"/>
              </w:rPr>
            </w:pPr>
            <w:r>
              <w:rPr>
                <w:rFonts w:ascii="Times New Roman" w:cs="Times New Roman" w:eastAsia="Times New Roman" w:hAnsi="Times New Roman"/>
                <w:sz w:val="13"/>
                <w:szCs w:val="13"/>
                <w:color w:val="auto"/>
              </w:rPr>
              <w:t>9/19/2032</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(13)</w:t>
            </w:r>
          </w:p>
        </w:tc>
        <w:tc>
          <w:tcPr>
            <w:tcW w:w="48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159,619</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(3)</w:t>
            </w:r>
          </w:p>
        </w:tc>
        <w:tc>
          <w:tcPr>
            <w:tcW w:w="480" w:type="dxa"/>
            <w:vAlign w:val="bottom"/>
          </w:tcPr>
          <w:p>
            <w:pPr>
              <w:spacing w:after="0"/>
              <w:rPr>
                <w:sz w:val="14"/>
                <w:szCs w:val="14"/>
                <w:color w:val="auto"/>
              </w:rPr>
            </w:pPr>
          </w:p>
        </w:tc>
        <w:tc>
          <w:tcPr>
            <w:tcW w:w="214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19,191</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(14)</w:t>
            </w: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59,317</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6,159</w:t>
            </w: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(6)</w:t>
            </w:r>
          </w:p>
        </w:tc>
        <w:tc>
          <w:tcPr>
            <w:tcW w:w="480" w:type="dxa"/>
            <w:vAlign w:val="bottom"/>
          </w:tcPr>
          <w:p>
            <w:pPr>
              <w:spacing w:after="0"/>
              <w:rPr>
                <w:sz w:val="14"/>
                <w:szCs w:val="14"/>
                <w:color w:val="auto"/>
              </w:rPr>
            </w:pPr>
          </w:p>
        </w:tc>
        <w:tc>
          <w:tcPr>
            <w:tcW w:w="214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441,046</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6,597</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(11)</w:t>
            </w:r>
          </w:p>
        </w:tc>
        <w:tc>
          <w:tcPr>
            <w:tcW w:w="4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472,411</w:t>
            </w:r>
          </w:p>
        </w:tc>
      </w:tr>
      <w:tr>
        <w:trPr>
          <w:trHeight w:val="257"/>
        </w:trPr>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75"/>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 Bojarski</w:t>
            </w: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8,175</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(15)</w:t>
            </w:r>
          </w:p>
        </w:tc>
        <w:tc>
          <w:tcPr>
            <w:tcW w:w="48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585,412</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6,223</w:t>
            </w: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(6)</w:t>
            </w:r>
          </w:p>
        </w:tc>
        <w:tc>
          <w:tcPr>
            <w:tcW w:w="480" w:type="dxa"/>
            <w:vAlign w:val="bottom"/>
          </w:tcPr>
          <w:p>
            <w:pPr>
              <w:spacing w:after="0"/>
              <w:rPr>
                <w:sz w:val="14"/>
                <w:szCs w:val="14"/>
                <w:color w:val="auto"/>
              </w:rPr>
            </w:pPr>
          </w:p>
        </w:tc>
        <w:tc>
          <w:tcPr>
            <w:tcW w:w="214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445,629</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6,666</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(11)</w:t>
            </w:r>
          </w:p>
        </w:tc>
        <w:tc>
          <w:tcPr>
            <w:tcW w:w="4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477,352</w:t>
            </w:r>
          </w:p>
        </w:tc>
      </w:tr>
      <w:tr>
        <w:trPr>
          <w:trHeight w:val="257"/>
        </w:trPr>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75"/>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T.F. DeBruine</w:t>
            </w:r>
          </w:p>
        </w:tc>
        <w:tc>
          <w:tcPr>
            <w:tcW w:w="13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2,162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54.05</w:t>
            </w:r>
          </w:p>
        </w:tc>
        <w:tc>
          <w:tcPr>
            <w:tcW w:w="190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3"/>
                <w:szCs w:val="13"/>
                <w:color w:val="auto"/>
              </w:rPr>
              <w:t>9/20/2029</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136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1,556</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49.79</w:t>
            </w:r>
          </w:p>
        </w:tc>
        <w:tc>
          <w:tcPr>
            <w:tcW w:w="1900" w:type="dxa"/>
            <w:vAlign w:val="bottom"/>
          </w:tcPr>
          <w:p>
            <w:pPr>
              <w:jc w:val="right"/>
              <w:ind w:right="1037"/>
              <w:spacing w:after="0"/>
              <w:rPr>
                <w:sz w:val="20"/>
                <w:szCs w:val="20"/>
                <w:color w:val="auto"/>
              </w:rPr>
            </w:pPr>
            <w:r>
              <w:rPr>
                <w:rFonts w:ascii="Times New Roman" w:cs="Times New Roman" w:eastAsia="Times New Roman" w:hAnsi="Times New Roman"/>
                <w:sz w:val="13"/>
                <w:szCs w:val="13"/>
                <w:color w:val="auto"/>
              </w:rPr>
              <w:t>9/16/2031</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3,369</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43.50</w:t>
            </w:r>
          </w:p>
        </w:tc>
        <w:tc>
          <w:tcPr>
            <w:tcW w:w="190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3"/>
                <w:szCs w:val="13"/>
                <w:color w:val="auto"/>
              </w:rPr>
              <w:t>9/19/2032</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(3)</w:t>
            </w: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11,959</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(16)</w:t>
            </w: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52,275</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(14)</w:t>
            </w:r>
          </w:p>
        </w:tc>
        <w:tc>
          <w:tcPr>
            <w:tcW w:w="480" w:type="dxa"/>
            <w:vAlign w:val="bottom"/>
          </w:tcPr>
          <w:p>
            <w:pPr>
              <w:spacing w:after="0"/>
              <w:rPr>
                <w:sz w:val="14"/>
                <w:szCs w:val="14"/>
                <w:color w:val="auto"/>
              </w:rPr>
            </w:pPr>
          </w:p>
        </w:tc>
        <w:tc>
          <w:tcPr>
            <w:tcW w:w="214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65,881</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(6)</w:t>
            </w: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1317"/>
              <w:spacing w:after="0"/>
              <w:rPr>
                <w:sz w:val="20"/>
                <w:szCs w:val="20"/>
                <w:color w:val="auto"/>
              </w:rPr>
            </w:pPr>
            <w:r>
              <w:rPr>
                <w:rFonts w:ascii="Times New Roman" w:cs="Times New Roman" w:eastAsia="Times New Roman" w:hAnsi="Times New Roman"/>
                <w:sz w:val="13"/>
                <w:szCs w:val="13"/>
                <w:color w:val="auto"/>
              </w:rPr>
              <w:t>143,793</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4"/>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(9)</w:t>
            </w:r>
          </w:p>
        </w:tc>
        <w:tc>
          <w:tcPr>
            <w:tcW w:w="4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58,935</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w w:val="93"/>
              </w:rPr>
              <w:t>Option Awards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Equity Incentive Plan</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Equity Incentive Plan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Market or</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Payout Value of</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Number 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 or Units of</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Stock That</w:t>
            </w:r>
          </w:p>
        </w:tc>
        <w:tc>
          <w:tcPr>
            <w:tcW w:w="340" w:type="dxa"/>
            <w:vAlign w:val="bottom"/>
          </w:tcPr>
          <w:p>
            <w:pPr>
              <w:spacing w:after="0"/>
              <w:rPr>
                <w:sz w:val="10"/>
                <w:szCs w:val="10"/>
                <w:color w:val="auto"/>
              </w:rPr>
            </w:pPr>
          </w:p>
        </w:tc>
        <w:tc>
          <w:tcPr>
            <w:tcW w:w="13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Stock That Have Not</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 Rights</w:t>
            </w:r>
          </w:p>
        </w:tc>
        <w:tc>
          <w:tcPr>
            <w:tcW w:w="36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Rights That Have Not</w:t>
            </w:r>
          </w:p>
        </w:tc>
        <w:tc>
          <w:tcPr>
            <w:tcW w:w="0" w:type="dxa"/>
            <w:vAlign w:val="bottom"/>
          </w:tcPr>
          <w:p>
            <w:pPr>
              <w:spacing w:after="0"/>
              <w:rPr>
                <w:sz w:val="1"/>
                <w:szCs w:val="1"/>
                <w:color w:val="auto"/>
              </w:rPr>
            </w:pPr>
          </w:p>
        </w:tc>
      </w:tr>
      <w:tr>
        <w:trPr>
          <w:trHeight w:val="135"/>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 Not Vested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71"/>
        </w:trPr>
        <w:tc>
          <w:tcPr>
            <w:tcW w:w="120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174"/>
        </w:trPr>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58,935</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2,151</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154,033</w:t>
            </w:r>
          </w:p>
        </w:tc>
        <w:tc>
          <w:tcPr>
            <w:tcW w:w="0" w:type="dxa"/>
            <w:vAlign w:val="bottom"/>
          </w:tcPr>
          <w:p>
            <w:pPr>
              <w:spacing w:after="0"/>
              <w:rPr>
                <w:sz w:val="1"/>
                <w:szCs w:val="1"/>
                <w:color w:val="auto"/>
              </w:rPr>
            </w:pPr>
          </w:p>
        </w:tc>
      </w:tr>
      <w:tr>
        <w:trPr>
          <w:trHeight w:val="262"/>
        </w:trPr>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A.T. Gorman</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8,736</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9/30/2030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9/16/2031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4,039</w:t>
            </w: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9/19/2032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36,306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w:t>
            </w: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83,139</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205,879</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65,523</w:t>
            </w: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65,523</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74,403</w:t>
            </w: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74,403</w:t>
            </w: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3,079</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220,487</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640" w:hanging="38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vest on September 16, 2024.</w:t>
      </w:r>
    </w:p>
    <w:p>
      <w:pPr>
        <w:spacing w:after="0" w:line="27" w:lineRule="exact"/>
        <w:rPr>
          <w:rFonts w:ascii="Times New Roman" w:cs="Times New Roman" w:eastAsia="Times New Roman" w:hAnsi="Times New Roman"/>
          <w:sz w:val="18"/>
          <w:szCs w:val="18"/>
          <w:color w:val="auto"/>
        </w:rPr>
      </w:pPr>
    </w:p>
    <w:p>
      <w:pPr>
        <w:ind w:left="660" w:right="2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2022, Mr. Shaller was awarded 60,928 stock options as part of his appointment to President, CEO and Director. The remaining options vest on April 1, 2025.</w:t>
      </w:r>
    </w:p>
    <w:p>
      <w:pPr>
        <w:ind w:left="660" w:right="2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RSUs awarded on September 16, 2021 as part of the annual fiscal 2022 equity grant. The remaining units vest on September 16, 2024.</w:t>
      </w:r>
    </w:p>
    <w:p>
      <w:pPr>
        <w:ind w:left="660" w:right="2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2022, Mr. Shaller was awarded a one-time special equity grant of 5,354 RSUs as part of his appointment to President, CEO and Director. The remaining units vest on April 1, 2025.</w:t>
      </w:r>
    </w:p>
    <w:p>
      <w:pPr>
        <w:jc w:val="both"/>
        <w:ind w:left="66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2022, Mr. Shaller was awarded 16,285 RSUs as part of his appointment to President, CEO and Director. This award represents Mr. Shaller's fiscal 2024 annual equity grant in which he received at an earlier grant date of April 1, 2023 to correspond with timing of his appointment to President, CEO and Director. One-half of the units vest on April 1, 2024, and the remaining units vest on April 1, 2025.</w:t>
      </w:r>
    </w:p>
    <w:p>
      <w:pPr>
        <w:spacing w:after="0" w:line="1" w:lineRule="exact"/>
        <w:rPr>
          <w:rFonts w:ascii="Times New Roman" w:cs="Times New Roman" w:eastAsia="Times New Roman" w:hAnsi="Times New Roman"/>
          <w:sz w:val="18"/>
          <w:szCs w:val="18"/>
          <w:color w:val="auto"/>
        </w:rPr>
      </w:pPr>
    </w:p>
    <w:p>
      <w:pPr>
        <w:ind w:left="66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RSUs awarded on October 2, 2023 as part of the annual fiscal 2024 equity grant. One third of the units vest on October 2, 2024, one-third of the units vest on October 2, 2025 and one-third of the units vest on October 2, 2026.</w:t>
      </w:r>
    </w:p>
    <w:p>
      <w:pPr>
        <w:jc w:val="both"/>
        <w:ind w:left="66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2, 2021, as part of the annual fiscal 2022 equity grant. These PRSUs have a three-year performance period with the number of shares issued at vesting determined relative to the Company's revenue performance measured with respect to organic revenue growth over four equally-weighted performance periods.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66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2, 2021, as part of the annual fiscal 2022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660" w:hanging="409"/>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1, 2022, as part of the annual fiscal 2023 equity grant. These PRSUs have a three-year performance period with the number of shares issued at vesting determined relative to the Company's revenue performance measured with respect to organic revenue growth over four equally-weighted performance periods.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660" w:hanging="409"/>
        <w:spacing w:after="0" w:line="250" w:lineRule="auto"/>
        <w:tabs>
          <w:tab w:leader="none" w:pos="6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1, 2022, as part of the annual fiscal 2023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ind w:left="660" w:hanging="409"/>
        <w:spacing w:after="0" w:line="260" w:lineRule="auto"/>
        <w:tabs>
          <w:tab w:leader="none" w:pos="64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1, 2023, as part of the annual fiscal 2024 equity grant. These PRSUs have a three-year performance period with the number of shares issued at vesting determined by the Company's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achievement of revenue and diluted EPS growth goals over the three-year performance period. Payout opportunities will range from 0% to 200% of the target award. The amounts listed above are based on the target value of each award (100%).</w:t>
      </w:r>
    </w:p>
    <w:p>
      <w:pPr>
        <w:ind w:left="640" w:hanging="389"/>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the options vest on September 19, 2024, and the remaining options vest on September 19, 2025.</w:t>
      </w:r>
    </w:p>
    <w:p>
      <w:pPr>
        <w:spacing w:after="0" w:line="9"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June 21, 2021, Ms. Thornton was awarded 4,459 RSUs for retention purposes. The remaining units vest on June 21, 2025.</w:t>
      </w:r>
    </w:p>
    <w:p>
      <w:pPr>
        <w:spacing w:after="0" w:line="9" w:lineRule="exact"/>
        <w:rPr>
          <w:rFonts w:ascii="Times New Roman" w:cs="Times New Roman" w:eastAsia="Times New Roman" w:hAnsi="Times New Roman"/>
          <w:sz w:val="18"/>
          <w:szCs w:val="18"/>
          <w:color w:val="auto"/>
        </w:rPr>
      </w:pPr>
    </w:p>
    <w:p>
      <w:pPr>
        <w:ind w:left="660" w:hanging="409"/>
        <w:spacing w:after="0" w:line="250" w:lineRule="auto"/>
        <w:tabs>
          <w:tab w:leader="none" w:pos="6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RSUs awarded on September 19, 2022 as part of the annual fiscal 2023 equity grant. One-half of the units vest on September 19, 2024, and the remaining units vest on September 19, 2025.</w:t>
      </w:r>
    </w:p>
    <w:p>
      <w:pPr>
        <w:ind w:left="660" w:hanging="409"/>
        <w:spacing w:after="0" w:line="250" w:lineRule="auto"/>
        <w:tabs>
          <w:tab w:leader="none" w:pos="6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25, 2022, Mr. Bojarski was awarded 12,263 RSUs as part of his appointment as President - Identification Solutions. One-third of the units vest on August 25, 2023, one-third of the units vest on August 25, 2024 and one-third of the units vest on August 25, 2025.</w:t>
      </w:r>
    </w:p>
    <w:p>
      <w:pPr>
        <w:ind w:left="660" w:hanging="409"/>
        <w:spacing w:after="0" w:line="260" w:lineRule="auto"/>
        <w:tabs>
          <w:tab w:leader="none" w:pos="6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11, 2022, Mr. DeBruine was awarded 2,191 RSUs when he was named Vice President of Global Operations. The remaining units vest on April 11,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for Fiscal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exercises and the vesting of restricted stock during fiscal 2024 to the NEOs.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Value Realized on Exercise</w:t>
            </w:r>
          </w:p>
        </w:tc>
        <w:tc>
          <w:tcPr>
            <w:tcW w:w="18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1820" w:type="dxa"/>
            <w:vAlign w:val="bottom"/>
            <w:gridSpan w:val="3"/>
            <w:vMerge w:val="continue"/>
          </w:tcPr>
          <w:p>
            <w:pPr>
              <w:spacing w:after="0"/>
              <w:rPr>
                <w:sz w:val="12"/>
                <w:szCs w:val="12"/>
                <w:color w:val="auto"/>
              </w:rPr>
            </w:pPr>
          </w:p>
        </w:tc>
        <w:tc>
          <w:tcPr>
            <w:tcW w:w="1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40" w:type="dxa"/>
            <w:vAlign w:val="bottom"/>
            <w:gridSpan w:val="2"/>
            <w:vMerge w:val="continue"/>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 (1)</w:t>
            </w: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 (2)</w:t>
            </w:r>
          </w:p>
        </w:tc>
        <w:tc>
          <w:tcPr>
            <w:tcW w:w="0" w:type="dxa"/>
            <w:vAlign w:val="bottom"/>
          </w:tcPr>
          <w:p>
            <w:pPr>
              <w:spacing w:after="0"/>
              <w:rPr>
                <w:sz w:val="1"/>
                <w:szCs w:val="1"/>
                <w:color w:val="auto"/>
              </w:rPr>
            </w:pPr>
          </w:p>
        </w:tc>
      </w:tr>
      <w:tr>
        <w:trPr>
          <w:trHeight w:val="228"/>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915,281</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 Thornton</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201,053</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 Bojarski</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203,848</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T.F. DeBruine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261,165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88,769</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328"/>
        <w:spacing w:after="0" w:line="261"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of stock options reflects the difference between the option exercise price and the market price at exercise multiplied by the number of shares.</w:t>
      </w:r>
    </w:p>
    <w:p>
      <w:pPr>
        <w:ind w:left="660" w:hanging="328"/>
        <w:spacing w:after="0" w:line="26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of stock awards reflects the number of shares vested multiplied by the market price (average of the high and low of the stock price) of the stock on the vest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 for Fiscal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the NEOs participated in a defined benefit pension plan during fiscal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for Fiscal 2024</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within the Executive Deferred Compensation Plan and the Brady Restoration Plan during fiscal 2024 for the NEOs.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320" w:type="dxa"/>
            <w:vAlign w:val="bottom"/>
          </w:tcPr>
          <w:p>
            <w:pPr>
              <w:spacing w:after="0"/>
              <w:rPr>
                <w:sz w:val="13"/>
                <w:szCs w:val="13"/>
                <w:color w:val="auto"/>
              </w:rPr>
            </w:pPr>
          </w:p>
        </w:tc>
        <w:tc>
          <w:tcPr>
            <w:tcW w:w="15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 at</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5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in Fiscal 2024</w:t>
            </w:r>
          </w:p>
        </w:tc>
        <w:tc>
          <w:tcPr>
            <w:tcW w:w="1840" w:type="dxa"/>
            <w:vAlign w:val="bottom"/>
            <w:gridSpan w:val="3"/>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Withdrawals/Distributions</w:t>
            </w:r>
          </w:p>
        </w:tc>
        <w:tc>
          <w:tcPr>
            <w:tcW w:w="220" w:type="dxa"/>
            <w:vAlign w:val="bottom"/>
          </w:tcPr>
          <w:p>
            <w:pPr>
              <w:spacing w:after="0"/>
              <w:rPr>
                <w:sz w:val="11"/>
                <w:szCs w:val="11"/>
                <w:color w:val="auto"/>
              </w:rPr>
            </w:pPr>
          </w:p>
        </w:tc>
        <w:tc>
          <w:tcPr>
            <w:tcW w:w="1200" w:type="dxa"/>
            <w:vAlign w:val="bottom"/>
          </w:tcPr>
          <w:p>
            <w:pPr>
              <w:jc w:val="center"/>
              <w:ind w:right="135"/>
              <w:spacing w:after="0" w:line="137" w:lineRule="exact"/>
              <w:rPr>
                <w:sz w:val="20"/>
                <w:szCs w:val="20"/>
                <w:color w:val="auto"/>
              </w:rPr>
            </w:pPr>
            <w:r>
              <w:rPr>
                <w:rFonts w:ascii="Times New Roman" w:cs="Times New Roman" w:eastAsia="Times New Roman" w:hAnsi="Times New Roman"/>
                <w:sz w:val="14"/>
                <w:szCs w:val="14"/>
                <w:b w:val="1"/>
                <w:bCs w:val="1"/>
                <w:color w:val="auto"/>
              </w:rPr>
              <w:t>July 31, 2024</w:t>
            </w:r>
          </w:p>
        </w:tc>
        <w:tc>
          <w:tcPr>
            <w:tcW w:w="0" w:type="dxa"/>
            <w:vAlign w:val="bottom"/>
          </w:tcPr>
          <w:p>
            <w:pPr>
              <w:spacing w:after="0"/>
              <w:rPr>
                <w:sz w:val="1"/>
                <w:szCs w:val="1"/>
                <w:color w:val="auto"/>
              </w:rPr>
            </w:pPr>
          </w:p>
        </w:tc>
      </w:tr>
      <w:tr>
        <w:trPr>
          <w:trHeight w:val="190"/>
        </w:trPr>
        <w:tc>
          <w:tcPr>
            <w:tcW w:w="3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2,717,236</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 Thornton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116,099</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 Bojarski</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433,554</w:t>
            </w: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T.F. DeBruine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371,431</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executive contribution amounts included in this table are derived from the Salary and Non-Equity Incentive Plan Compensation columns of the Summary Compensation Table. The Company's contribution amounts included in this table are reported in the All Other Compensation columns of the Summary Compensation Table. Amounts reported in the aggregate balance at July 31, 2024, net of historical earnings and losses were previously reported as compensation to the NEO in the Summary Compensation Table for previous years. See discussion of the Company's non-qualified deferred compensation plans in the Compensation Discussion and Analysis.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of Control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described in the Employment and Change of Control Agreements section of the Compensation Discussion and Analysis above, the Company has entered into an employment offer letter with Mr. Shaller and change of control agreements with all of the NEOs that provide for benefits following termination of employment and/or a change of control. In addition, our equity incentive plans provide for certain potential benefits upon a change of control.</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offer letter entered into with Mr. Shaller provides that he is deemed an at-will employee but will receive a severance benefit equal to equal to two times the sum of his base salary and target bonus, payable in monthly installments over a 24-month period, in the event his employment is terminated without cause or he resigns for good reason as described therein. The offer letter also contains 24-month non-competition and non-solicitation provisions, as well as standard confidentiality and non-disparagement provisions. None of the other NEOs have any severance agreements or similar arrangements that would apply outside of a change of control.</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the change of control agreement are triggered if, within a 24-month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annual cash incentive in comparison with the executive’s annual base salary and target annual cash incentive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Following termination due to a change of control, executives shall be paid a multiplier of their annual base salary in effect immediately prior to the date the change of control occurs plus a multiplier of their annual cash incentive payment as discussed in their respective change of control agreements prior to the date the change of control occurs, payable in monthly installments over a 24-month period. If the payments upon termination due to change of control result in any excise tax being incurred by Messrs. Shaller, Bojarski, DeBruine and Gorman and Ms. Thornton as a result of Section 280G of the Internal Revenue Code, the officer will be solely responsible for such excise tax. The Company will also reimburse a maximum of $25,000 of legal fees incurred by the executives in order to enforce the change of control agreement, in which the executive prevails. The Company's change of control agreements contain confidentiality provisions.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information and tables set forth the amount of payments to each NEO in the event of termination of employment as a result of a change of control. No other employment agreements providing specified payments upon termination have been entered into between the Company and any of the NEOs in fiscal year 2024.</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Assumptions and General Principles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assumptions and general principles apply with respect to the tables that follow in this section.</w:t>
      </w:r>
    </w:p>
    <w:p>
      <w:pPr>
        <w:spacing w:after="0" w:line="171" w:lineRule="exact"/>
        <w:rPr>
          <w:sz w:val="20"/>
          <w:szCs w:val="20"/>
          <w:color w:val="auto"/>
        </w:rPr>
      </w:pPr>
    </w:p>
    <w:p>
      <w:pPr>
        <w:jc w:val="both"/>
        <w:ind w:left="660" w:hanging="328"/>
        <w:spacing w:after="0" w:line="25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detailed in the tables assume that each NEO terminated employment on July 31, 2024. Accordingly, the tables reflect amounts earned as of July 31, 2024, and include estimates of amounts that would be paid to the NEO upon the termination or occurrence of a change of control. The actual amounts that would be paid to an NEO can only be determined at the time of termination.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tables below include amounts the Company is obligated to pay the NEO as a result of the severance agreement and executed change of control agreement or under the applicable equity incentive plan. The tables do not include benefits that are paid generally to all salaried employees or a broad group of salaried employees. Therefore, the NEOs would receive benefits in addition to those set forth in the tables.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NEO is entitled to receive base salary earned during their term of employment regardless of the manner in which the named executive officer’s employment is terminated. As such, this amount is not disclosed in the tables.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Russell R. Shaller</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or equity incentive plan were triggered on July 31, 2024,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4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00" w:type="dxa"/>
            <w:vAlign w:val="bottom"/>
          </w:tcPr>
          <w:p>
            <w:pPr>
              <w:spacing w:after="0"/>
              <w:rPr>
                <w:sz w:val="13"/>
                <w:szCs w:val="13"/>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6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0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00" w:type="dxa"/>
            <w:vAlign w:val="bottom"/>
          </w:tcPr>
          <w:p>
            <w:pPr>
              <w:spacing w:after="0"/>
              <w:rPr>
                <w:sz w:val="16"/>
                <w:szCs w:val="16"/>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20" w:type="dxa"/>
            <w:vAlign w:val="bottom"/>
          </w:tcPr>
          <w:p>
            <w:pPr>
              <w:spacing w:after="0"/>
              <w:rPr>
                <w:sz w:val="16"/>
                <w:szCs w:val="16"/>
                <w:color w:val="auto"/>
              </w:rPr>
            </w:pPr>
          </w:p>
        </w:tc>
        <w:tc>
          <w:tcPr>
            <w:tcW w:w="13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7,300,640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654,971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11,478,611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2024.</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2024.</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$71.61 on 101,950 unvested RSUs and PRSU awards that would vest due to change of control (regardless of whether employment were terminated). The restricted stock unit acceleration gain for PRSUs is based on the number of shares earned based on actual performance for the fiscal 2022 award and target performance for the fiscal 2023 and 2024 awards.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$71.61 and the exercise price on 27,141 unvested, in-the-money stock options that would vest due to change of control.</w:t>
      </w: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outlines the amount payable assuming that the severance terms of Mr. Shaller's offer letter were triggered on July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Annual Cash Incentive ($) (2)</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tcPr>
          <w:p>
            <w:pPr>
              <w:jc w:val="right"/>
              <w:ind w:right="1479"/>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3"/>
        </w:trPr>
        <w:tc>
          <w:tcPr>
            <w:tcW w:w="2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23"/>
        </w:trPr>
        <w:tc>
          <w:tcPr>
            <w:tcW w:w="2640" w:type="dxa"/>
            <w:vAlign w:val="bottom"/>
            <w:shd w:val="clear" w:color="auto" w:fill="CCEEFF"/>
          </w:tcPr>
          <w:p>
            <w:pPr>
              <w:jc w:val="right"/>
              <w:ind w:right="24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1,749,000</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ind w:right="26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3,498,000</w:t>
            </w:r>
          </w:p>
        </w:tc>
      </w:tr>
    </w:tbl>
    <w:p>
      <w:pPr>
        <w:spacing w:after="0" w:line="225"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2024.</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2024.</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Mr. Shaller is eligible for continued vesting of equity awards through the retirement conditions of the applicable equity incentive plan agreements, which requires the employee to reach age 60 and 5 years of service, the following table outlines the amount subject to continued vesting assuming that Mr. Shaller retired on July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Pr>
          <w:p>
            <w:pPr>
              <w:spacing w:after="0"/>
              <w:rPr>
                <w:sz w:val="16"/>
                <w:szCs w:val="16"/>
                <w:color w:val="auto"/>
              </w:rPr>
            </w:pPr>
          </w:p>
        </w:tc>
        <w:tc>
          <w:tcPr>
            <w:tcW w:w="22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RSU ($) (1)</w:t>
            </w:r>
          </w:p>
        </w:tc>
        <w:tc>
          <w:tcPr>
            <w:tcW w:w="540" w:type="dxa"/>
            <w:vAlign w:val="bottom"/>
          </w:tcPr>
          <w:p>
            <w:pPr>
              <w:spacing w:after="0"/>
              <w:rPr>
                <w:sz w:val="16"/>
                <w:szCs w:val="16"/>
                <w:color w:val="auto"/>
              </w:rPr>
            </w:pPr>
          </w:p>
        </w:tc>
        <w:tc>
          <w:tcPr>
            <w:tcW w:w="23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PRSU ($) (2)</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 option ($) (3)</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20" w:type="dxa"/>
            <w:vAlign w:val="bottom"/>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3"/>
        </w:trPr>
        <w:tc>
          <w:tcPr>
            <w:tcW w:w="5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3"/>
        </w:trPr>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2,951,693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2,181,384</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18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654,971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5,788,048</w:t>
            </w:r>
          </w:p>
        </w:tc>
      </w:tr>
    </w:tbl>
    <w:p>
      <w:pPr>
        <w:spacing w:after="0" w:line="238" w:lineRule="exact"/>
        <w:rPr>
          <w:sz w:val="20"/>
          <w:szCs w:val="20"/>
          <w:color w:val="auto"/>
        </w:rPr>
      </w:pPr>
    </w:p>
    <w:p>
      <w:pPr>
        <w:ind w:left="660" w:right="20" w:hanging="328"/>
        <w:spacing w:after="0" w:line="261"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$71.61 on 41,219 unvested RSU awards that would continue vesting as part of satisfying retirement conditions.</w:t>
      </w:r>
    </w:p>
    <w:p>
      <w:pPr>
        <w:jc w:val="both"/>
        <w:ind w:left="660" w:hanging="328"/>
        <w:spacing w:after="0" w:line="250"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$71.61 on 30,462 unvested PRSU awards that would continue vesting as part of satisfying retirement conditions. The value for PRSUs is based on the number of shares earned based on actual performance for the fiscal 2022 award and target performance for the fiscal 2023 and 2024 awards pro-rated for service period satisfied.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$71.61 and the exercise price on 27,141 unvested, in-the-money stock options that would continue vesting as part of satisfying retirement conditions.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 E. Thornton</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or equity incentive plan were triggered on July 31, 2024,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661,500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1,147,121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2,878,393</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2024.</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2024.</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$71.61 on 16,019 unvested RSUs and PRSUs that would vest due to the change of control. The restricted stock unit acceleration gain for PRSUs is based on the number of shares earned based on target performance for the 2024 awards.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line="261"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$71.61 and the exercise price on 3,804 unvested, in-the-money stock options that would vest due to change of control.</w:t>
      </w: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Olivier Bojarski</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or equity incentive plan were triggered on July 31, 2024,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6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Gain ($)</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699,750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1,508,393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3,166,143</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2024.</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2024.</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$71.61 on 21,064 unvested RSUs and PRSUs that would vest due to the change in control. The restricted stock unit acceleration gain for PRSUs is based on the number of shares earned based on target performance for the 2024 awards.</w:t>
      </w: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Thomas F. DeBruine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or equity incentive plan were triggered on July 31, 2024,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545,811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2,122,468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2024.</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$71.61 on 7,622 unvested RSUs and PRSUs that would vest due to the change of control. The restricted stock unit acceleration gain for PRSUs is based on the number of shares earned based on target performance for the 2023 and 2024 awards.</w:t>
      </w:r>
    </w:p>
    <w:p>
      <w:pPr>
        <w:ind w:left="660" w:hanging="328"/>
        <w:spacing w:after="0" w:line="250" w:lineRule="auto"/>
        <w:tabs>
          <w:tab w:leader="none" w:pos="6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$71.61 and the exercise price on 4,146 unvested, in-the-money stock options that would vest due to change of control.</w:t>
      </w: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Andrew T. Gorman</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or equity incentive plan were triggered on July 31, 2024, and the NEO was required to legally enforce the terms of the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7"/>
                <w:szCs w:val="17"/>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20" w:type="dxa"/>
            <w:vAlign w:val="bottom"/>
          </w:tcPr>
          <w:p>
            <w:pPr>
              <w:spacing w:after="0"/>
              <w:rPr>
                <w:sz w:val="17"/>
                <w:szCs w:val="17"/>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00" w:type="dxa"/>
            <w:vAlign w:val="bottom"/>
          </w:tcPr>
          <w:p>
            <w:pPr>
              <w:spacing w:after="0"/>
              <w:rPr>
                <w:sz w:val="17"/>
                <w:szCs w:val="17"/>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222,756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811,556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1,910,892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2024.</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annual cash incentive payment received in the last three years ended July 31, 2024, 2023 and 2022.</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$71.61 on 11,333 unvested RSUs and PRSUs that would vest due to the change of control. The restricted stock unit acceleration gain for PRSUs is based on the number of shares earned based on actual performance for the fiscal 2022 award and target performance for the fiscal 2023 and 2024 awards.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$71.61 and the exercise price on 6,195 unvested, in-the-money stock options that would vest due to change of control.</w:t>
      </w: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Due to Death or Disability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termination due to death or disability, all unexercised, unexpired stock options would immediately vest and all restricted stock unit awards would immediately become unrestricted and fully vested. The following table shows the amount payable to the NEOs should this event occur on July 31,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 RSUs and</w:t>
            </w:r>
          </w:p>
        </w:tc>
        <w:tc>
          <w:tcPr>
            <w:tcW w:w="32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RSUs and</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 In-the-Money</w:t>
            </w:r>
          </w:p>
        </w:tc>
        <w:tc>
          <w:tcPr>
            <w:tcW w:w="120" w:type="dxa"/>
            <w:vAlign w:val="bottom"/>
          </w:tcPr>
          <w:p>
            <w:pPr>
              <w:spacing w:after="0"/>
              <w:rPr>
                <w:sz w:val="13"/>
                <w:szCs w:val="13"/>
                <w:color w:val="auto"/>
              </w:rPr>
            </w:pPr>
          </w:p>
        </w:tc>
        <w:tc>
          <w:tcPr>
            <w:tcW w:w="15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0" w:type="dxa"/>
            <w:vAlign w:val="bottom"/>
          </w:tcPr>
          <w:p>
            <w:pPr>
              <w:spacing w:after="0"/>
              <w:rPr>
                <w:sz w:val="1"/>
                <w:szCs w:val="1"/>
                <w:color w:val="auto"/>
              </w:rPr>
            </w:pPr>
          </w:p>
        </w:tc>
      </w:tr>
      <w:tr>
        <w:trPr>
          <w:trHeight w:val="146"/>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gridSpan w:val="2"/>
            <w:vMerge w:val="continue"/>
          </w:tcPr>
          <w:p>
            <w:pPr>
              <w:spacing w:after="0"/>
              <w:rPr>
                <w:sz w:val="12"/>
                <w:szCs w:val="12"/>
                <w:color w:val="auto"/>
              </w:rPr>
            </w:pPr>
          </w:p>
        </w:tc>
        <w:tc>
          <w:tcPr>
            <w:tcW w:w="17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PRSUs Acceleration Gain</w:t>
            </w:r>
          </w:p>
        </w:tc>
        <w:tc>
          <w:tcPr>
            <w:tcW w:w="17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 Options as of</w:t>
            </w:r>
          </w:p>
        </w:tc>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240" w:type="dxa"/>
            <w:vAlign w:val="bottom"/>
            <w:vMerge w:val="continue"/>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PRSUs as of July 31, 2024</w:t>
            </w:r>
          </w:p>
        </w:tc>
        <w:tc>
          <w:tcPr>
            <w:tcW w:w="320" w:type="dxa"/>
            <w:vAlign w:val="bottom"/>
          </w:tcPr>
          <w:p>
            <w:pPr>
              <w:spacing w:after="0"/>
              <w:rPr>
                <w:sz w:val="17"/>
                <w:szCs w:val="17"/>
                <w:color w:val="auto"/>
              </w:rPr>
            </w:pPr>
          </w:p>
        </w:tc>
        <w:tc>
          <w:tcPr>
            <w:tcW w:w="134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 (1)</w:t>
            </w:r>
          </w:p>
        </w:tc>
        <w:tc>
          <w:tcPr>
            <w:tcW w:w="12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17"/>
                <w:szCs w:val="17"/>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Acceleration Gain $ (2)</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7,300,640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654,971</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 Thornton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1,147,121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 Bojarski</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1,508,393</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T.F. DeBruine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545,811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811,556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57"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$71.61 on unvested RSUs and PRSUs awards that would vest due to death or disability. The restricted stock unit acceleration gain for PRSUs is based on the number of shares earned based on actual performance for the fiscal 2022 award and target performance for the fiscal 2023 and 2024 awards.</w:t>
      </w:r>
    </w:p>
    <w:p>
      <w:pPr>
        <w:spacing w:after="0" w:line="1"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$71.61 and the exercise price on unvested, in-the-money stock options that would vest due to death or disability.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Pay Ratio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Summarized below is the ratio of the total compensation of our CEO, Russell R. Shaller, to the total compensation of our median employee.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fiscal 2024:</w:t>
      </w:r>
    </w:p>
    <w:p>
      <w:pPr>
        <w:spacing w:after="0" w:line="171"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of our employees, other than the CEO, was $52,698;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as reported in the Summary Compensation Table, was $6,047,828.</w:t>
      </w:r>
    </w:p>
    <w:p>
      <w:pPr>
        <w:spacing w:after="0" w:line="1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Accordingly, the ratio of the CEO’s annual total compensation to the median of the annual total compensation of all other employees was approximately 115:1.</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fiscal 2024, to identify the median of the annual total compensation of all our employees, as well as to determine the annual total compensation of our median employee, we used the following methodology and assumptions:</w:t>
      </w:r>
    </w:p>
    <w:p>
      <w:pPr>
        <w:spacing w:after="0" w:line="108" w:lineRule="exact"/>
        <w:rPr>
          <w:sz w:val="20"/>
          <w:szCs w:val="20"/>
          <w:color w:val="auto"/>
        </w:rPr>
      </w:pPr>
    </w:p>
    <w:p>
      <w:pPr>
        <w:jc w:val="both"/>
        <w:ind w:left="660" w:hanging="328"/>
        <w:spacing w:after="0" w:line="257"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measurement date of May 31, 2024 was used to identify our median employee, which is within three months of the Company's fiscal 2024 year end. As of this date, the Company's total employee population, excluding the CEO, consisted of 5,660 individuals, which comprised all full-time and part-time employees.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population consisted of 5,660 individuals, of which 1,577 were in the United States and 4,083 were outside of the United States.</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annual total cash compensation earned by our employees, as compiled from our payroll records, as the consistently applied compensation measure by which to determine the median employee. This reflects the principal forms of compensation delivered to all of our employees and is readily available in each country.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compensation of employees for the full fiscal year and for employees hired during the fiscal year.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employees outside of the United States, we used applicable currency exchange rates based on the average exchange rate over the period to convert all compensation data.</w:t>
      </w:r>
    </w:p>
    <w:p>
      <w:pPr>
        <w:ind w:left="660" w:right="20" w:hanging="328"/>
        <w:spacing w:after="0" w:line="26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median employee's total compensation for 2024 was calculated in the same manner as total compensation for each of the NEOs within the Summary Compensation Table and includes contributions to health and welfare benefits.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Pay Versus Performance table summarizes compensation for our principal executive officers ("PEOs") and the average compensation amounts to all other non-PEO NEOs as reported in the Summary Compensation Table ("SCT") for the past three fiscal years, as well as amounts for Compensation Actually Paid ("CAP") to these groups calculated and reported as required under new SEC disclosure requirements. The below table also includes the Company's Total Shareholder Return ("TSR") results, Peer Group TSR, net income and the Company selected performance measure - Operating Income. We have selected Operating Income as our primary financial measure we consider to be most important in linking performance to compensation actually paid as the Company's overall NEO compensation structure is designed to drive profitable growth leading to long-term shareholder value creation.</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Pay Versus Performance Table (1) (2)</w:t>
      </w:r>
    </w:p>
    <w:p>
      <w:pPr>
        <w:sectPr>
          <w:pgSz w:w="11900" w:h="16838" w:orient="portrait"/>
          <w:cols w:equalWidth="0" w:num="1">
            <w:col w:w="11240"/>
          </w:cols>
          <w:pgMar w:left="320" w:top="118" w:right="339" w:bottom="1440" w:gutter="0" w:footer="0" w:header="0"/>
        </w:sectPr>
      </w:pP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for PEO ($)</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 PEO ($) (3)</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Avg. Summary</w:t>
            </w:r>
          </w:p>
        </w:tc>
        <w:tc>
          <w:tcPr>
            <w:tcW w:w="11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3"/>
              </w:rPr>
              <w:t>Avg.</w:t>
            </w: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Pr>
          <w:p>
            <w:pPr>
              <w:jc w:val="center"/>
              <w:ind w:left="8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37"/>
        </w:trPr>
        <w:tc>
          <w:tcPr>
            <w:tcW w:w="4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Russell R.</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 Michael</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Russell R.</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 Michael</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140" w:type="dxa"/>
            <w:vAlign w:val="bottom"/>
          </w:tcPr>
          <w:p>
            <w:pPr>
              <w:jc w:val="center"/>
              <w:ind w:left="88"/>
              <w:spacing w:after="0" w:line="137"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1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90"/>
        </w:trPr>
        <w:tc>
          <w:tcPr>
            <w:tcW w:w="4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Shaller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Nauman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Shaller</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Nauman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p>
      <w:pPr>
        <w:spacing w:after="0" w:line="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Investment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13335</wp:posOffset>
            </wp:positionV>
            <wp:extent cx="13201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080" w:type="dxa"/>
            <w:vAlign w:val="bottom"/>
          </w:tcPr>
          <w:p>
            <w:pPr>
              <w:spacing w:after="0"/>
              <w:rPr>
                <w:sz w:val="13"/>
                <w:szCs w:val="13"/>
                <w:color w:val="auto"/>
              </w:rPr>
            </w:pPr>
          </w:p>
        </w:tc>
        <w:tc>
          <w:tcPr>
            <w:tcW w:w="74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6"/>
        </w:trPr>
        <w:tc>
          <w:tcPr>
            <w:tcW w:w="940" w:type="dxa"/>
            <w:vAlign w:val="bottom"/>
            <w:vMerge w:val="continue"/>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80" w:type="dxa"/>
            <w:vAlign w:val="bottom"/>
            <w:vMerge w:val="continue"/>
          </w:tcPr>
          <w:p>
            <w:pPr>
              <w:spacing w:after="0"/>
              <w:rPr>
                <w:sz w:val="12"/>
                <w:szCs w:val="12"/>
                <w:color w:val="auto"/>
              </w:rPr>
            </w:pPr>
          </w:p>
        </w:tc>
        <w:tc>
          <w:tcPr>
            <w:tcW w:w="74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Income (in</w:t>
            </w:r>
          </w:p>
        </w:tc>
        <w:tc>
          <w:tcPr>
            <w:tcW w:w="0" w:type="dxa"/>
            <w:vAlign w:val="bottom"/>
          </w:tcPr>
          <w:p>
            <w:pPr>
              <w:spacing w:after="0"/>
              <w:rPr>
                <w:sz w:val="1"/>
                <w:szCs w:val="1"/>
                <w:color w:val="auto"/>
              </w:rPr>
            </w:pPr>
          </w:p>
        </w:tc>
      </w:tr>
      <w:tr>
        <w:trPr>
          <w:trHeight w:val="193"/>
        </w:trPr>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Return ($) (4)</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Return ($) (4)</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980" w:space="300"/>
            <w:col w:w="39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86"/>
        </w:trPr>
        <w:tc>
          <w:tcPr>
            <w:tcW w:w="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6,047,828</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8,594,965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1,708,664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197,215</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247,841</w:t>
            </w:r>
          </w:p>
        </w:tc>
      </w:tr>
      <w:tr>
        <w:trPr>
          <w:trHeight w:val="195"/>
        </w:trPr>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3,242,497</w:t>
            </w:r>
          </w:p>
        </w:tc>
        <w:tc>
          <w:tcPr>
            <w:tcW w:w="240" w:type="dxa"/>
            <w:vAlign w:val="bottom"/>
          </w:tcPr>
          <w:p>
            <w:pPr>
              <w:spacing w:after="0"/>
              <w:rPr>
                <w:sz w:val="16"/>
                <w:szCs w:val="16"/>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3,538,707</w:t>
            </w:r>
          </w:p>
        </w:tc>
        <w:tc>
          <w:tcPr>
            <w:tcW w:w="240" w:type="dxa"/>
            <w:vAlign w:val="bottom"/>
          </w:tcPr>
          <w:p>
            <w:pPr>
              <w:spacing w:after="0"/>
              <w:rPr>
                <w:sz w:val="16"/>
                <w:szCs w:val="16"/>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1,451,355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1,168,258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174,857</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225,213</w:t>
            </w:r>
          </w:p>
        </w:tc>
      </w:tr>
      <w:tr>
        <w:trPr>
          <w:trHeight w:val="210"/>
        </w:trPr>
        <w:tc>
          <w:tcPr>
            <w:tcW w:w="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3,968,554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3,495,286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1,943,107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1,033,900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737,420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149,979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193,012</w:t>
            </w:r>
          </w:p>
        </w:tc>
      </w:tr>
      <w:tr>
        <w:trPr>
          <w:trHeight w:val="188"/>
        </w:trPr>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6,006,185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7,053,521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1,454,883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1,664,845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129,659</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167,127</w:t>
            </w:r>
          </w:p>
        </w:tc>
      </w:tr>
    </w:tbl>
    <w:p>
      <w:pPr>
        <w:spacing w:after="0" w:line="252" w:lineRule="exact"/>
        <w:rPr>
          <w:sz w:val="20"/>
          <w:szCs w:val="20"/>
          <w:color w:val="auto"/>
        </w:rPr>
      </w:pPr>
    </w:p>
    <w:p>
      <w:pPr>
        <w:jc w:val="both"/>
        <w:ind w:left="660" w:hanging="328"/>
        <w:spacing w:after="0" w:line="257"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2022, J. Michael Nauman retired as the Company's PEO effective April 1, 2022. Effective that same day, Russell R. Shaller was appointed the Company's new PEO. Compensation information is provided separately for each PEO. Mr. Nauman was also the Company's PEO for fiscal 2021.</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non-PEO NEOs for each fiscal year were as follows: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2024: Ann E. Thornton, Olivier Bojarski, Thomas F. DeBruine, and Andrew T. Gorman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2023: Ann E. Thornton, Olivier Bojarski, Bentley N. Curran, Andrew T. Gorman, Pascal Deman, and Aaron J. Pearce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2022: Aaron J. Pearce, Bentley N. Curran, Pascal Deman, Andrew T. Gorman, and Helena R. Nelligan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2021: Aaron J. Pearce, Bentley N. Curran, Helena R. Nelligan, and Russell R. Shaller</w:t>
      </w:r>
    </w:p>
    <w:p>
      <w:pPr>
        <w:spacing w:after="0" w:line="9" w:lineRule="exact"/>
        <w:rPr>
          <w:sz w:val="20"/>
          <w:szCs w:val="20"/>
          <w:color w:val="auto"/>
        </w:rPr>
      </w:pPr>
    </w:p>
    <w:p>
      <w:pPr>
        <w:jc w:val="both"/>
        <w:ind w:left="660" w:hanging="328"/>
        <w:spacing w:after="0" w:line="250"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CAP have been calculated in accordance with Item 402(v) of Regulation S-K and do not reflect compensation actually realized or received by the Company’s NEOs. These amounts reflect total compensation as set forth in the Summary Compensation Table above for each year, adjusted as described in the reconciliation tables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S&amp;P SmallCap 600 Industrials Index, which we also utilize in the stock performance graph required by Item 201(e) of Regulation S-K included in Item 5. Market for Registrant’s Common Equity, Related Stockholder Matters and Issuer Purchases of Equity Securities above. The comparison assumes $100 was invested for the period starting July 31, 2020, through the end of the listed year in the Company and in the S&amp;P SmallCap 600 Industrials Index, respectively. Historical stock performance is not necessarily indicative of future stock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PEO SCT Total to CAP Reconciliation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Less:</w:t>
            </w:r>
          </w:p>
        </w:tc>
        <w:tc>
          <w:tcPr>
            <w:tcW w:w="420" w:type="dxa"/>
            <w:vAlign w:val="bottom"/>
          </w:tcPr>
          <w:p>
            <w:pPr>
              <w:spacing w:after="0"/>
              <w:rPr>
                <w:sz w:val="13"/>
                <w:szCs w:val="13"/>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rPr>
              <w:t>Plus:</w:t>
            </w: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PEO Name</w:t>
            </w:r>
          </w:p>
        </w:tc>
        <w:tc>
          <w:tcPr>
            <w:tcW w:w="320" w:type="dxa"/>
            <w:vAlign w:val="bottom"/>
          </w:tcPr>
          <w:p>
            <w:pPr>
              <w:spacing w:after="0"/>
              <w:rPr>
                <w:sz w:val="11"/>
                <w:szCs w:val="11"/>
                <w:color w:val="auto"/>
              </w:rPr>
            </w:pPr>
          </w:p>
        </w:tc>
        <w:tc>
          <w:tcPr>
            <w:tcW w:w="1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80" w:type="dxa"/>
            <w:vAlign w:val="bottom"/>
          </w:tcPr>
          <w:p>
            <w:pPr>
              <w:spacing w:after="0"/>
              <w:rPr>
                <w:sz w:val="11"/>
                <w:szCs w:val="11"/>
                <w:color w:val="auto"/>
              </w:rPr>
            </w:pPr>
          </w:p>
        </w:tc>
        <w:tc>
          <w:tcPr>
            <w:tcW w:w="17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Reported Value of Equity</w:t>
            </w:r>
          </w:p>
        </w:tc>
        <w:tc>
          <w:tcPr>
            <w:tcW w:w="19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Equity Award Adjustments</w:t>
            </w:r>
          </w:p>
        </w:tc>
        <w:tc>
          <w:tcPr>
            <w:tcW w:w="300" w:type="dxa"/>
            <w:vAlign w:val="bottom"/>
          </w:tcPr>
          <w:p>
            <w:pPr>
              <w:spacing w:after="0"/>
              <w:rPr>
                <w:sz w:val="11"/>
                <w:szCs w:val="11"/>
                <w:color w:val="auto"/>
              </w:rPr>
            </w:pPr>
          </w:p>
        </w:tc>
        <w:tc>
          <w:tcPr>
            <w:tcW w:w="148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CAP to PEO</w:t>
            </w:r>
          </w:p>
        </w:tc>
        <w:tc>
          <w:tcPr>
            <w:tcW w:w="0" w:type="dxa"/>
            <w:vAlign w:val="bottom"/>
          </w:tcPr>
          <w:p>
            <w:pPr>
              <w:spacing w:after="0"/>
              <w:rPr>
                <w:sz w:val="1"/>
                <w:szCs w:val="1"/>
                <w:color w:val="auto"/>
              </w:rPr>
            </w:pPr>
          </w:p>
        </w:tc>
      </w:tr>
      <w:tr>
        <w:trPr>
          <w:trHeight w:val="190"/>
        </w:trPr>
        <w:tc>
          <w:tcPr>
            <w:tcW w:w="1940" w:type="dxa"/>
            <w:vAlign w:val="bottom"/>
            <w:gridSpan w:val="2"/>
            <w:vMerge w:val="continue"/>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420" w:type="dxa"/>
            <w:vAlign w:val="bottom"/>
          </w:tcPr>
          <w:p>
            <w:pPr>
              <w:spacing w:after="0"/>
              <w:rPr>
                <w:sz w:val="16"/>
                <w:szCs w:val="16"/>
                <w:color w:val="auto"/>
              </w:rPr>
            </w:pPr>
          </w:p>
        </w:tc>
        <w:tc>
          <w:tcPr>
            <w:tcW w:w="136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shd w:val="clear" w:color="auto" w:fill="CCEEFF"/>
          </w:tcPr>
          <w:p>
            <w:pPr>
              <w:jc w:val="right"/>
              <w:ind w:right="14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6,047,828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3,551,028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6,098,165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8,594,965</w:t>
            </w:r>
          </w:p>
        </w:tc>
        <w:tc>
          <w:tcPr>
            <w:tcW w:w="0" w:type="dxa"/>
            <w:vAlign w:val="bottom"/>
          </w:tcPr>
          <w:p>
            <w:pPr>
              <w:spacing w:after="0"/>
              <w:rPr>
                <w:sz w:val="1"/>
                <w:szCs w:val="1"/>
                <w:color w:val="auto"/>
              </w:rPr>
            </w:pPr>
          </w:p>
        </w:tc>
      </w:tr>
      <w:tr>
        <w:trPr>
          <w:trHeight w:val="195"/>
        </w:trPr>
        <w:tc>
          <w:tcPr>
            <w:tcW w:w="1840" w:type="dxa"/>
            <w:vAlign w:val="bottom"/>
          </w:tcPr>
          <w:p>
            <w:pPr>
              <w:jc w:val="right"/>
              <w:ind w:right="14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3,242,497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1,164,390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1,460,600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3,538,707</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jc w:val="right"/>
              <w:ind w:right="144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3,968,554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2,608,892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2,135,624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3,495,286</w:t>
            </w:r>
          </w:p>
        </w:tc>
        <w:tc>
          <w:tcPr>
            <w:tcW w:w="0" w:type="dxa"/>
            <w:vAlign w:val="bottom"/>
          </w:tcPr>
          <w:p>
            <w:pPr>
              <w:spacing w:after="0"/>
              <w:rPr>
                <w:sz w:val="1"/>
                <w:szCs w:val="1"/>
                <w:color w:val="auto"/>
              </w:rPr>
            </w:pPr>
          </w:p>
        </w:tc>
      </w:tr>
      <w:tr>
        <w:trPr>
          <w:trHeight w:val="195"/>
        </w:trPr>
        <w:tc>
          <w:tcPr>
            <w:tcW w:w="1840" w:type="dxa"/>
            <w:vAlign w:val="bottom"/>
          </w:tcPr>
          <w:p>
            <w:pPr>
              <w:jc w:val="right"/>
              <w:ind w:right="144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 Michael Nauman</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5,196,015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3,319,962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1,943,107</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jc w:val="right"/>
              <w:ind w:right="144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Michael Nauman</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6,006,185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3,303,853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4,351,189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7,053,521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6"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value of equity awards represents the grant date fair value of equity-based awards granted each year. The total of the amounts reported in this column are the totals from the “Stock Awards” and “Option Awards” columns in the Summary Compensation Table for each applicable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66"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reflects the value of equity calculated in accordance with the SEC methodology for determining CAP for each year shown. These equity award adjustments are set forth in the PEO Equity Award Adjustments table below. For the equity values included in the below table, the valuation assumptions used to calculate fair values did not materially differ from those disclosed at the time of the grant.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 Equity Award Adjustments</w:t>
      </w:r>
    </w:p>
    <w:p>
      <w:pPr>
        <w:sectPr>
          <w:pgSz w:w="11900" w:h="16838" w:orient="portrait"/>
          <w:cols w:equalWidth="0" w:num="1">
            <w:col w:w="11240"/>
          </w:cols>
          <w:pgMar w:left="320" w:top="118" w:right="339" w:bottom="1440" w:gutter="0" w:footer="0" w:header="0"/>
        </w:sectPr>
      </w:pP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4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over Year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over Year</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of Awards</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1500" w:type="dxa"/>
            <w:vAlign w:val="bottom"/>
            <w:vMerge w:val="continue"/>
          </w:tcPr>
          <w:p>
            <w:pPr>
              <w:spacing w:after="0"/>
              <w:rPr>
                <w:sz w:val="12"/>
                <w:szCs w:val="12"/>
                <w:color w:val="auto"/>
              </w:rPr>
            </w:pPr>
          </w:p>
        </w:tc>
        <w:tc>
          <w:tcPr>
            <w:tcW w:w="13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Incremental Fair</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40" w:type="dxa"/>
            <w:vAlign w:val="bottom"/>
          </w:tcPr>
          <w:p>
            <w:pPr>
              <w:jc w:val="center"/>
              <w:ind w:left="148"/>
              <w:spacing w:after="0" w:line="135"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Outstanding and</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Granted in Prior</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Years that were</w:t>
            </w:r>
          </w:p>
        </w:tc>
        <w:tc>
          <w:tcPr>
            <w:tcW w:w="136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w w:val="99"/>
              </w:rPr>
              <w:t>Value of Awards</w:t>
            </w: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PEO Name</w:t>
            </w:r>
          </w:p>
        </w:tc>
        <w:tc>
          <w:tcPr>
            <w:tcW w:w="16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Years that Vested in</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 the</w:t>
            </w:r>
          </w:p>
        </w:tc>
        <w:tc>
          <w:tcPr>
            <w:tcW w:w="13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Modified During the</w:t>
            </w:r>
          </w:p>
        </w:tc>
        <w:tc>
          <w:tcPr>
            <w:tcW w:w="0" w:type="dxa"/>
            <w:vAlign w:val="bottom"/>
          </w:tcPr>
          <w:p>
            <w:pPr>
              <w:spacing w:after="0"/>
              <w:rPr>
                <w:sz w:val="1"/>
                <w:szCs w:val="1"/>
                <w:color w:val="auto"/>
              </w:rPr>
            </w:pPr>
          </w:p>
        </w:tc>
      </w:tr>
      <w:tr>
        <w:trPr>
          <w:trHeight w:val="193"/>
        </w:trPr>
        <w:tc>
          <w:tcPr>
            <w:tcW w:w="6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6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3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300" w:hanging="40"/>
        <w:spacing w:after="0" w:line="264" w:lineRule="auto"/>
        <w:rPr>
          <w:sz w:val="20"/>
          <w:szCs w:val="20"/>
          <w:color w:val="auto"/>
        </w:rPr>
      </w:pPr>
      <w:r>
        <w:rPr>
          <w:rFonts w:ascii="Times New Roman" w:cs="Times New Roman" w:eastAsia="Times New Roman" w:hAnsi="Times New Roman"/>
          <w:sz w:val="14"/>
          <w:szCs w:val="14"/>
          <w:b w:val="1"/>
          <w:bCs w:val="1"/>
          <w:color w:val="auto"/>
        </w:rPr>
        <w:t>Equity Award Adjustments</w:t>
      </w:r>
    </w:p>
    <w:p>
      <w:pPr>
        <w:spacing w:after="0" w:line="5" w:lineRule="exact"/>
        <w:rPr>
          <w:sz w:val="20"/>
          <w:szCs w:val="20"/>
          <w:color w:val="auto"/>
        </w:rPr>
      </w:pPr>
    </w:p>
    <w:p>
      <w:pPr>
        <w:sectPr>
          <w:pgSz w:w="11900" w:h="16838" w:orient="portrait"/>
          <w:cols w:equalWidth="0" w:num="2">
            <w:col w:w="9640" w:space="480"/>
            <w:col w:w="11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186"/>
        </w:trPr>
        <w:tc>
          <w:tcPr>
            <w:tcW w:w="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4,800,356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1,046,520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251,289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6,098,165</w:t>
            </w:r>
          </w:p>
        </w:tc>
      </w:tr>
      <w:tr>
        <w:trPr>
          <w:trHeight w:val="195"/>
        </w:trPr>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1,097,234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278,966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1,460,600</w:t>
            </w:r>
          </w:p>
        </w:tc>
      </w:tr>
      <w:tr>
        <w:trPr>
          <w:trHeight w:val="210"/>
        </w:trPr>
        <w:tc>
          <w:tcPr>
            <w:tcW w:w="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2,561,417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(326,071)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2,135,624</w:t>
            </w:r>
          </w:p>
        </w:tc>
      </w:tr>
      <w:tr>
        <w:trPr>
          <w:trHeight w:val="195"/>
        </w:trPr>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 Michael Nauman</w:t>
            </w: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1,854,533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(1,058,794)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(385,483)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(343,202)</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67,054</w:t>
            </w:r>
          </w:p>
        </w:tc>
      </w:tr>
      <w:tr>
        <w:trPr>
          <w:trHeight w:val="210"/>
        </w:trPr>
        <w:tc>
          <w:tcPr>
            <w:tcW w:w="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Michael Nauman</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4,429,964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286,408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4,351,189</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non-PEO NEOs (average) SCT Total to CAP Reconciliation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i w:val="1"/>
                <w:iCs w:val="1"/>
                <w:color w:val="auto"/>
              </w:rPr>
              <w:t>Less:</w:t>
            </w:r>
          </w:p>
        </w:tc>
        <w:tc>
          <w:tcPr>
            <w:tcW w:w="120" w:type="dxa"/>
            <w:vAlign w:val="bottom"/>
          </w:tcPr>
          <w:p>
            <w:pPr>
              <w:spacing w:after="0"/>
              <w:rPr>
                <w:sz w:val="13"/>
                <w:szCs w:val="13"/>
                <w:color w:val="auto"/>
              </w:rPr>
            </w:pPr>
          </w:p>
        </w:tc>
        <w:tc>
          <w:tcPr>
            <w:tcW w:w="2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Plus:</w:t>
            </w: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40" w:type="dxa"/>
            <w:vAlign w:val="bottom"/>
          </w:tcPr>
          <w:p>
            <w:pPr>
              <w:spacing w:after="0"/>
              <w:rPr>
                <w:sz w:val="12"/>
                <w:szCs w:val="12"/>
                <w:color w:val="auto"/>
              </w:rPr>
            </w:pPr>
          </w:p>
        </w:tc>
        <w:tc>
          <w:tcPr>
            <w:tcW w:w="18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22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 Value of Equity Awards</w:t>
            </w:r>
          </w:p>
        </w:tc>
        <w:tc>
          <w:tcPr>
            <w:tcW w:w="12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CAP to NEO (average)</w:t>
            </w:r>
          </w:p>
        </w:tc>
        <w:tc>
          <w:tcPr>
            <w:tcW w:w="0" w:type="dxa"/>
            <w:vAlign w:val="bottom"/>
          </w:tcPr>
          <w:p>
            <w:pPr>
              <w:spacing w:after="0"/>
              <w:rPr>
                <w:sz w:val="1"/>
                <w:szCs w:val="1"/>
                <w:color w:val="auto"/>
              </w:rPr>
            </w:pPr>
          </w:p>
        </w:tc>
      </w:tr>
      <w:tr>
        <w:trPr>
          <w:trHeight w:val="196"/>
        </w:trPr>
        <w:tc>
          <w:tcPr>
            <w:tcW w:w="22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 Award Adjustments (2)</w:t>
            </w:r>
          </w:p>
        </w:tc>
        <w:tc>
          <w:tcPr>
            <w:tcW w:w="24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40" w:type="dxa"/>
            <w:vAlign w:val="bottom"/>
            <w:tcBorders>
              <w:top w:val="single" w:sz="8" w:color="auto"/>
            </w:tcBorders>
            <w:shd w:val="clear" w:color="auto" w:fill="CCEEFF"/>
          </w:tcPr>
          <w:p>
            <w:pPr>
              <w:jc w:val="right"/>
              <w:ind w:right="17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1,344,912</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473,056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836,808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1,708,664</w:t>
            </w:r>
          </w:p>
        </w:tc>
        <w:tc>
          <w:tcPr>
            <w:tcW w:w="0" w:type="dxa"/>
            <w:vAlign w:val="bottom"/>
          </w:tcPr>
          <w:p>
            <w:pPr>
              <w:spacing w:after="0"/>
              <w:rPr>
                <w:sz w:val="1"/>
                <w:szCs w:val="1"/>
                <w:color w:val="auto"/>
              </w:rPr>
            </w:pPr>
          </w:p>
        </w:tc>
      </w:tr>
      <w:tr>
        <w:trPr>
          <w:trHeight w:val="195"/>
        </w:trPr>
        <w:tc>
          <w:tcPr>
            <w:tcW w:w="2140" w:type="dxa"/>
            <w:vAlign w:val="bottom"/>
          </w:tcPr>
          <w:p>
            <w:pPr>
              <w:jc w:val="right"/>
              <w:ind w:right="17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1,451,355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660,855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1,168,258</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jc w:val="right"/>
              <w:ind w:right="174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1,033,900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737,420</w:t>
            </w:r>
          </w:p>
        </w:tc>
        <w:tc>
          <w:tcPr>
            <w:tcW w:w="0" w:type="dxa"/>
            <w:vAlign w:val="bottom"/>
          </w:tcPr>
          <w:p>
            <w:pPr>
              <w:spacing w:after="0"/>
              <w:rPr>
                <w:sz w:val="1"/>
                <w:szCs w:val="1"/>
                <w:color w:val="auto"/>
              </w:rPr>
            </w:pPr>
          </w:p>
        </w:tc>
      </w:tr>
      <w:tr>
        <w:trPr>
          <w:trHeight w:val="188"/>
        </w:trPr>
        <w:tc>
          <w:tcPr>
            <w:tcW w:w="2140" w:type="dxa"/>
            <w:vAlign w:val="bottom"/>
          </w:tcPr>
          <w:p>
            <w:pPr>
              <w:jc w:val="right"/>
              <w:ind w:right="174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1,454,883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571,339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781,301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1,664,845</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left="660" w:hanging="328"/>
        <w:spacing w:after="0" w:line="257" w:lineRule="auto"/>
        <w:tabs>
          <w:tab w:leader="none" w:pos="6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value of equity awards represents the grant date fair value of equity-based awards granted each year. The total of the amounts reported in this column are the totals from the “Stock Awards” and “Option Awards” columns in the Summary Compensation Table for each applicable year.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reflects the value of equity calculated in accordance with the SEC methodology for determining CAP for each year shown. These equity award adjustments are set forth in the PEO Equity Award Adjustments table below. For the equity values included in the below table, the valuation assumptions used to calculate fair values did not materially differ from those disclosed at the time of the grant.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Non-PEO NEOs (average) Equity Award Adjustments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of Awards</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60" w:type="dxa"/>
            <w:vAlign w:val="bottom"/>
          </w:tcPr>
          <w:p>
            <w:pPr>
              <w:spacing w:after="0"/>
              <w:rPr>
                <w:sz w:val="12"/>
                <w:szCs w:val="12"/>
                <w:color w:val="auto"/>
              </w:rPr>
            </w:pPr>
          </w:p>
        </w:tc>
        <w:tc>
          <w:tcPr>
            <w:tcW w:w="14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 Fair Value of</w:t>
            </w:r>
          </w:p>
        </w:tc>
        <w:tc>
          <w:tcPr>
            <w:tcW w:w="15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in Fair Value of Equity</w:t>
            </w:r>
          </w:p>
        </w:tc>
        <w:tc>
          <w:tcPr>
            <w:tcW w:w="1580" w:type="dxa"/>
            <w:vAlign w:val="bottom"/>
            <w:gridSpan w:val="3"/>
            <w:vMerge w:val="continue"/>
          </w:tcPr>
          <w:p>
            <w:pPr>
              <w:spacing w:after="0"/>
              <w:rPr>
                <w:sz w:val="12"/>
                <w:szCs w:val="12"/>
                <w:color w:val="auto"/>
              </w:rPr>
            </w:pPr>
          </w:p>
        </w:tc>
        <w:tc>
          <w:tcPr>
            <w:tcW w:w="1780" w:type="dxa"/>
            <w:vAlign w:val="bottom"/>
            <w:gridSpan w:val="4"/>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Incremental Fair Value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6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 Years</w:t>
            </w:r>
          </w:p>
        </w:tc>
        <w:tc>
          <w:tcPr>
            <w:tcW w:w="1780" w:type="dxa"/>
            <w:vAlign w:val="bottom"/>
            <w:gridSpan w:val="4"/>
            <w:vMerge w:val="continue"/>
          </w:tcPr>
          <w:p>
            <w:pPr>
              <w:spacing w:after="0"/>
              <w:rPr>
                <w:sz w:val="12"/>
                <w:szCs w:val="12"/>
                <w:color w:val="auto"/>
              </w:rPr>
            </w:pPr>
          </w:p>
        </w:tc>
        <w:tc>
          <w:tcPr>
            <w:tcW w:w="13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0" w:type="dxa"/>
            <w:vAlign w:val="bottom"/>
          </w:tcPr>
          <w:p>
            <w:pPr>
              <w:spacing w:after="0"/>
              <w:rPr>
                <w:sz w:val="1"/>
                <w:szCs w:val="1"/>
                <w:color w:val="auto"/>
              </w:rPr>
            </w:pPr>
          </w:p>
        </w:tc>
      </w:tr>
      <w:tr>
        <w:trPr>
          <w:trHeight w:val="135"/>
        </w:trPr>
        <w:tc>
          <w:tcPr>
            <w:tcW w:w="17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Awards Granted in the</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5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Prior Years that Vested</w:t>
            </w:r>
          </w:p>
        </w:tc>
        <w:tc>
          <w:tcPr>
            <w:tcW w:w="12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that were Forfeited</w:t>
            </w:r>
          </w:p>
        </w:tc>
        <w:tc>
          <w:tcPr>
            <w:tcW w:w="100" w:type="dxa"/>
            <w:vAlign w:val="bottom"/>
          </w:tcPr>
          <w:p>
            <w:pPr>
              <w:spacing w:after="0"/>
              <w:rPr>
                <w:sz w:val="11"/>
                <w:szCs w:val="11"/>
                <w:color w:val="auto"/>
              </w:rPr>
            </w:pPr>
          </w:p>
        </w:tc>
        <w:tc>
          <w:tcPr>
            <w:tcW w:w="1680" w:type="dxa"/>
            <w:vAlign w:val="bottom"/>
            <w:gridSpan w:val="3"/>
          </w:tcPr>
          <w:p>
            <w:pPr>
              <w:jc w:val="center"/>
              <w:ind w:right="348"/>
              <w:spacing w:after="0" w:line="135" w:lineRule="exact"/>
              <w:rPr>
                <w:sz w:val="20"/>
                <w:szCs w:val="20"/>
                <w:color w:val="auto"/>
              </w:rPr>
            </w:pPr>
            <w:r>
              <w:rPr>
                <w:rFonts w:ascii="Times New Roman" w:cs="Times New Roman" w:eastAsia="Times New Roman" w:hAnsi="Times New Roman"/>
                <w:sz w:val="14"/>
                <w:szCs w:val="14"/>
                <w:b w:val="1"/>
                <w:bCs w:val="1"/>
                <w:color w:val="auto"/>
              </w:rPr>
              <w:t>of Awards Modified</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 the Year</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During the Year</w:t>
            </w:r>
          </w:p>
        </w:tc>
        <w:tc>
          <w:tcPr>
            <w:tcW w:w="100" w:type="dxa"/>
            <w:vAlign w:val="bottom"/>
          </w:tcPr>
          <w:p>
            <w:pPr>
              <w:spacing w:after="0"/>
              <w:rPr>
                <w:sz w:val="17"/>
                <w:szCs w:val="17"/>
                <w:color w:val="auto"/>
              </w:rPr>
            </w:pPr>
          </w:p>
        </w:tc>
        <w:tc>
          <w:tcPr>
            <w:tcW w:w="1680" w:type="dxa"/>
            <w:vAlign w:val="bottom"/>
            <w:gridSpan w:val="3"/>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During the Year</w:t>
            </w:r>
          </w:p>
        </w:tc>
        <w:tc>
          <w:tcPr>
            <w:tcW w:w="13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01"/>
        </w:trPr>
        <w:tc>
          <w:tcPr>
            <w:tcW w:w="1660" w:type="dxa"/>
            <w:vAlign w:val="bottom"/>
            <w:tcBorders>
              <w:top w:val="single" w:sz="8" w:color="auto"/>
            </w:tcBorders>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639,487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167,092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836,808</w:t>
            </w:r>
          </w:p>
        </w:tc>
        <w:tc>
          <w:tcPr>
            <w:tcW w:w="0" w:type="dxa"/>
            <w:vAlign w:val="bottom"/>
          </w:tcPr>
          <w:p>
            <w:pPr>
              <w:spacing w:after="0"/>
              <w:rPr>
                <w:sz w:val="1"/>
                <w:szCs w:val="1"/>
                <w:color w:val="auto"/>
              </w:rPr>
            </w:pPr>
          </w:p>
        </w:tc>
      </w:tr>
      <w:tr>
        <w:trPr>
          <w:trHeight w:val="195"/>
        </w:trPr>
        <w:tc>
          <w:tcPr>
            <w:tcW w:w="166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377,758</w:t>
            </w: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84,883</w:t>
            </w:r>
          </w:p>
        </w:tc>
        <w:tc>
          <w:tcPr>
            <w:tcW w:w="0" w:type="dxa"/>
            <w:vAlign w:val="bottom"/>
          </w:tcPr>
          <w:p>
            <w:pPr>
              <w:spacing w:after="0"/>
              <w:rPr>
                <w:sz w:val="1"/>
                <w:szCs w:val="1"/>
                <w:color w:val="auto"/>
              </w:rPr>
            </w:pPr>
          </w:p>
        </w:tc>
      </w:tr>
      <w:tr>
        <w:trPr>
          <w:trHeight w:val="188"/>
        </w:trPr>
        <w:tc>
          <w:tcPr>
            <w:tcW w:w="166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766,068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8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781,301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NEO CAP and Company TSR</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other NEOs, and the Company’s cumulative TSR over the three-year period from fiscal 2021 through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80010</wp:posOffset>
            </wp:positionV>
            <wp:extent cx="5863590" cy="32486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6359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NEO CAP and Net Income</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other NEOs, and our net income during fiscal 2021 through 2024.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NEO CAP and Operating Income</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other NEOs, and our operating income during fiscal 2021 through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80010</wp:posOffset>
            </wp:positionV>
            <wp:extent cx="5863590" cy="31286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6359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Company TSR and Peer Group TSR</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compares our cumulative TSR over the three-year period from 2020 through 2024 to that of the S&amp;P SmallCap 600 Industrials Index.</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 Tabular List of Most Important Financial Performance Measures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performance measures that the Company considers to have been the most important in linking Compensation Actually Paid to our PEO and other NEOs in fiscal 2024 to Company performance. The measures in this table are not ranked.</w:t>
      </w:r>
    </w:p>
    <w:p>
      <w:pPr>
        <w:spacing w:after="0" w:line="1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u w:val="single" w:color="auto"/>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19685</wp:posOffset>
            </wp:positionV>
            <wp:extent cx="4166235"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66235" cy="145415"/>
                    </a:xfrm>
                    <a:prstGeom prst="rect">
                      <a:avLst/>
                    </a:prstGeom>
                    <a:noFill/>
                  </pic:spPr>
                </pic:pic>
              </a:graphicData>
            </a:graphic>
          </wp:anchor>
        </w:drawing>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Organic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14605</wp:posOffset>
            </wp:positionV>
            <wp:extent cx="416623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66235" cy="146050"/>
                    </a:xfrm>
                    <a:prstGeom prst="rect">
                      <a:avLst/>
                    </a:prstGeom>
                    <a:noFill/>
                  </pic:spPr>
                </pic:pic>
              </a:graphicData>
            </a:graphic>
          </wp:anchor>
        </w:drawing>
      </w:r>
    </w:p>
    <w:p>
      <w:pPr>
        <w:spacing w:after="0" w:line="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Total Shareholder Return</w:t>
      </w:r>
    </w:p>
    <w:p>
      <w:pPr>
        <w:spacing w:after="0" w:line="2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Compensation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ensure competitive compensation for the Board of Directors, compensation is reviewed every other year and market surveys prepared by various consulting firms and the National Association of Corporate Directors are reviewed by the Corporate Governance Committee and the Management Development and Compensation Committee, and they confer with the Board’s independent compensation consultant in making recommendations to the Board of Directors regarding director compensation. Directors who are employees of the Company receive no additional compensation for service on the Board or on any committee of the Board.</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fiscal 2024, the annual cash retainer paid to non-management directors was $67,500. Each member of the Audit Committee received an annual retainer of $15,000, and an additional annual retainer of $15,000 was paid to the Chair of the Audit Committee; each member of the Management Development and Compensation Committee received an annual retainer of $12,000, and an additional annual retainer of $12,000 was paid to the Chair; and each member of the Corporate Governance, Finance and Technology Committees received an annual retainer of $10,000, and an additional annual retainer of $10,000 was paid to each committee chair. The ESG Liaison received an annual retainer of $15,000. Non-management directors do not receive meeting fees. The annual cash retainers were pro-rated in situations where there are changes to committee members or committee chairs that take place during the fiscal year. Non-management directors are eligible to receive compensation of up to $1,000 per day for special assignments required by management or the Board of Directors, so long as the compensation does not impair independence and is approved by the Board as required. No such special assignment fees were paid in fiscal year 2024.</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fiscal 2024, the Chair of the Board, Bradley C. Richardson, was paid an annual fee of $80,000.</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has established stock ownership requirements for directors. The ownership requirement for each director is five times the annual Board retainer. Directors have five years to achieve their stock ownership requirements. Mr. Hix, who was elected to the Board in May 2024, has not yet met his stock ownership requirements. All other directors have met their stock ownership requirements.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Brady Corporation 2023 Omnibus Incentive Stock Plan, 5,000,000 shares of the Company's Class A Common Stock have been authorized for issuance to directors and employees. The Board has full and final authority to designate the non-management directors to whom awards will be granted, the date on which awards will be granted and the number of shares of stock covered by each grant.</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30, 2023, the Board approved an annual stock-based compensation award of $116,500 fair value of unrestricted shares of Class A Common Stock with a grant date fair value of $54.80 per share, for each non-management director, effective October 2, 2023.</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include Brady Corporation Class A Nonvoting Common Stock and various mutual funds that are offered in the employee Matched 401(k) Plan. Directors may elect whether to receive their account balance following termination in a single lump sum payment or by means of distribution under an annual installment method. Distributions of the Company Class A Nonvoting Common Stock are made in-kind; distributions of mutual funds are made in cash.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 Fiscal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 ($) (1)</w:t>
            </w:r>
          </w:p>
        </w:tc>
        <w:tc>
          <w:tcPr>
            <w:tcW w:w="260" w:type="dxa"/>
            <w:vAlign w:val="bottom"/>
          </w:tcPr>
          <w:p>
            <w:pPr>
              <w:spacing w:after="0"/>
              <w:rPr>
                <w:sz w:val="13"/>
                <w:szCs w:val="13"/>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7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Cash ($)</w:t>
            </w:r>
          </w:p>
        </w:tc>
        <w:tc>
          <w:tcPr>
            <w:tcW w:w="14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229,838</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221,838</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224,838</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Joanne Collins Smee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213,867</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218,838</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Christopher Hix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150,172</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Vineet Nargolwala</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206,838</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330,172</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57" w:lineRule="auto"/>
        <w:tabs>
          <w:tab w:leader="none" w:pos="6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shares of Brady Corporation Class A Non-Voting Common Stock granted in fiscal 2024 as compensation for their services. The shares of unrestricted stock granted to the non-management directors were valued at the average of the high and low market price of $54.80 on October 2, 2023, for those non-management directors on the board as of that grant date.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Hix was appointed to the Board on May 20, 2024. As such, the value of his compensation reported in the table above is prorated for his time served on the Board during fiscal 2024. As part of his appointment, Mr. Hix also received a grant of unrestricted stock valued at the average of the high and low market price of $67.90 on May 24,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1" w:lineRule="exact"/>
        <w:rPr>
          <w:sz w:val="20"/>
          <w:szCs w:val="20"/>
          <w:color w:val="auto"/>
        </w:rPr>
      </w:pPr>
    </w:p>
    <w:p>
      <w:pPr>
        <w:ind w:left="260" w:hanging="252"/>
        <w:spacing w:after="0"/>
        <w:tabs>
          <w:tab w:leader="none" w:pos="2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Security Ownership of Certain Beneficial Owners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current beneficial ownership of shareholders who are known by the Company to own more than five percent (5%) of any class of the Company’s voting shares on July 31, 2024. As of that date, nearly all of the voting stock of the Company was held by two trusts controlled by direct descendants of the Company’s founder, William H. Brady,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3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Beneficial</w:t>
            </w:r>
          </w:p>
        </w:tc>
        <w:tc>
          <w:tcPr>
            <w:tcW w:w="198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6"/>
        </w:trPr>
        <w:tc>
          <w:tcPr>
            <w:tcW w:w="2920" w:type="dxa"/>
            <w:vAlign w:val="bottom"/>
            <w:gridSpan w:val="2"/>
            <w:vMerge w:val="continue"/>
          </w:tcPr>
          <w:p>
            <w:pPr>
              <w:spacing w:after="0"/>
              <w:rPr>
                <w:sz w:val="17"/>
                <w:szCs w:val="17"/>
                <w:color w:val="auto"/>
              </w:rPr>
            </w:pPr>
          </w:p>
        </w:tc>
        <w:tc>
          <w:tcPr>
            <w:tcW w:w="4340" w:type="dxa"/>
            <w:vAlign w:val="bottom"/>
            <w:gridSpan w:val="2"/>
            <w:vMerge w:val="continue"/>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Ownership (2)</w:t>
            </w:r>
          </w:p>
        </w:tc>
        <w:tc>
          <w:tcPr>
            <w:tcW w:w="0" w:type="dxa"/>
            <w:vAlign w:val="bottom"/>
          </w:tcPr>
          <w:p>
            <w:pPr>
              <w:spacing w:after="0"/>
              <w:rPr>
                <w:sz w:val="1"/>
                <w:szCs w:val="1"/>
                <w:color w:val="auto"/>
              </w:rPr>
            </w:pPr>
          </w:p>
        </w:tc>
      </w:tr>
      <w:tr>
        <w:trPr>
          <w:trHeight w:val="175"/>
        </w:trPr>
        <w:tc>
          <w:tcPr>
            <w:tcW w:w="28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tcBorders>
              <w:top w:val="single" w:sz="8" w:color="CCEEFF"/>
            </w:tcBorders>
            <w:shd w:val="clear" w:color="auto" w:fill="CCEEFF"/>
          </w:tcPr>
          <w:p>
            <w:pPr>
              <w:spacing w:after="0"/>
              <w:rPr>
                <w:sz w:val="15"/>
                <w:szCs w:val="15"/>
                <w:color w:val="auto"/>
              </w:rPr>
            </w:pPr>
          </w:p>
        </w:tc>
        <w:tc>
          <w:tcPr>
            <w:tcW w:w="42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EBL GST Non-Exempt Stock B Trust (1) c/o Elizabeth P.</w:t>
            </w:r>
          </w:p>
        </w:tc>
        <w:tc>
          <w:tcPr>
            <w:tcW w:w="12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1,769,304</w:t>
            </w: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Bruno 2002 S. Hawick Ct. Chapel Hill, NC 27516</w:t>
            </w: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William H. Brady III Living Trust dated November 1,</w:t>
            </w:r>
          </w:p>
        </w:tc>
        <w:tc>
          <w:tcPr>
            <w:tcW w:w="1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1,769,304</w:t>
            </w:r>
          </w:p>
        </w:tc>
        <w:tc>
          <w:tcPr>
            <w:tcW w:w="100" w:type="dxa"/>
            <w:vAlign w:val="bottom"/>
          </w:tcPr>
          <w:p>
            <w:pPr>
              <w:spacing w:after="0"/>
              <w:rPr>
                <w:sz w:val="15"/>
                <w:szCs w:val="15"/>
                <w:color w:val="auto"/>
              </w:rPr>
            </w:pPr>
          </w:p>
        </w:tc>
        <w:tc>
          <w:tcPr>
            <w:tcW w:w="1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2013 (3)</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c/o William H. Brady III</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249 Rosemont Ave.</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Pasadena, CA 91103</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hanging="328"/>
        <w:spacing w:after="0" w:line="261"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Elizabeth P. Bruno, who has sole voting and dispositive power and who is the remainder beneficiary. Elizabeth Bruno is the great-granddaughter of William H. Brady and currently serves on the Company’s Board of Directors.</w:t>
      </w:r>
    </w:p>
    <w:p>
      <w:pPr>
        <w:ind w:left="640" w:hanging="308"/>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20 shares are owned by a third trust with different trustees.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hanging="272"/>
        <w:spacing w:after="0"/>
        <w:tabs>
          <w:tab w:leader="none" w:pos="2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Security Ownership of Management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current beneficial ownership of each class of equity securities of the Company by each director and NEO individually and by all directors and Officers of the Company as a group as of July 31, 2024. Unless otherwise noted, the address for each of the listed persons is c/o Brady Corporation, 6555 West Good Hope Road, Milwaukee, Wisconsin 53223. Except as otherwise indicated, all shares are owned directly.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Name of Beneficial Owner &amp; Nature of Beneficial Ownership</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 Beneficial</w:t>
            </w:r>
          </w:p>
        </w:tc>
        <w:tc>
          <w:tcPr>
            <w:tcW w:w="198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Percent of Ownership</w:t>
            </w:r>
          </w:p>
        </w:tc>
        <w:tc>
          <w:tcPr>
            <w:tcW w:w="0" w:type="dxa"/>
            <w:vAlign w:val="bottom"/>
          </w:tcPr>
          <w:p>
            <w:pPr>
              <w:spacing w:after="0"/>
              <w:rPr>
                <w:sz w:val="1"/>
                <w:szCs w:val="1"/>
                <w:color w:val="auto"/>
              </w:rPr>
            </w:pPr>
          </w:p>
        </w:tc>
      </w:tr>
      <w:tr>
        <w:trPr>
          <w:trHeight w:val="195"/>
        </w:trPr>
        <w:tc>
          <w:tcPr>
            <w:tcW w:w="2520" w:type="dxa"/>
            <w:vAlign w:val="bottom"/>
            <w:gridSpan w:val="2"/>
            <w:vMerge w:val="continue"/>
          </w:tcPr>
          <w:p>
            <w:pPr>
              <w:spacing w:after="0"/>
              <w:rPr>
                <w:sz w:val="16"/>
                <w:szCs w:val="16"/>
                <w:color w:val="auto"/>
              </w:rPr>
            </w:pPr>
          </w:p>
        </w:tc>
        <w:tc>
          <w:tcPr>
            <w:tcW w:w="4800" w:type="dxa"/>
            <w:vAlign w:val="bottom"/>
            <w:gridSpan w:val="2"/>
            <w:vMerge w:val="continue"/>
          </w:tcPr>
          <w:p>
            <w:pPr>
              <w:spacing w:after="0"/>
              <w:rPr>
                <w:sz w:val="16"/>
                <w:szCs w:val="16"/>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Ownership (3)(4)(5)</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Elizabeth P. Bruno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937,282</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252,038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Patrick W. Allender </w:t>
            </w:r>
            <w:r>
              <w:rPr>
                <w:rFonts w:ascii="Times New Roman" w:cs="Times New Roman" w:eastAsia="Times New Roman" w:hAnsi="Times New Roman"/>
                <w:sz w:val="23"/>
                <w:szCs w:val="23"/>
                <w:color w:val="auto"/>
                <w:vertAlign w:val="superscript"/>
              </w:rPr>
              <w:t>(2)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E. Thornton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T. Gorman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F. DeBruine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Joanne Collins Smee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Vineet Nargolwala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Bojarski</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Hix</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Officers and Directors as a Group (15 persons)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1,575,127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4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Elizabeth P. Bruno </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1,769,304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80" w:hanging="411"/>
        <w:spacing w:after="0"/>
        <w:tabs>
          <w:tab w:leader="none" w:pos="6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less than one-tenth of one percent.</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Bruno’s holdings of Class A Common Stock include 600,000 shares owned by a trust for which she is a trustee and has sole dispositive and voting authority and 8,220 shares owned by trusts in which she is a co-trustee. Ms. Bruno’s holdings of Class B Common Stock include 1,769,304 shares owned by a trust over which she has sole dispositive and voting authority.</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Allender's holdings of Class A Common Stock include 37,486 shares owned by the Patrick and Deborah Allender Irrevocable Trust.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(15 persons) includes options to acquire a total of 206,752 shares of Class A Common Stock, which are currently exercisable or will be exercisable within 60 days of July 31, 2024, including the following: Mr. Shaller, 173,771 shares; Ms. Thornton, 24,534 shares; Mr. Gorman, 19,245 shares; and Mr. DeBruine, 4,624 shares. It does not include other options for Class A Common Stock which have been granted at later dates and are not exercisable within 60 days of July 31, 2024.</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(15 persons) includes unvested restricted stock units to acquire 14,285 shares of Class A Common stock, which will vest within 60 days of July 31, 2024, including the following: Mr. Shaller, 6,777 units; Ms. Thornton, 651 units; Mr. Gorman, 2,721 units; Mr. DeBruine, 627 units; and Mr. Bojarski, 4,088 units; It does not include unvested restricted stock awards or restricted stock units to acquire Class A Common Stock which have been granted at later dates and will not vest within 60 days of July 31, 2024.</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(15 persons) includes Class A Common Stock owned in deferred compensation plans totaling 224,233 shares of Class A Common Stock, including the following: Ms. Bruno, 2,884 shares; Mr. Allender, 92,698 shares; Mr. Richardson, 76,501 shares; Ms. Gioia, 18,001 shares; Dr. Williams, 17,664 shares; Ms. Collins Smee, 7,384 shares; Mr. Nargolwala, 7,384 shares; and Mr. Hix, 1,716 shares.</w:t>
      </w:r>
    </w:p>
    <w:p>
      <w:pPr>
        <w:spacing w:after="0" w:line="13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Changes in Control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arrangements are known to the Company, which may, at a subsequent date, result in a change of control of the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hanging="272"/>
        <w:spacing w:after="0"/>
        <w:tabs>
          <w:tab w:leader="none" w:pos="28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48" w:lineRule="exact"/>
        <w:rPr>
          <w:sz w:val="20"/>
          <w:szCs w:val="20"/>
          <w:color w:val="auto"/>
        </w:rPr>
      </w:pPr>
    </w:p>
    <w:p>
      <w:pPr>
        <w:ind w:left="20" w:right="300"/>
        <w:spacing w:after="0" w:line="237"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0" w:lineRule="exact"/>
        <w:rPr>
          <w:sz w:val="20"/>
          <w:szCs w:val="20"/>
          <w:color w:val="auto"/>
        </w:rPr>
      </w:pPr>
    </w:p>
    <w:p>
      <w:pPr>
        <w:ind w:left="20" w:right="40"/>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July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2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 to be issued upon</w:t>
            </w:r>
          </w:p>
        </w:tc>
        <w:tc>
          <w:tcPr>
            <w:tcW w:w="160" w:type="dxa"/>
            <w:vAlign w:val="bottom"/>
          </w:tcPr>
          <w:p>
            <w:pPr>
              <w:spacing w:after="0"/>
              <w:rPr>
                <w:sz w:val="12"/>
                <w:szCs w:val="12"/>
                <w:color w:val="auto"/>
              </w:rPr>
            </w:pPr>
          </w:p>
        </w:tc>
        <w:tc>
          <w:tcPr>
            <w:tcW w:w="2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 exercise price of</w:t>
            </w:r>
          </w:p>
        </w:tc>
        <w:tc>
          <w:tcPr>
            <w:tcW w:w="2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 future issuance</w:t>
            </w:r>
          </w:p>
        </w:tc>
        <w:tc>
          <w:tcPr>
            <w:tcW w:w="0" w:type="dxa"/>
            <w:vAlign w:val="bottom"/>
          </w:tcPr>
          <w:p>
            <w:pPr>
              <w:spacing w:after="0"/>
              <w:rPr>
                <w:sz w:val="1"/>
                <w:szCs w:val="1"/>
                <w:color w:val="auto"/>
              </w:rPr>
            </w:pPr>
          </w:p>
        </w:tc>
      </w:tr>
      <w:tr>
        <w:trPr>
          <w:trHeight w:val="137"/>
        </w:trPr>
        <w:tc>
          <w:tcPr>
            <w:tcW w:w="2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6"/>
        </w:trPr>
        <w:tc>
          <w:tcPr>
            <w:tcW w:w="2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exercise of outstanding options,</w:t>
            </w:r>
          </w:p>
        </w:tc>
        <w:tc>
          <w:tcPr>
            <w:tcW w:w="26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 warrants and rights</w:t>
            </w:r>
          </w:p>
        </w:tc>
        <w:tc>
          <w:tcPr>
            <w:tcW w:w="2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(excluding securities reflected in column</w:t>
            </w:r>
          </w:p>
        </w:tc>
        <w:tc>
          <w:tcPr>
            <w:tcW w:w="0" w:type="dxa"/>
            <w:vAlign w:val="bottom"/>
          </w:tcPr>
          <w:p>
            <w:pPr>
              <w:spacing w:after="0"/>
              <w:rPr>
                <w:sz w:val="1"/>
                <w:szCs w:val="1"/>
                <w:color w:val="auto"/>
              </w:rPr>
            </w:pPr>
          </w:p>
        </w:tc>
      </w:tr>
      <w:tr>
        <w:trPr>
          <w:trHeight w:val="198"/>
        </w:trPr>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warrants and rights (a)</w:t>
            </w:r>
          </w:p>
        </w:tc>
        <w:tc>
          <w:tcPr>
            <w:tcW w:w="160" w:type="dxa"/>
            <w:vAlign w:val="bottom"/>
          </w:tcPr>
          <w:p>
            <w:pPr>
              <w:spacing w:after="0"/>
              <w:rPr>
                <w:sz w:val="17"/>
                <w:szCs w:val="17"/>
                <w:color w:val="auto"/>
              </w:rPr>
            </w:pPr>
          </w:p>
        </w:tc>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(c)</w:t>
            </w:r>
          </w:p>
        </w:tc>
        <w:tc>
          <w:tcPr>
            <w:tcW w:w="0" w:type="dxa"/>
            <w:vAlign w:val="bottom"/>
          </w:tcPr>
          <w:p>
            <w:pPr>
              <w:spacing w:after="0"/>
              <w:rPr>
                <w:sz w:val="1"/>
                <w:szCs w:val="1"/>
                <w:color w:val="auto"/>
              </w:rPr>
            </w:pPr>
          </w:p>
        </w:tc>
      </w:tr>
      <w:tr>
        <w:trPr>
          <w:trHeight w:val="404"/>
        </w:trPr>
        <w:tc>
          <w:tcPr>
            <w:tcW w:w="2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1,474,258</w:t>
            </w:r>
          </w:p>
        </w:tc>
        <w:tc>
          <w:tcPr>
            <w:tcW w:w="10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45.87</w:t>
            </w:r>
          </w:p>
        </w:tc>
        <w:tc>
          <w:tcPr>
            <w:tcW w:w="100" w:type="dxa"/>
            <w:vAlign w:val="bottom"/>
          </w:tcPr>
          <w:p>
            <w:pPr>
              <w:spacing w:after="0"/>
              <w:rPr>
                <w:sz w:val="24"/>
                <w:szCs w:val="24"/>
                <w:color w:val="auto"/>
              </w:rPr>
            </w:pPr>
          </w:p>
        </w:tc>
        <w:tc>
          <w:tcPr>
            <w:tcW w:w="25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4,862,004</w:t>
            </w:r>
          </w:p>
        </w:tc>
        <w:tc>
          <w:tcPr>
            <w:tcW w:w="0" w:type="dxa"/>
            <w:vAlign w:val="bottom"/>
          </w:tcPr>
          <w:p>
            <w:pPr>
              <w:spacing w:after="0"/>
              <w:rPr>
                <w:sz w:val="1"/>
                <w:szCs w:val="1"/>
                <w:color w:val="auto"/>
              </w:rPr>
            </w:pPr>
          </w:p>
        </w:tc>
      </w:tr>
      <w:tr>
        <w:trPr>
          <w:trHeight w:val="418"/>
        </w:trPr>
        <w:tc>
          <w:tcPr>
            <w:tcW w:w="26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None</w:t>
            </w:r>
          </w:p>
        </w:tc>
        <w:tc>
          <w:tcPr>
            <w:tcW w:w="160" w:type="dxa"/>
            <w:vAlign w:val="bottom"/>
          </w:tcPr>
          <w:p>
            <w:pPr>
              <w:spacing w:after="0"/>
              <w:rPr>
                <w:sz w:val="24"/>
                <w:szCs w:val="24"/>
                <w:color w:val="auto"/>
              </w:rPr>
            </w:pPr>
          </w:p>
        </w:tc>
        <w:tc>
          <w:tcPr>
            <w:tcW w:w="25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None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3"/>
        </w:trPr>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1,474,258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Pr>
          <w:p>
            <w:pPr>
              <w:spacing w:after="0"/>
              <w:rPr>
                <w:sz w:val="19"/>
                <w:szCs w:val="19"/>
                <w:color w:val="auto"/>
              </w:rPr>
            </w:pPr>
          </w:p>
        </w:tc>
        <w:tc>
          <w:tcPr>
            <w:tcW w:w="25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4,862,004</w:t>
            </w:r>
          </w:p>
        </w:tc>
        <w:tc>
          <w:tcPr>
            <w:tcW w:w="0" w:type="dxa"/>
            <w:vAlign w:val="bottom"/>
          </w:tcPr>
          <w:p>
            <w:pPr>
              <w:spacing w:after="0"/>
              <w:rPr>
                <w:sz w:val="1"/>
                <w:szCs w:val="1"/>
                <w:color w:val="auto"/>
              </w:rPr>
            </w:pP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-719455</wp:posOffset>
            </wp:positionV>
            <wp:extent cx="7106285" cy="265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-187960</wp:posOffset>
            </wp:positionV>
            <wp:extent cx="710628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100"/>
            <w:col w:w="7920"/>
          </w:cols>
          <w:pgMar w:left="320" w:top="118" w:right="339" w:bottom="1440" w:gutter="0" w:footer="0" w:header="0"/>
        </w:sectPr>
      </w:pPr>
    </w:p>
    <w:p>
      <w:pPr>
        <w:spacing w:after="0" w:line="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equity compensation plan allows the granting of stock options, restricted stock, RSUs, and unrestricted stock to various officers, directors and other employees of the Company at prices equal to fair market value at the date of grant. The Company has reserved 5,000,000 shares of Class A Nonvoting Common Stock for issuance under the Brady Corporation 2023 Omnibus Incentive Stock Plan. Generally, options will not be exercisable until one year after the date of grant, and will be exercisable thereafter, to the extent of one-third per year and have a maximum term of ten years. Generally, RSUs vest one-third per year for the first three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annually solicits information from its directors in order to ensure there are no conflicts of interest. The information gathered annually is reviewed by the Company and if any transactions are not in accordance with the rules of the NYSE or are potentially in violation of the Company’s Corporate Governance Principles, the transactions are referred to the Corporate Governance Committee for approval or other action. Further, potential affiliated party transactions would be reported as a part of the Company’s quarterly disclosure process. In addition, pursuant to its charter, the Company’s Audit Committee periodically reviews reports and disclosures of insider and affiliated party transaction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undertaking its review of potential related party transactions,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2024.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2024, or are currently proposed, that would require disclosure under Item 404 (a) of Regulation S-K.</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10 above for a discussion of director independence.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aggregate fees incurred for professional services by Deloitte &amp; Touche LLP and Deloitte Tax LLP during the years ended July 31, 2024 and 2023. Other than as set forth below, no professional services were rendered or fees billed by Deloitte &amp; Touche LLP or Deloitte Tax LLP during the years ended July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r>
      <w:tr>
        <w:trPr>
          <w:trHeight w:val="223"/>
        </w:trPr>
        <w:tc>
          <w:tcPr>
            <w:tcW w:w="7520" w:type="dxa"/>
            <w:vAlign w:val="bottom"/>
          </w:tcPr>
          <w:p>
            <w:pPr>
              <w:spacing w:after="0"/>
              <w:rPr>
                <w:sz w:val="19"/>
                <w:szCs w:val="19"/>
                <w:color w:val="auto"/>
              </w:rPr>
            </w:pPr>
          </w:p>
        </w:tc>
        <w:tc>
          <w:tcPr>
            <w:tcW w:w="30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Audit, audit-related and tax compliance:</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Pr>
          <w:p>
            <w:pPr>
              <w:spacing w:after="0"/>
              <w:rPr>
                <w:sz w:val="19"/>
                <w:szCs w:val="19"/>
                <w:color w:val="auto"/>
              </w:rPr>
            </w:pP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fees — compliance</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3"/>
        </w:trPr>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Subtotal audit, audit-related and tax compliance fees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Non-audit related:</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Tax fees — planning and advice</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Subtotal non-audit related fees</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1"/>
        </w:trPr>
        <w:tc>
          <w:tcPr>
            <w:tcW w:w="7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-1379220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660" w:hanging="328"/>
        <w:spacing w:after="0" w:line="271" w:lineRule="auto"/>
        <w:tabs>
          <w:tab w:leader="none" w:pos="65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professional services rendered for the audit of the Company’s annual financial statements, attestation of management’s assessment of internal control and reviews of the quarterly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Tax Planning and Advice Fees to Audit Fees, Audit-Related Fees and Tax Compliance Fees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to 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to 1</w:t>
            </w:r>
          </w:p>
        </w:tc>
      </w:tr>
    </w:tbl>
    <w:p>
      <w:pPr>
        <w:spacing w:after="0" w:line="3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Pre-Approval Policy — </w:t>
      </w:r>
      <w:r>
        <w:rPr>
          <w:rFonts w:ascii="Times New Roman" w:cs="Times New Roman" w:eastAsia="Times New Roman" w:hAnsi="Times New Roman"/>
          <w:sz w:val="18"/>
          <w:szCs w:val="18"/>
          <w:color w:val="auto"/>
        </w:rPr>
        <w:t>The services performed by the Independent Registered Public Accounting Firm (“Independent Auditors”) in fiscal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pre-approved in accordance with the pre-approval policy and procedures adopted by the Audit Committee.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also require specific pre-approval by the Audit Committee.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15 (a) — The following documents are filed as part of this report:</w:t>
      </w:r>
    </w:p>
    <w:p>
      <w:pPr>
        <w:spacing w:after="0" w:line="104" w:lineRule="exact"/>
        <w:rPr>
          <w:sz w:val="20"/>
          <w:szCs w:val="20"/>
          <w:color w:val="auto"/>
        </w:rPr>
      </w:pPr>
    </w:p>
    <w:p>
      <w:pPr>
        <w:ind w:left="980" w:right="6760" w:hanging="324"/>
        <w:spacing w:after="0" w:line="464" w:lineRule="auto"/>
        <w:tabs>
          <w:tab w:leader="none" w:pos="85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&amp; 2) Consolidated Financial Statement Schedule - Schedule II Valuation and Qualifying Accounts</w:t>
      </w:r>
    </w:p>
    <w:p>
      <w:pPr>
        <w:ind w:left="98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as they are not required, or the required information is shown in the consolidated financial statements or notes thereto.</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Exhibits — See Exhibit Index at page 97 of this Form 10-K.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00"/>
          </w:cols>
          <w:pgMar w:left="320" w:top="118" w:right="379" w:bottom="1440" w:gutter="0" w:footer="0" w:header="0"/>
        </w:sectPr>
      </w:pP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119380</wp:posOffset>
            </wp:positionV>
            <wp:extent cx="7106285" cy="274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06285" cy="27432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500" w:space="720"/>
            <w:col w:w="4980"/>
          </w:cols>
          <w:pgMar w:left="320" w:top="118" w:right="379" w:bottom="1440" w:gutter="0" w:footer="0" w:header="0"/>
          <w:type w:val="continuous"/>
        </w:sectPr>
      </w:pPr>
    </w:p>
    <w:p>
      <w:pPr>
        <w:ind w:left="1960" w:hanging="31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2.1 </w:t>
      </w:r>
      <w:hyperlink r:id="rId157">
        <w:r>
          <w:rPr>
            <w:rFonts w:ascii="Times New Roman" w:cs="Times New Roman" w:eastAsia="Times New Roman" w:hAnsi="Times New Roman"/>
            <w:sz w:val="18"/>
            <w:szCs w:val="18"/>
            <w:color w:val="0000FF"/>
          </w:rPr>
          <w:t>Agreement and Plan of Merger, dated as of December 28, 2012, by and among Brady Corporation, BC I Merger Sub</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color w:val="0000FF"/>
          </w:rPr>
          <w:t>Corporation, Precision Dynamics Corporation, and Precision Dynamics Holding LLC (29)</w:t>
        </w:r>
      </w:hyperlink>
    </w:p>
    <w:p>
      <w:pPr>
        <w:spacing w:after="0" w:line="10" w:lineRule="exact"/>
        <w:rPr>
          <w:sz w:val="20"/>
          <w:szCs w:val="20"/>
          <w:color w:val="auto"/>
        </w:rPr>
      </w:pPr>
    </w:p>
    <w:p>
      <w:pPr>
        <w:ind w:left="1960" w:hanging="31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2.2 </w:t>
      </w:r>
      <w:hyperlink r:id="rId158">
        <w:r>
          <w:rPr>
            <w:rFonts w:ascii="Times New Roman" w:cs="Times New Roman" w:eastAsia="Times New Roman" w:hAnsi="Times New Roman"/>
            <w:sz w:val="18"/>
            <w:szCs w:val="18"/>
            <w:color w:val="0000FF"/>
          </w:rPr>
          <w:t>Share and Asset Purchase Agreement, dated as of February 24, 2014, by and among Brady Corporation, LTI Flexible Products,</w:t>
        </w:r>
      </w:hyperlink>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color w:val="0000FF"/>
          </w:rPr>
          <w:t>Inc. (d/b/a Boyd Corporation), and LTI Holdings Inc. (6)</w:t>
        </w:r>
      </w:hyperlink>
    </w:p>
    <w:p>
      <w:pPr>
        <w:spacing w:after="0" w:line="10" w:lineRule="exact"/>
        <w:rPr>
          <w:sz w:val="20"/>
          <w:szCs w:val="20"/>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hyperlink r:id="rId159">
        <w:r>
          <w:rPr>
            <w:rFonts w:ascii="Times New Roman" w:cs="Times New Roman" w:eastAsia="Times New Roman" w:hAnsi="Times New Roman"/>
            <w:sz w:val="18"/>
            <w:szCs w:val="18"/>
            <w:color w:val="0000FF"/>
          </w:rPr>
          <w:t>Combination Agreement, dated as of April 15, 2021, by and between Brady S.a.r.l and Nordic ID Oyj (30)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960" w:hanging="314"/>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2.4 </w:t>
      </w:r>
      <w:hyperlink r:id="rId161">
        <w:r>
          <w:rPr>
            <w:rFonts w:ascii="Times New Roman" w:cs="Times New Roman" w:eastAsia="Times New Roman" w:hAnsi="Times New Roman"/>
            <w:sz w:val="18"/>
            <w:szCs w:val="18"/>
            <w:color w:val="0000FF"/>
          </w:rPr>
          <w:t>Purchase Agreement, dated as of May 21, 2021, by and among Brady Corporation, LDC Limited, and the other institutional and</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color w:val="0000FF"/>
          </w:rPr>
          <w:t>individual holders of outstanding shares of Magicard Holdings Limited (36)</w:t>
        </w:r>
      </w:hyperlink>
    </w:p>
    <w:p>
      <w:pPr>
        <w:spacing w:after="0" w:line="10" w:lineRule="exact"/>
        <w:rPr>
          <w:sz w:val="20"/>
          <w:szCs w:val="20"/>
          <w:color w:val="auto"/>
        </w:rPr>
      </w:pPr>
    </w:p>
    <w:p>
      <w:pPr>
        <w:ind w:left="1960" w:hanging="31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2.5 </w:t>
      </w:r>
      <w:hyperlink r:id="rId162">
        <w:r>
          <w:rPr>
            <w:rFonts w:ascii="Times New Roman" w:cs="Times New Roman" w:eastAsia="Times New Roman" w:hAnsi="Times New Roman"/>
            <w:sz w:val="18"/>
            <w:szCs w:val="18"/>
            <w:color w:val="0000FF"/>
          </w:rPr>
          <w:t>Purchase Agreement, dated as of June 16, 2021, by and among Brady Worldwide, Inc., BW Acquisition Corp., The Code</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color w:val="0000FF"/>
          </w:rPr>
          <w:t>Corporation, Certain Stockholders of the Code Corporation, and Shareholder Representative Services LLC (24)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center"/>
        <w:ind w:left="1940" w:right="2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2.6 </w:t>
      </w:r>
      <w:hyperlink r:id="rId164">
        <w:r>
          <w:rPr>
            <w:rFonts w:ascii="Times New Roman" w:cs="Times New Roman" w:eastAsia="Times New Roman" w:hAnsi="Times New Roman"/>
            <w:sz w:val="18"/>
            <w:szCs w:val="18"/>
            <w:color w:val="0000FF"/>
          </w:rPr>
          <w:t>Securities Sale and Purchase Agreement, dated as of July 3, 2024, by and between Braton Europe S.A.R.L., MML Capital</w:t>
        </w:r>
      </w:hyperlink>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color w:val="0000FF"/>
          </w:rPr>
          <w:t>Europe VI Equity II S.A., and the other institutional and individual holders of outstanding shares of Gravotech Holding (19)</w:t>
        </w:r>
      </w:hyperlink>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3.1 Restated Articles of Incorporation of Brady Corporation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w:t>
      </w:r>
      <w:hyperlink r:id="rId166">
        <w:r>
          <w:rPr>
            <w:rFonts w:ascii="Times New Roman" w:cs="Times New Roman" w:eastAsia="Times New Roman" w:hAnsi="Times New Roman"/>
            <w:sz w:val="18"/>
            <w:szCs w:val="18"/>
            <w:color w:val="0000FF"/>
          </w:rPr>
          <w:t>By-Laws of Brady Corporation, as amended September 14, 2020 (23)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hyperlink r:id="rId168">
        <w:r>
          <w:rPr>
            <w:rFonts w:ascii="Times New Roman" w:cs="Times New Roman" w:eastAsia="Times New Roman" w:hAnsi="Times New Roman"/>
            <w:sz w:val="18"/>
            <w:szCs w:val="18"/>
            <w:color w:val="0000FF"/>
          </w:rPr>
          <w:t>Description of Brady Corporation Securities (3)</w:t>
        </w:r>
      </w:hyperlink>
    </w:p>
    <w:p>
      <w:pPr>
        <w:spacing w:after="0" w:line="2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4.2 Form of Indenture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hyperlink r:id="rId170">
        <w:r>
          <w:rPr>
            <w:rFonts w:ascii="Times New Roman" w:cs="Times New Roman" w:eastAsia="Times New Roman" w:hAnsi="Times New Roman"/>
            <w:sz w:val="18"/>
            <w:szCs w:val="18"/>
            <w:color w:val="0000FF"/>
          </w:rPr>
          <w:t>Brady Corporation 2023 Omnibus Incentive Plan (14)</w:t>
        </w:r>
      </w:hyperlink>
    </w:p>
    <w:p>
      <w:pPr>
        <w:spacing w:after="0" w:line="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*10.2 Brady Corporation BradyGold Plan, as amended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*10.3 Executive Additional Compensation Plan, as amended (2)</w:t>
      </w:r>
    </w:p>
    <w:p>
      <w:pPr>
        <w:spacing w:after="0" w:line="2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 </w:t>
      </w:r>
      <w:hyperlink r:id="rId172">
        <w:r>
          <w:rPr>
            <w:rFonts w:ascii="Times New Roman" w:cs="Times New Roman" w:eastAsia="Times New Roman" w:hAnsi="Times New Roman"/>
            <w:sz w:val="18"/>
            <w:szCs w:val="18"/>
            <w:color w:val="0000FF"/>
          </w:rPr>
          <w:t>Executive Deferred Compensation Plan, as amended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w:t>
      </w:r>
      <w:hyperlink r:id="rId174">
        <w:r>
          <w:rPr>
            <w:rFonts w:ascii="Times New Roman" w:cs="Times New Roman" w:eastAsia="Times New Roman" w:hAnsi="Times New Roman"/>
            <w:sz w:val="18"/>
            <w:szCs w:val="18"/>
            <w:color w:val="0000FF"/>
          </w:rPr>
          <w:t>Directors’ Deferred Compensation Plan, as amended (37)</w:t>
        </w:r>
      </w:hyperlink>
    </w:p>
    <w:p>
      <w:pPr>
        <w:spacing w:after="0" w:line="2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*10.6 </w:t>
      </w:r>
      <w:hyperlink r:id="rId175">
        <w:r>
          <w:rPr>
            <w:rFonts w:ascii="Times New Roman" w:cs="Times New Roman" w:eastAsia="Times New Roman" w:hAnsi="Times New Roman"/>
            <w:sz w:val="18"/>
            <w:szCs w:val="18"/>
            <w:color w:val="0000FF"/>
          </w:rPr>
          <w:t>Change of Control Agreement, dated as of April 6, 2020, with Andrew T. Gorman (5)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 </w:t>
      </w:r>
      <w:hyperlink r:id="rId177">
        <w:r>
          <w:rPr>
            <w:rFonts w:ascii="Times New Roman" w:cs="Times New Roman" w:eastAsia="Times New Roman" w:hAnsi="Times New Roman"/>
            <w:sz w:val="18"/>
            <w:szCs w:val="18"/>
            <w:color w:val="0000FF"/>
          </w:rPr>
          <w:t>Brady Corporation 2017 Omnibus Incentive Plan (27)</w:t>
        </w:r>
      </w:hyperlink>
    </w:p>
    <w:p>
      <w:pPr>
        <w:spacing w:after="0" w:line="23" w:lineRule="exact"/>
        <w:rPr>
          <w:sz w:val="20"/>
          <w:szCs w:val="20"/>
          <w:color w:val="auto"/>
        </w:rPr>
      </w:pPr>
    </w:p>
    <w:p>
      <w:pPr>
        <w:ind w:left="1960" w:hanging="44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*10.8 </w:t>
      </w:r>
      <w:hyperlink r:id="rId178">
        <w:r>
          <w:rPr>
            <w:rFonts w:ascii="Times New Roman" w:cs="Times New Roman" w:eastAsia="Times New Roman" w:hAnsi="Times New Roman"/>
            <w:sz w:val="18"/>
            <w:szCs w:val="18"/>
            <w:color w:val="0000FF"/>
          </w:rPr>
          <w:t>Form of Nonqualified Stock Option Agreement under the Brady Corporation 2017 Omnibus Incentive Plan for awards granted</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color w:val="0000FF"/>
          </w:rPr>
          <w:t>prior to Fiscal 2019 (33)</w:t>
        </w:r>
      </w:hyperlink>
    </w:p>
    <w:p>
      <w:pPr>
        <w:spacing w:after="0" w:line="1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10.9 Brady Corporation Automatic Dividend Reinvestment Plan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960" w:hanging="494"/>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10.10 </w:t>
      </w:r>
      <w:hyperlink r:id="rId180">
        <w:r>
          <w:rPr>
            <w:rFonts w:ascii="Times New Roman" w:cs="Times New Roman" w:eastAsia="Times New Roman" w:hAnsi="Times New Roman"/>
            <w:sz w:val="18"/>
            <w:szCs w:val="18"/>
            <w:color w:val="0000FF"/>
          </w:rPr>
          <w:t>Put Option Letter, dated as of March 15, 2024, by and between Brady Corporation and MML Capital Europe VI II S.A. and</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color w:val="0000FF"/>
          </w:rPr>
          <w:t>other institutional and individual holders (22)</w:t>
        </w:r>
      </w:hyperlink>
    </w:p>
    <w:p>
      <w:pPr>
        <w:spacing w:after="0" w:line="10" w:lineRule="exact"/>
        <w:rPr>
          <w:sz w:val="20"/>
          <w:szCs w:val="20"/>
          <w:color w:val="auto"/>
        </w:rPr>
      </w:pPr>
    </w:p>
    <w:p>
      <w:pPr>
        <w:ind w:left="1960" w:hanging="523"/>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*10.11 </w:t>
      </w:r>
      <w:hyperlink r:id="rId181">
        <w:r>
          <w:rPr>
            <w:rFonts w:ascii="Times New Roman" w:cs="Times New Roman" w:eastAsia="Times New Roman" w:hAnsi="Times New Roman"/>
            <w:sz w:val="18"/>
            <w:szCs w:val="18"/>
            <w:color w:val="0000FF"/>
          </w:rPr>
          <w:t>Form of Fiscal 2021 Performance-Based Restricted Stock Unit Agreement under the Brady Corporation 2017 Omnibus</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color w:val="0000FF"/>
          </w:rPr>
          <w:t>Incentive Plan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*10.12 </w:t>
      </w:r>
      <w:hyperlink r:id="rId183">
        <w:r>
          <w:rPr>
            <w:rFonts w:ascii="Times New Roman" w:cs="Times New Roman" w:eastAsia="Times New Roman" w:hAnsi="Times New Roman"/>
            <w:sz w:val="18"/>
            <w:szCs w:val="18"/>
            <w:color w:val="0000FF"/>
          </w:rPr>
          <w:t>Original Employment Contract between Brady Corporation and Brett Wilms effective June 1, 2018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265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7"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*10.13 </w:t>
      </w:r>
      <w:hyperlink r:id="rId185">
        <w:r>
          <w:rPr>
            <w:rFonts w:ascii="Times New Roman" w:cs="Times New Roman" w:eastAsia="Times New Roman" w:hAnsi="Times New Roman"/>
            <w:sz w:val="18"/>
            <w:szCs w:val="18"/>
            <w:color w:val="0000FF"/>
          </w:rPr>
          <w:t>Form of Fiscal 2020 and Fiscal 2021 Nonqualified Employee Stock Option Agreement under the Brady Corporation 2017</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color w:val="0000FF"/>
          </w:rPr>
          <w:t>Omnibus Incentive Plan (3)</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*10.14 </w:t>
      </w:r>
      <w:hyperlink r:id="rId186">
        <w:r>
          <w:rPr>
            <w:rFonts w:ascii="Times New Roman" w:cs="Times New Roman" w:eastAsia="Times New Roman" w:hAnsi="Times New Roman"/>
            <w:sz w:val="18"/>
            <w:szCs w:val="18"/>
            <w:color w:val="0000FF"/>
          </w:rPr>
          <w:t>Executive Deferred Compensation Plan, As Amended and Restated Effective September 5, 2023 (7)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*10.15 </w:t>
      </w:r>
      <w:hyperlink r:id="rId188">
        <w:r>
          <w:rPr>
            <w:rFonts w:ascii="Times New Roman" w:cs="Times New Roman" w:eastAsia="Times New Roman" w:hAnsi="Times New Roman"/>
            <w:sz w:val="18"/>
            <w:szCs w:val="18"/>
            <w:color w:val="0000FF"/>
          </w:rPr>
          <w:t>Form of Nonqualified Stock Option Agreement under the Brady Corporation 2023 Omnibus Incentive Plan (14)</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*10.16 </w:t>
      </w:r>
      <w:hyperlink r:id="rId190">
        <w:r>
          <w:rPr>
            <w:rFonts w:ascii="Times New Roman" w:cs="Times New Roman" w:eastAsia="Times New Roman" w:hAnsi="Times New Roman"/>
            <w:sz w:val="18"/>
            <w:szCs w:val="18"/>
            <w:color w:val="0000FF"/>
          </w:rPr>
          <w:t>Form of Fiscal 2020 and Fiscal 2021 Restricted Stock Unit Agreement under the Brady Corporation 2017 Omnibus Incentive</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color w:val="0000FF"/>
          </w:rPr>
          <w:t>Plan (3)</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*10.17 </w:t>
      </w:r>
      <w:hyperlink r:id="rId191">
        <w:r>
          <w:rPr>
            <w:rFonts w:ascii="Times New Roman" w:cs="Times New Roman" w:eastAsia="Times New Roman" w:hAnsi="Times New Roman"/>
            <w:sz w:val="18"/>
            <w:szCs w:val="18"/>
            <w:color w:val="0000FF"/>
          </w:rPr>
          <w:t>Employment Offer Letter, dated as of March 11, 2022, with Russell R. Shaller (15)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*10.18 </w:t>
      </w:r>
      <w:hyperlink r:id="rId193">
        <w:r>
          <w:rPr>
            <w:rFonts w:ascii="Times New Roman" w:cs="Times New Roman" w:eastAsia="Times New Roman" w:hAnsi="Times New Roman"/>
            <w:sz w:val="18"/>
            <w:szCs w:val="18"/>
            <w:color w:val="0000FF"/>
          </w:rPr>
          <w:t>Form of Restricted Stock Unit Agreement under the Brady Corporation 2023 Omnibus Incentive Plan (14)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5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1960" w:hanging="494"/>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10.19 </w:t>
      </w:r>
      <w:hyperlink r:id="rId195">
        <w:r>
          <w:rPr>
            <w:rFonts w:ascii="Times New Roman" w:cs="Times New Roman" w:eastAsia="Times New Roman" w:hAnsi="Times New Roman"/>
            <w:sz w:val="18"/>
            <w:szCs w:val="18"/>
            <w:color w:val="0000FF"/>
          </w:rPr>
          <w:t>Second Amendment to Credit Agreement, dated as of November 14, 2022, by and among Brady Corporation and certain of its</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color w:val="0000FF"/>
          </w:rPr>
          <w:t>subsidiaries, the lenders listed therein and BMO Harris Bank, N.A., as administrative agent (35)</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*10.20 </w:t>
      </w:r>
      <w:hyperlink r:id="rId196">
        <w:r>
          <w:rPr>
            <w:rFonts w:ascii="Times New Roman" w:cs="Times New Roman" w:eastAsia="Times New Roman" w:hAnsi="Times New Roman"/>
            <w:sz w:val="18"/>
            <w:szCs w:val="18"/>
            <w:color w:val="0000FF"/>
          </w:rPr>
          <w:t>Restricted Stock Unit Agreement, dated as of April 1, 2022, with Russell R. Shaller (15)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*10.21 </w:t>
      </w:r>
      <w:hyperlink r:id="rId198">
        <w:r>
          <w:rPr>
            <w:rFonts w:ascii="Times New Roman" w:cs="Times New Roman" w:eastAsia="Times New Roman" w:hAnsi="Times New Roman"/>
            <w:sz w:val="18"/>
            <w:szCs w:val="18"/>
            <w:color w:val="0000FF"/>
          </w:rPr>
          <w:t>Restated Brady Corporation Restoration Plan, as amended (37)</w:t>
        </w:r>
      </w:hyperlink>
    </w:p>
    <w:p>
      <w:pPr>
        <w:spacing w:after="0" w:line="2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*10.22 </w:t>
      </w:r>
      <w:hyperlink r:id="rId199">
        <w:r>
          <w:rPr>
            <w:rFonts w:ascii="Times New Roman" w:cs="Times New Roman" w:eastAsia="Times New Roman" w:hAnsi="Times New Roman"/>
            <w:sz w:val="18"/>
            <w:szCs w:val="18"/>
            <w:color w:val="0000FF"/>
          </w:rPr>
          <w:t>Change of Control Agreement, dated as of April 1, 2022, with Russell R. Shaller (15)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*10.23 </w:t>
      </w:r>
      <w:hyperlink r:id="rId201">
        <w:r>
          <w:rPr>
            <w:rFonts w:ascii="Times New Roman" w:cs="Times New Roman" w:eastAsia="Times New Roman" w:hAnsi="Times New Roman"/>
            <w:sz w:val="18"/>
            <w:szCs w:val="18"/>
            <w:color w:val="0000FF"/>
          </w:rPr>
          <w:t>Employment Offer Letter, dated as of February 19, 2020, with Andrew T. Gorman (5)</w:t>
        </w:r>
      </w:hyperlink>
    </w:p>
    <w:p>
      <w:pPr>
        <w:spacing w:after="0" w:line="23"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*10.24 </w:t>
      </w:r>
      <w:hyperlink r:id="rId202">
        <w:r>
          <w:rPr>
            <w:rFonts w:ascii="Times New Roman" w:cs="Times New Roman" w:eastAsia="Times New Roman" w:hAnsi="Times New Roman"/>
            <w:sz w:val="18"/>
            <w:szCs w:val="18"/>
            <w:color w:val="0000FF"/>
          </w:rPr>
          <w:t>Form of Fiscal 2023 Performance-Based Restricted Stock Unit Agreement under the Brady Corporation 2017 Omnibus</w:t>
        </w:r>
      </w:hyperlink>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color w:val="0000FF"/>
          </w:rPr>
          <w:t>Incentive Plan (5)</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*10.25 </w:t>
      </w:r>
      <w:hyperlink r:id="rId203">
        <w:r>
          <w:rPr>
            <w:rFonts w:ascii="Times New Roman" w:cs="Times New Roman" w:eastAsia="Times New Roman" w:hAnsi="Times New Roman"/>
            <w:sz w:val="18"/>
            <w:szCs w:val="18"/>
            <w:color w:val="0000FF"/>
          </w:rPr>
          <w:t>Form of Fiscal 2022 Restricted Stock Unit Agreement under the Brady Corporation 2017 Omnibus Incentive Plan (34)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*10.26 </w:t>
      </w:r>
      <w:hyperlink r:id="rId205">
        <w:r>
          <w:rPr>
            <w:rFonts w:ascii="Times New Roman" w:cs="Times New Roman" w:eastAsia="Times New Roman" w:hAnsi="Times New Roman"/>
            <w:sz w:val="18"/>
            <w:szCs w:val="18"/>
            <w:color w:val="0000FF"/>
          </w:rPr>
          <w:t>Employment Offer Letter, dated as of August 3, 2022, with Oliver Bojarski (12)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*10.27 </w:t>
      </w:r>
      <w:hyperlink r:id="rId207">
        <w:r>
          <w:rPr>
            <w:rFonts w:ascii="Times New Roman" w:cs="Times New Roman" w:eastAsia="Times New Roman" w:hAnsi="Times New Roman"/>
            <w:sz w:val="18"/>
            <w:szCs w:val="18"/>
            <w:color w:val="0000FF"/>
          </w:rPr>
          <w:t>Form of Fiscal 2019 Restricted Stock Unit Agreement under the Brady Corporation 2017 Omnibus Incentive Plan (37)</w:t>
        </w:r>
      </w:hyperlink>
    </w:p>
    <w:p>
      <w:pPr>
        <w:spacing w:after="0" w:line="23"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*10.28 </w:t>
      </w:r>
      <w:hyperlink r:id="rId208">
        <w:r>
          <w:rPr>
            <w:rFonts w:ascii="Times New Roman" w:cs="Times New Roman" w:eastAsia="Times New Roman" w:hAnsi="Times New Roman"/>
            <w:sz w:val="18"/>
            <w:szCs w:val="18"/>
            <w:color w:val="0000FF"/>
          </w:rPr>
          <w:t>Employee Non-Compete and Non-Disclosure Agreement, dated as of August 3, 2022, between Brady Corporation and Oliver</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color w:val="0000FF"/>
          </w:rPr>
          <w:t>Bojarski (12)</w:t>
        </w:r>
      </w:hyperlink>
    </w:p>
    <w:p>
      <w:pPr>
        <w:spacing w:after="0" w:line="10" w:lineRule="exact"/>
        <w:rPr>
          <w:sz w:val="20"/>
          <w:szCs w:val="20"/>
          <w:color w:val="auto"/>
        </w:rPr>
      </w:pPr>
    </w:p>
    <w:p>
      <w:pPr>
        <w:ind w:left="1960" w:hanging="49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10.29 </w:t>
      </w:r>
      <w:hyperlink r:id="rId209">
        <w:r>
          <w:rPr>
            <w:rFonts w:ascii="Times New Roman" w:cs="Times New Roman" w:eastAsia="Times New Roman" w:hAnsi="Times New Roman"/>
            <w:sz w:val="18"/>
            <w:szCs w:val="18"/>
            <w:color w:val="0000FF"/>
          </w:rPr>
          <w:t>First Amendment to Credit Agreement, dated as of December 21, 2021, by and among Brady Corporation and certain of its</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color w:val="0000FF"/>
          </w:rPr>
          <w:t>subsidiaries, the lenders listed therein and BMO Harris Bank, N.A., as administrative agent (20)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*10.30 </w:t>
      </w:r>
      <w:hyperlink r:id="rId203">
        <w:r>
          <w:rPr>
            <w:rFonts w:ascii="Times New Roman" w:cs="Times New Roman" w:eastAsia="Times New Roman" w:hAnsi="Times New Roman"/>
            <w:sz w:val="18"/>
            <w:szCs w:val="18"/>
            <w:color w:val="0000FF"/>
          </w:rPr>
          <w:t>Form of Fiscal 2022 Restricted Stock Unit Agreement under the Brady Corporation 2017 Omnibus Incentive Plan (34)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2660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7"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*10.31 </w:t>
      </w:r>
      <w:hyperlink r:id="rId212">
        <w:r>
          <w:rPr>
            <w:rFonts w:ascii="Times New Roman" w:cs="Times New Roman" w:eastAsia="Times New Roman" w:hAnsi="Times New Roman"/>
            <w:sz w:val="18"/>
            <w:szCs w:val="18"/>
            <w:color w:val="0000FF"/>
          </w:rPr>
          <w:t>Form of Fiscal 2016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color w:val="0000FF"/>
          </w:rPr>
          <w:t>Stock Plan (21)</w:t>
        </w:r>
      </w:hyperlink>
    </w:p>
    <w:p>
      <w:pPr>
        <w:spacing w:after="0" w:line="10" w:lineRule="exact"/>
        <w:rPr>
          <w:sz w:val="20"/>
          <w:szCs w:val="20"/>
          <w:color w:val="auto"/>
        </w:rPr>
      </w:pP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*10.32 </w:t>
      </w:r>
      <w:hyperlink r:id="rId213">
        <w:r>
          <w:rPr>
            <w:rFonts w:ascii="Times New Roman" w:cs="Times New Roman" w:eastAsia="Times New Roman" w:hAnsi="Times New Roman"/>
            <w:sz w:val="18"/>
            <w:szCs w:val="18"/>
            <w:color w:val="0000FF"/>
          </w:rPr>
          <w:t>Form of Fiscal 2022 Nonqualified Employee Stock Option Agreement under the Brady Corporation 2017 Omnibus Incentive</w:t>
        </w:r>
      </w:hyperlink>
      <w:r>
        <w:rPr>
          <w:rFonts w:ascii="Times New Roman" w:cs="Times New Roman" w:eastAsia="Times New Roman" w:hAnsi="Times New Roman"/>
          <w:sz w:val="18"/>
          <w:szCs w:val="18"/>
          <w:color w:val="auto"/>
        </w:rPr>
        <w:t xml:space="preserve"> </w:t>
      </w:r>
      <w:hyperlink r:id="rId213">
        <w:r>
          <w:rPr>
            <w:rFonts w:ascii="Times New Roman" w:cs="Times New Roman" w:eastAsia="Times New Roman" w:hAnsi="Times New Roman"/>
            <w:sz w:val="18"/>
            <w:szCs w:val="18"/>
            <w:color w:val="0000FF"/>
          </w:rPr>
          <w:t>Plan (34)</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*10.33 </w:t>
      </w:r>
      <w:hyperlink r:id="rId214">
        <w:r>
          <w:rPr>
            <w:rFonts w:ascii="Times New Roman" w:cs="Times New Roman" w:eastAsia="Times New Roman" w:hAnsi="Times New Roman"/>
            <w:sz w:val="18"/>
            <w:szCs w:val="18"/>
            <w:color w:val="0000FF"/>
          </w:rPr>
          <w:t>Addendum to the 2017 General Stock Option Incentive Plan of Brady Corporation for Participants in France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*10.34 </w:t>
      </w:r>
      <w:hyperlink r:id="rId216">
        <w:r>
          <w:rPr>
            <w:rFonts w:ascii="Times New Roman" w:cs="Times New Roman" w:eastAsia="Times New Roman" w:hAnsi="Times New Roman"/>
            <w:sz w:val="18"/>
            <w:szCs w:val="18"/>
            <w:color w:val="0000FF"/>
          </w:rPr>
          <w:t>Addendum to the 2017 General Restricted Stock Unit Incentive Plan of Brady Corporation for Participants in France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*10.35 </w:t>
      </w:r>
      <w:hyperlink r:id="rId218">
        <w:r>
          <w:rPr>
            <w:rFonts w:ascii="Times New Roman" w:cs="Times New Roman" w:eastAsia="Times New Roman" w:hAnsi="Times New Roman"/>
            <w:sz w:val="18"/>
            <w:szCs w:val="18"/>
            <w:color w:val="0000FF"/>
          </w:rPr>
          <w:t>Employment Offer Letter between Brady Corporation and Ann E. Thornton dated as of April 14, 2023 (16)</w:t>
        </w:r>
      </w:hyperlink>
    </w:p>
    <w:p>
      <w:pPr>
        <w:spacing w:after="0" w:line="2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*10.36 </w:t>
      </w:r>
      <w:hyperlink r:id="rId219">
        <w:r>
          <w:rPr>
            <w:rFonts w:ascii="Times New Roman" w:cs="Times New Roman" w:eastAsia="Times New Roman" w:hAnsi="Times New Roman"/>
            <w:sz w:val="18"/>
            <w:szCs w:val="18"/>
            <w:color w:val="0000FF"/>
          </w:rPr>
          <w:t>Change of Control Agreement between Brady Corporation and Ann E. Thornton dated as of April 14, 2023 (16)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*10.37 </w:t>
      </w:r>
      <w:hyperlink r:id="rId221">
        <w:r>
          <w:rPr>
            <w:rFonts w:ascii="Times New Roman" w:cs="Times New Roman" w:eastAsia="Times New Roman" w:hAnsi="Times New Roman"/>
            <w:sz w:val="18"/>
            <w:szCs w:val="18"/>
            <w:color w:val="0000FF"/>
          </w:rPr>
          <w:t>Employment Contract Addendum between Brady Corporation and Brett Wilms effective February 1, 2023 (10)</w:t>
        </w:r>
      </w:hyperlink>
    </w:p>
    <w:p>
      <w:pPr>
        <w:spacing w:after="0" w:line="2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*10.38 </w:t>
      </w:r>
      <w:hyperlink r:id="rId222">
        <w:r>
          <w:rPr>
            <w:rFonts w:ascii="Times New Roman" w:cs="Times New Roman" w:eastAsia="Times New Roman" w:hAnsi="Times New Roman"/>
            <w:sz w:val="18"/>
            <w:szCs w:val="18"/>
            <w:color w:val="0000FF"/>
          </w:rPr>
          <w:t>Change of Control Agreement between Brady Corporation and Brett Wilms dated as of January 10, 2023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3771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spacing w:after="0" w:line="3" w:lineRule="exact"/>
        <w:rPr>
          <w:sz w:val="20"/>
          <w:szCs w:val="20"/>
          <w:color w:val="auto"/>
        </w:rPr>
      </w:pPr>
    </w:p>
    <w:p>
      <w:pPr>
        <w:jc w:val="right"/>
        <w:ind w:left="1460"/>
        <w:spacing w:after="0" w:line="220"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10.39 </w:t>
      </w:r>
      <w:hyperlink r:id="rId224">
        <w:r>
          <w:rPr>
            <w:rFonts w:ascii="Times New Roman" w:cs="Times New Roman" w:eastAsia="Times New Roman" w:hAnsi="Times New Roman"/>
            <w:sz w:val="18"/>
            <w:szCs w:val="18"/>
            <w:color w:val="0000FF"/>
          </w:rPr>
          <w:t>Credit Agreement, dated as of August 1, 2019, by and among Brady Corporation and certain of its subsidiaries, the lenders</w:t>
        </w:r>
      </w:hyperlink>
      <w:r>
        <w:rPr>
          <w:rFonts w:ascii="Times New Roman" w:cs="Times New Roman" w:eastAsia="Times New Roman" w:hAnsi="Times New Roman"/>
          <w:sz w:val="18"/>
          <w:szCs w:val="18"/>
          <w:color w:val="auto"/>
        </w:rPr>
        <w:t xml:space="preserve"> </w:t>
      </w:r>
      <w:hyperlink r:id="rId224">
        <w:r>
          <w:rPr>
            <w:rFonts w:ascii="Times New Roman" w:cs="Times New Roman" w:eastAsia="Times New Roman" w:hAnsi="Times New Roman"/>
            <w:sz w:val="18"/>
            <w:szCs w:val="18"/>
            <w:color w:val="0000FF"/>
          </w:rPr>
          <w:t>listed therein, BMO Harris Bank, N.A., as administrative agent and L/C issuer, Bank of America, N.A., as syndication agent</w:t>
        </w:r>
      </w:hyperlink>
    </w:p>
    <w:p>
      <w:pPr>
        <w:ind w:left="1960"/>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and L/C issuer, and Wells Fargo Bank, N.A., as documentation agent (38)</w:t>
        </w:r>
      </w:hyperlink>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*10.40 </w:t>
      </w:r>
      <w:hyperlink r:id="rId225">
        <w:r>
          <w:rPr>
            <w:rFonts w:ascii="Times New Roman" w:cs="Times New Roman" w:eastAsia="Times New Roman" w:hAnsi="Times New Roman"/>
            <w:sz w:val="18"/>
            <w:szCs w:val="18"/>
            <w:color w:val="0000FF"/>
          </w:rPr>
          <w:t>Employment Offer Letter between Brady Corporation and Thomas DeBruine dated as of May 24, 2024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*10.41 </w:t>
      </w:r>
      <w:hyperlink r:id="rId227">
        <w:r>
          <w:rPr>
            <w:rFonts w:ascii="Times New Roman" w:cs="Times New Roman" w:eastAsia="Times New Roman" w:hAnsi="Times New Roman"/>
            <w:sz w:val="18"/>
            <w:szCs w:val="18"/>
            <w:color w:val="0000FF"/>
          </w:rPr>
          <w:t>Change of Control Agreement, dated as of April 11, 2022, with Thomas DeBruine (17)</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60" w:hanging="530"/>
        <w:spacing w:after="0" w:line="237" w:lineRule="auto"/>
        <w:rPr>
          <w:sz w:val="20"/>
          <w:szCs w:val="20"/>
          <w:color w:val="auto"/>
        </w:rPr>
      </w:pPr>
      <w:r>
        <w:rPr>
          <w:rFonts w:ascii="Times New Roman" w:cs="Times New Roman" w:eastAsia="Times New Roman" w:hAnsi="Times New Roman"/>
          <w:sz w:val="18"/>
          <w:szCs w:val="18"/>
          <w:color w:val="auto"/>
        </w:rPr>
        <w:t xml:space="preserve">*10.42 </w:t>
      </w:r>
      <w:r>
        <w:rPr>
          <w:rFonts w:ascii="Times New Roman" w:cs="Times New Roman" w:eastAsia="Times New Roman" w:hAnsi="Times New Roman"/>
          <w:sz w:val="18"/>
          <w:szCs w:val="18"/>
          <w:color w:val="0000FF"/>
        </w:rPr>
        <w:t>Form of Fiscal 2025 Performance-Based Restricted Stock Unit Agreement under the Brady Corporation 2023 Omnibus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Incentive Plan</w:t>
      </w:r>
    </w:p>
    <w:p>
      <w:pPr>
        <w:spacing w:after="0" w:line="10" w:lineRule="exact"/>
        <w:rPr>
          <w:sz w:val="20"/>
          <w:szCs w:val="20"/>
          <w:color w:val="auto"/>
        </w:rPr>
      </w:pPr>
    </w:p>
    <w:p>
      <w:pPr>
        <w:ind w:left="1960" w:hanging="267"/>
        <w:spacing w:after="0"/>
        <w:tabs>
          <w:tab w:leader="none" w:pos="1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Insider Trading Policy of Brady Corporation</w:t>
      </w:r>
    </w:p>
    <w:p>
      <w:pPr>
        <w:spacing w:after="0" w:line="27" w:lineRule="exact"/>
        <w:rPr>
          <w:rFonts w:ascii="Times New Roman" w:cs="Times New Roman" w:eastAsia="Times New Roman" w:hAnsi="Times New Roman"/>
          <w:sz w:val="18"/>
          <w:szCs w:val="18"/>
          <w:color w:val="auto"/>
        </w:rPr>
      </w:pPr>
    </w:p>
    <w:p>
      <w:pPr>
        <w:ind w:left="1960" w:hanging="267"/>
        <w:spacing w:after="0"/>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Subsidiaries of Brady Corporation</w:t>
      </w:r>
    </w:p>
    <w:p>
      <w:pPr>
        <w:spacing w:after="0" w:line="22" w:lineRule="exact"/>
        <w:rPr>
          <w:rFonts w:ascii="Times New Roman" w:cs="Times New Roman" w:eastAsia="Times New Roman" w:hAnsi="Times New Roman"/>
          <w:sz w:val="18"/>
          <w:szCs w:val="18"/>
          <w:color w:val="auto"/>
        </w:rPr>
      </w:pPr>
    </w:p>
    <w:p>
      <w:pPr>
        <w:ind w:left="1960" w:hanging="267"/>
        <w:spacing w:after="0"/>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Consent of Deloitte &amp; Touche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-422275</wp:posOffset>
            </wp:positionV>
            <wp:extent cx="7106285"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-130810</wp:posOffset>
            </wp:positionV>
            <wp:extent cx="7106285"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160020</wp:posOffset>
            </wp:positionV>
            <wp:extent cx="7106285"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451485</wp:posOffset>
            </wp:positionV>
            <wp:extent cx="7106285"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320" w:right="5740" w:firstLine="373"/>
        <w:spacing w:after="0" w:line="297" w:lineRule="auto"/>
        <w:tabs>
          <w:tab w:leader="none" w:pos="196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 xml:space="preserve">Incentive Recovery Policy of Brady Corporation </w:t>
      </w:r>
      <w:r>
        <w:rPr>
          <w:rFonts w:ascii="Times New Roman" w:cs="Times New Roman" w:eastAsia="Times New Roman" w:hAnsi="Times New Roman"/>
          <w:sz w:val="18"/>
          <w:szCs w:val="18"/>
          <w:color w:val="000000"/>
        </w:rPr>
        <w:t>101.INS 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106285"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114935</wp:posOffset>
            </wp:positionV>
            <wp:extent cx="7106285"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406400</wp:posOffset>
            </wp:positionV>
            <wp:extent cx="7106285"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960" w:hanging="356"/>
        <w:spacing w:after="0"/>
        <w:tabs>
          <w:tab w:leader="none" w:pos="196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Inline XBRL data (Contained in Exhibit 101)</w:t>
      </w:r>
    </w:p>
    <w:p>
      <w:pPr>
        <w:spacing w:after="0" w:line="144"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 or arrangement</w:t>
      </w:r>
    </w:p>
    <w:p>
      <w:pPr>
        <w:spacing w:after="0" w:line="90"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Registration Statement No. 333-04155 on Form S-3</w:t>
      </w:r>
    </w:p>
    <w:p>
      <w:pPr>
        <w:spacing w:after="0" w:line="27"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1989</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2019</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1992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2022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February 25, 2014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2023</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February 1, 2023</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August 5, 2022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September 5, 2023</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March 16, 2022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April 19, 2023</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30, 2024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2020</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July 10, 2024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December 22, 2021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2015</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April 30, 2024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September 16, 2020</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-3705225</wp:posOffset>
            </wp:positionV>
            <wp:extent cx="7106285"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7"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27, 2016</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December 31, 2012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April 16, 2021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July 14, 2016</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2021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November 17, 2022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26, 2021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2018</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August 1, 2019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ended July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4"/>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9"/>
        </w:trPr>
        <w:tc>
          <w:tcPr>
            <w:tcW w:w="6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64"/>
        </w:trPr>
        <w:tc>
          <w:tcPr>
            <w:tcW w:w="61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Valuation accounts deducted in balance sheet from assets to which they apply — Accounts</w:t>
            </w: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 — allowance for credit losses: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7,306</w:t>
            </w:r>
          </w:p>
        </w:tc>
      </w:tr>
      <w:tr>
        <w:trPr>
          <w:trHeight w:val="21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 Bad debts written off, net of recoveries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7,355</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 Reserve for slow-moving inventory:</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23,009</w:t>
            </w:r>
          </w:p>
        </w:tc>
      </w:tr>
      <w:tr>
        <w:trPr>
          <w:trHeight w:val="21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Additions (Deductions) — Charged to (reversal of)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 Inventory write-offs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w:t>
            </w: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31,982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29,877</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allowances against deferred tax assets: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51,069</w:t>
            </w:r>
          </w:p>
        </w:tc>
      </w:tr>
      <w:tr>
        <w:trPr>
          <w:trHeight w:val="21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 Valuation allowances reversed/utilized</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w:t>
            </w: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47,224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52,750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47,276</w:t>
            </w:r>
          </w:p>
        </w:tc>
      </w:tr>
      <w:tr>
        <w:trPr>
          <w:trHeight w:val="20"/>
        </w:trPr>
        <w:tc>
          <w:tcPr>
            <w:tcW w:w="6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-2811145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-2811145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this 6th day of September 2024.</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RADY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3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6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80" w:type="dxa"/>
            <w:vAlign w:val="bottom"/>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56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RUSSELL R. SHALLER</w:t>
            </w:r>
          </w:p>
        </w:tc>
        <w:tc>
          <w:tcPr>
            <w:tcW w:w="420" w:type="dxa"/>
            <w:vAlign w:val="bottom"/>
            <w:shd w:val="clear" w:color="auto" w:fill="CCEEFF"/>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PATRICK W. ALLENDER</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DAVID S. BEM</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ELIZABETH P. BRUNO</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JOANNE COLLINS SMEE</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Joanne Collins Smee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NANCY L. GIOIA</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M. HIX</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M. Hix</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VINEET NARGOLWALA</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Vineet Nargolwala</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BRADLEY C. RICHARDSON</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MICHELLE E. WILLIAMS</w:t>
            </w:r>
          </w:p>
        </w:tc>
        <w:tc>
          <w:tcPr>
            <w:tcW w:w="5180" w:type="dxa"/>
            <w:vAlign w:val="bottom"/>
            <w:shd w:val="clear" w:color="auto" w:fill="CCEEFF"/>
          </w:tcPr>
          <w:p>
            <w:pPr>
              <w:spacing w:after="0"/>
              <w:rPr>
                <w:sz w:val="19"/>
                <w:szCs w:val="19"/>
                <w:color w:val="auto"/>
              </w:rPr>
            </w:pP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98" w:lineRule="exact"/>
        <w:rPr>
          <w:sz w:val="20"/>
          <w:szCs w:val="20"/>
          <w:color w:val="auto"/>
        </w:rPr>
      </w:pPr>
    </w:p>
    <w:p>
      <w:pPr>
        <w:ind w:left="680" w:hanging="654"/>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above signatures is affixed as of September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18"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10.42</w:t>
      </w:r>
    </w:p>
    <w:p>
      <w:pPr>
        <w:spacing w:after="0" w:line="25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b w:val="1"/>
          <w:bCs w:val="1"/>
          <w:u w:val="single" w:color="auto"/>
          <w:color w:val="auto"/>
        </w:rPr>
        <w:t>BRADY CORPORATION</w:t>
      </w:r>
    </w:p>
    <w:p>
      <w:pPr>
        <w:spacing w:after="0" w:line="3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PERFORMANCE-BASED RESTRICTED STOCK UNITS</w:t>
      </w:r>
    </w:p>
    <w:p>
      <w:pPr>
        <w:spacing w:after="0" w:line="234" w:lineRule="exact"/>
        <w:rPr>
          <w:sz w:val="20"/>
          <w:szCs w:val="20"/>
          <w:color w:val="auto"/>
        </w:rPr>
      </w:pPr>
    </w:p>
    <w:p>
      <w:pPr>
        <w:jc w:val="both"/>
        <w:ind w:left="10" w:right="1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Brady Corporation 2023 Omnibus Incentive Plan (the "Plan"), the Management Development and Compensation Committee (the “Committee”) of the Brady Corporation Board of Directors hereby grants to you, _______________ (“Employee”),</w:t>
      </w:r>
    </w:p>
    <w:p>
      <w:pPr>
        <w:jc w:val="both"/>
        <w:ind w:left="10" w:right="160"/>
        <w:spacing w:after="0" w:line="255" w:lineRule="auto"/>
        <w:rPr>
          <w:sz w:val="20"/>
          <w:szCs w:val="20"/>
          <w:color w:val="auto"/>
        </w:rPr>
      </w:pPr>
      <w:r>
        <w:rPr>
          <w:rFonts w:ascii="Times New Roman" w:cs="Times New Roman" w:eastAsia="Times New Roman" w:hAnsi="Times New Roman"/>
          <w:sz w:val="18"/>
          <w:szCs w:val="18"/>
          <w:color w:val="auto"/>
        </w:rPr>
        <w:t>an award of Performance-Based Restricted Stock Units involving the number of such Units set forth in the table below. Brady Corporation’s (the “Corporation”) records shall be the official record of the grant described herein and, in the event of any conflict between this description and the Corporation’s records, the Corporation’s records shall control.</w:t>
      </w:r>
    </w:p>
    <w:p>
      <w:pPr>
        <w:spacing w:after="0" w:line="213" w:lineRule="exact"/>
        <w:rPr>
          <w:sz w:val="20"/>
          <w:szCs w:val="20"/>
          <w:color w:val="auto"/>
        </w:rPr>
      </w:pPr>
    </w:p>
    <w:p>
      <w:pPr>
        <w:ind w:left="50" w:right="160" w:firstLine="648"/>
        <w:spacing w:after="0" w:line="282" w:lineRule="auto"/>
        <w:rPr>
          <w:sz w:val="20"/>
          <w:szCs w:val="20"/>
          <w:color w:val="auto"/>
        </w:rPr>
      </w:pPr>
      <w:r>
        <w:rPr>
          <w:rFonts w:ascii="Times New Roman" w:cs="Times New Roman" w:eastAsia="Times New Roman" w:hAnsi="Times New Roman"/>
          <w:sz w:val="18"/>
          <w:szCs w:val="18"/>
          <w:color w:val="auto"/>
        </w:rPr>
        <w:t>The terms and conditions of this Award are set forth in this Agreement, the attached Exhibit A, Exhibit B and in the Plan document, a copy of which has been provided to you.</w:t>
      </w:r>
    </w:p>
    <w:p>
      <w:pPr>
        <w:spacing w:after="0" w:line="214" w:lineRule="exact"/>
        <w:rPr>
          <w:sz w:val="20"/>
          <w:szCs w:val="20"/>
          <w:color w:val="auto"/>
        </w:rPr>
      </w:pPr>
    </w:p>
    <w:tbl>
      <w:tblPr>
        <w:tblLayout w:type="fixed"/>
        <w:tblInd w:w="1180" w:type="dxa"/>
        <w:tblCellMar>
          <w:top w:w="0" w:type="dxa"/>
          <w:left w:w="0" w:type="dxa"/>
          <w:bottom w:w="0" w:type="dxa"/>
          <w:right w:w="0" w:type="dxa"/>
        </w:tblCellMar>
      </w:tblPr>
      <w:tr>
        <w:trPr>
          <w:trHeight w:val="243"/>
        </w:trPr>
        <w:tc>
          <w:tcPr>
            <w:tcW w:w="48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 Performance-Based Restricted Stock Units Granted at</w:t>
            </w:r>
          </w:p>
        </w:tc>
        <w:tc>
          <w:tcPr>
            <w:tcW w:w="37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Target (the “Units”):</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1, 2024</w:t>
            </w:r>
          </w:p>
        </w:tc>
        <w:tc>
          <w:tcPr>
            <w:tcW w:w="0" w:type="dxa"/>
            <w:vAlign w:val="bottom"/>
          </w:tcPr>
          <w:p>
            <w:pPr>
              <w:spacing w:after="0"/>
              <w:rPr>
                <w:sz w:val="1"/>
                <w:szCs w:val="1"/>
                <w:color w:val="auto"/>
              </w:rPr>
            </w:pPr>
          </w:p>
        </w:tc>
      </w:tr>
      <w:tr>
        <w:trPr>
          <w:trHeight w:val="63"/>
        </w:trPr>
        <w:tc>
          <w:tcPr>
            <w:tcW w:w="48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86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Scheduled Vesting Date:</w:t>
            </w:r>
          </w:p>
        </w:tc>
        <w:tc>
          <w:tcPr>
            <w:tcW w:w="37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date described in Section 2(a) of the</w:t>
            </w:r>
          </w:p>
        </w:tc>
        <w:tc>
          <w:tcPr>
            <w:tcW w:w="0" w:type="dxa"/>
            <w:vAlign w:val="bottom"/>
          </w:tcPr>
          <w:p>
            <w:pPr>
              <w:spacing w:after="0"/>
              <w:rPr>
                <w:sz w:val="1"/>
                <w:szCs w:val="1"/>
                <w:color w:val="auto"/>
              </w:rPr>
            </w:pPr>
          </w:p>
        </w:tc>
      </w:tr>
      <w:tr>
        <w:trPr>
          <w:trHeight w:val="234"/>
        </w:trPr>
        <w:tc>
          <w:tcPr>
            <w:tcW w:w="48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Agreement</w:t>
            </w:r>
          </w:p>
        </w:tc>
        <w:tc>
          <w:tcPr>
            <w:tcW w:w="0" w:type="dxa"/>
            <w:vAlign w:val="bottom"/>
          </w:tcPr>
          <w:p>
            <w:pPr>
              <w:spacing w:after="0"/>
              <w:rPr>
                <w:sz w:val="1"/>
                <w:szCs w:val="1"/>
                <w:color w:val="auto"/>
              </w:rPr>
            </w:pPr>
          </w:p>
        </w:tc>
      </w:tr>
      <w:tr>
        <w:trPr>
          <w:trHeight w:val="103"/>
        </w:trPr>
        <w:tc>
          <w:tcPr>
            <w:tcW w:w="4860" w:type="dxa"/>
            <w:vAlign w:val="bottom"/>
            <w:tcBorders>
              <w:left w:val="single" w:sz="8" w:color="auto"/>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86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Performance Period:</w:t>
            </w:r>
          </w:p>
        </w:tc>
        <w:tc>
          <w:tcPr>
            <w:tcW w:w="37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Multiple performance periods are set forth in</w:t>
            </w:r>
          </w:p>
        </w:tc>
        <w:tc>
          <w:tcPr>
            <w:tcW w:w="0" w:type="dxa"/>
            <w:vAlign w:val="bottom"/>
          </w:tcPr>
          <w:p>
            <w:pPr>
              <w:spacing w:after="0"/>
              <w:rPr>
                <w:sz w:val="1"/>
                <w:szCs w:val="1"/>
                <w:color w:val="auto"/>
              </w:rPr>
            </w:pPr>
          </w:p>
        </w:tc>
      </w:tr>
      <w:tr>
        <w:trPr>
          <w:trHeight w:val="184"/>
        </w:trPr>
        <w:tc>
          <w:tcPr>
            <w:tcW w:w="48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Exhibit A, which include the annual and</w:t>
            </w:r>
          </w:p>
        </w:tc>
        <w:tc>
          <w:tcPr>
            <w:tcW w:w="0" w:type="dxa"/>
            <w:vAlign w:val="bottom"/>
          </w:tcPr>
          <w:p>
            <w:pPr>
              <w:spacing w:after="0"/>
              <w:rPr>
                <w:sz w:val="1"/>
                <w:szCs w:val="1"/>
                <w:color w:val="auto"/>
              </w:rPr>
            </w:pPr>
          </w:p>
        </w:tc>
      </w:tr>
      <w:tr>
        <w:trPr>
          <w:trHeight w:val="180"/>
        </w:trPr>
        <w:tc>
          <w:tcPr>
            <w:tcW w:w="48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cumulative periods within the three-year period</w:t>
            </w:r>
          </w:p>
        </w:tc>
        <w:tc>
          <w:tcPr>
            <w:tcW w:w="0" w:type="dxa"/>
            <w:vAlign w:val="bottom"/>
          </w:tcPr>
          <w:p>
            <w:pPr>
              <w:spacing w:after="0"/>
              <w:rPr>
                <w:sz w:val="1"/>
                <w:szCs w:val="1"/>
                <w:color w:val="auto"/>
              </w:rPr>
            </w:pPr>
          </w:p>
        </w:tc>
      </w:tr>
      <w:tr>
        <w:trPr>
          <w:trHeight w:val="175"/>
        </w:trPr>
        <w:tc>
          <w:tcPr>
            <w:tcW w:w="48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beginning on August 1, 2024 and ending on July</w:t>
            </w:r>
          </w:p>
        </w:tc>
        <w:tc>
          <w:tcPr>
            <w:tcW w:w="0" w:type="dxa"/>
            <w:vAlign w:val="bottom"/>
          </w:tcPr>
          <w:p>
            <w:pPr>
              <w:spacing w:after="0"/>
              <w:rPr>
                <w:sz w:val="1"/>
                <w:szCs w:val="1"/>
                <w:color w:val="auto"/>
              </w:rPr>
            </w:pPr>
          </w:p>
        </w:tc>
      </w:tr>
      <w:tr>
        <w:trPr>
          <w:trHeight w:val="239"/>
        </w:trPr>
        <w:tc>
          <w:tcPr>
            <w:tcW w:w="48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31, 2026.</w:t>
            </w:r>
          </w:p>
        </w:tc>
        <w:tc>
          <w:tcPr>
            <w:tcW w:w="0" w:type="dxa"/>
            <w:vAlign w:val="bottom"/>
          </w:tcPr>
          <w:p>
            <w:pPr>
              <w:spacing w:after="0"/>
              <w:rPr>
                <w:sz w:val="1"/>
                <w:szCs w:val="1"/>
                <w:color w:val="auto"/>
              </w:rPr>
            </w:pPr>
          </w:p>
        </w:tc>
      </w:tr>
      <w:tr>
        <w:trPr>
          <w:trHeight w:val="232"/>
        </w:trPr>
        <w:tc>
          <w:tcPr>
            <w:tcW w:w="48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Performance Goals:</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See Exhibit A</w:t>
            </w:r>
          </w:p>
        </w:tc>
        <w:tc>
          <w:tcPr>
            <w:tcW w:w="0" w:type="dxa"/>
            <w:vAlign w:val="bottom"/>
          </w:tcPr>
          <w:p>
            <w:pPr>
              <w:spacing w:after="0"/>
              <w:rPr>
                <w:sz w:val="1"/>
                <w:szCs w:val="1"/>
                <w:color w:val="auto"/>
              </w:rPr>
            </w:pPr>
          </w:p>
        </w:tc>
      </w:tr>
      <w:tr>
        <w:trPr>
          <w:trHeight w:val="63"/>
        </w:trPr>
        <w:tc>
          <w:tcPr>
            <w:tcW w:w="48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
        <w:spacing w:after="0" w:line="282" w:lineRule="auto"/>
        <w:rPr>
          <w:sz w:val="20"/>
          <w:szCs w:val="20"/>
          <w:color w:val="auto"/>
        </w:rPr>
      </w:pPr>
      <w:r>
        <w:rPr>
          <w:rFonts w:ascii="Times New Roman" w:cs="Times New Roman" w:eastAsia="Times New Roman" w:hAnsi="Times New Roman"/>
          <w:sz w:val="18"/>
          <w:szCs w:val="18"/>
          <w:color w:val="auto"/>
        </w:rPr>
        <w:t>All terms, provisions and conditions applicable to Performance-Based Restricted Stock Unit Awards set forth in the Plan and not set forth in this Agreement are incorporated by reference into this Agreement. Capitalized terms not defined herein shall have the meanings specified in the Plan.</w:t>
      </w:r>
    </w:p>
    <w:p>
      <w:pPr>
        <w:spacing w:after="0" w:line="185" w:lineRule="exact"/>
        <w:rPr>
          <w:sz w:val="20"/>
          <w:szCs w:val="20"/>
          <w:color w:val="auto"/>
        </w:rPr>
      </w:pPr>
    </w:p>
    <w:p>
      <w:pPr>
        <w:ind w:left="650" w:hanging="650"/>
        <w:spacing w:after="0"/>
        <w:tabs>
          <w:tab w:leader="none" w:pos="65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of Performance-Based Restricted Stock Units</w:t>
      </w:r>
    </w:p>
    <w:p>
      <w:pPr>
        <w:spacing w:after="0" w:line="256" w:lineRule="exact"/>
        <w:rPr>
          <w:rFonts w:ascii="Times New Roman" w:cs="Times New Roman" w:eastAsia="Times New Roman" w:hAnsi="Times New Roman"/>
          <w:sz w:val="18"/>
          <w:szCs w:val="18"/>
          <w:b w:val="1"/>
          <w:bCs w:val="1"/>
          <w:color w:val="auto"/>
        </w:rPr>
      </w:pPr>
    </w:p>
    <w:p>
      <w:pPr>
        <w:jc w:val="both"/>
        <w:ind w:left="65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hereby confirms the grant to you, as of the Grant Date and subject to the terms and conditions of this Agreement and the Plan, of the number of Performance-Based Restricted Stock Units identified in the table above (the "Units"). Each Unit represents the right to receive one Share of the Corporation’s Class A Nonvoting Common Stock, $.01 par value. The Units granted to you will be credited to an account in your name maintained by the Corporation. This account shall be unfunded and maintained for bookkeeping purposes only, with the Units simply representing an unfunded and unsecured obligation of the Corporation until they become vested or have been forfeited.</w:t>
      </w:r>
    </w:p>
    <w:p>
      <w:pPr>
        <w:spacing w:after="0" w:line="206" w:lineRule="exact"/>
        <w:rPr>
          <w:rFonts w:ascii="Times New Roman" w:cs="Times New Roman" w:eastAsia="Times New Roman" w:hAnsi="Times New Roman"/>
          <w:sz w:val="18"/>
          <w:szCs w:val="18"/>
          <w:b w:val="1"/>
          <w:bCs w:val="1"/>
          <w:color w:val="auto"/>
        </w:rPr>
      </w:pPr>
    </w:p>
    <w:p>
      <w:pPr>
        <w:ind w:left="690" w:hanging="650"/>
        <w:spacing w:after="0"/>
        <w:tabs>
          <w:tab w:leader="none" w:pos="690"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and Forfeiture of Units</w:t>
      </w:r>
    </w:p>
    <w:p>
      <w:pPr>
        <w:spacing w:after="0" w:line="256" w:lineRule="exact"/>
        <w:rPr>
          <w:rFonts w:ascii="Times New Roman" w:cs="Times New Roman" w:eastAsia="Times New Roman" w:hAnsi="Times New Roman"/>
          <w:sz w:val="18"/>
          <w:szCs w:val="18"/>
          <w:b w:val="1"/>
          <w:bCs w:val="1"/>
          <w:color w:val="auto"/>
        </w:rPr>
      </w:pPr>
    </w:p>
    <w:p>
      <w:pPr>
        <w:ind w:left="69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Units shall vest at the earliest of the following times and to the degree specified. For purposes of this Section 2, use of the terms “employment” and “employed” refers to providing services to the Corporation and its Affiliates in the capacity of an Employee.</w:t>
      </w:r>
    </w:p>
    <w:p>
      <w:pPr>
        <w:spacing w:after="0" w:line="200" w:lineRule="exact"/>
        <w:rPr>
          <w:sz w:val="20"/>
          <w:szCs w:val="20"/>
          <w:color w:val="auto"/>
        </w:rPr>
      </w:pPr>
    </w:p>
    <w:p>
      <w:pPr>
        <w:spacing w:after="0" w:line="29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70"/>
          </w:cols>
          <w:pgMar w:left="490" w:top="887" w:right="339" w:bottom="1440" w:gutter="0" w:footer="0" w:header="0"/>
        </w:sectPr>
      </w:pPr>
    </w:p>
    <w:bookmarkStart w:id="102" w:name="page103"/>
    <w:bookmarkEnd w:id="102"/>
    <w:p>
      <w:pPr>
        <w:jc w:val="both"/>
        <w:ind w:left="1300" w:hanging="643"/>
        <w:spacing w:after="0" w:line="256" w:lineRule="auto"/>
        <w:tabs>
          <w:tab w:leader="none" w:pos="129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Scheduled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Units that have been earned during the Performance Period shall be eligible to vest on the Scheduled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Date, so long as the Employee’s employment has been continuous since the Grant Date. The actual number of earned Units that will vest on the Scheduled Vesting Date will be determined by the Committee as provided in Exhibit A. For these purposes, the “Scheduled Vesting Date” means the date the Committee certifies (i) the degree to which the applicable Performance Goals for the Performance Period have been satisfied, and (ii) the number of Units that have been earned during the Performance Period as provided in Exhibit A, which certification shall occur no later than October 15 of the fiscal year immediately following the fiscal year during which the Performance Period ended.</w:t>
      </w:r>
    </w:p>
    <w:p>
      <w:pPr>
        <w:spacing w:after="0" w:line="209" w:lineRule="exact"/>
        <w:rPr>
          <w:rFonts w:ascii="Times New Roman" w:cs="Times New Roman" w:eastAsia="Times New Roman" w:hAnsi="Times New Roman"/>
          <w:sz w:val="18"/>
          <w:szCs w:val="18"/>
          <w:color w:val="auto"/>
        </w:rPr>
      </w:pPr>
    </w:p>
    <w:p>
      <w:pPr>
        <w:jc w:val="both"/>
        <w:ind w:left="1300" w:hanging="643"/>
        <w:spacing w:after="0" w:line="261" w:lineRule="auto"/>
        <w:tabs>
          <w:tab w:leader="none" w:pos="129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Death, Disability, or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employment is terminated prior to the last day of the Performance Period as a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death, disability (as defined in Section 22(e)(3) of the Code), or retirement (separation not for Cause after age 60 with at least five years of service with the Corporation or a Subsidiary), a pro-rata number of Units shall be determined to have been earned and will vest based on the following calculation:</w:t>
      </w:r>
    </w:p>
    <w:p>
      <w:pPr>
        <w:spacing w:after="0" w:line="208" w:lineRule="exact"/>
        <w:rPr>
          <w:rFonts w:ascii="Times New Roman" w:cs="Times New Roman" w:eastAsia="Times New Roman" w:hAnsi="Times New Roman"/>
          <w:sz w:val="18"/>
          <w:szCs w:val="18"/>
          <w:color w:val="auto"/>
        </w:rPr>
      </w:pPr>
    </w:p>
    <w:p>
      <w:pPr>
        <w:ind w:left="1960" w:hanging="655"/>
        <w:spacing w:after="0" w:line="282" w:lineRule="auto"/>
        <w:tabs>
          <w:tab w:leader="none" w:pos="195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Units, if any, that would have otherwise been earned by the Employee as a result of satisfaction of the Performance Goals for the respective Performance Period; multiplied by</w:t>
      </w:r>
    </w:p>
    <w:p>
      <w:pPr>
        <w:spacing w:after="0" w:line="188" w:lineRule="exact"/>
        <w:rPr>
          <w:rFonts w:ascii="Times New Roman" w:cs="Times New Roman" w:eastAsia="Times New Roman" w:hAnsi="Times New Roman"/>
          <w:sz w:val="18"/>
          <w:szCs w:val="18"/>
          <w:color w:val="auto"/>
        </w:rPr>
      </w:pPr>
    </w:p>
    <w:p>
      <w:pPr>
        <w:ind w:left="1960" w:hanging="655"/>
        <w:spacing w:after="0" w:line="282" w:lineRule="auto"/>
        <w:tabs>
          <w:tab w:leader="none" w:pos="195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full months that the Employee was employed during the Performance Period; and divided by the number of months in the Performance Period.</w:t>
      </w:r>
    </w:p>
    <w:p>
      <w:pPr>
        <w:spacing w:after="0" w:line="18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pro-rata number of vested Units shall be issued and delivered as soon as practicable after the Scheduled Vesting Date. Any Units that do not become vested pursuant to this subsection shall be immediately forfeited.</w:t>
      </w:r>
    </w:p>
    <w:p>
      <w:pPr>
        <w:spacing w:after="0" w:line="187" w:lineRule="exact"/>
        <w:rPr>
          <w:sz w:val="20"/>
          <w:szCs w:val="20"/>
          <w:color w:val="auto"/>
        </w:rPr>
      </w:pPr>
    </w:p>
    <w:p>
      <w:pPr>
        <w:ind w:left="1300" w:right="20" w:hanging="643"/>
        <w:spacing w:after="0" w:line="284" w:lineRule="auto"/>
        <w:tabs>
          <w:tab w:leader="none" w:pos="129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Change in Control, as defined in Exhibit B, occurs while the Employee continues to be employed, then the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vest as of the Date of the Change in Control to the extent provided below:</w:t>
      </w:r>
    </w:p>
    <w:p>
      <w:pPr>
        <w:spacing w:after="0" w:line="187" w:lineRule="exact"/>
        <w:rPr>
          <w:rFonts w:ascii="Times New Roman" w:cs="Times New Roman" w:eastAsia="Times New Roman" w:hAnsi="Times New Roman"/>
          <w:sz w:val="18"/>
          <w:szCs w:val="18"/>
          <w:color w:val="auto"/>
        </w:rPr>
      </w:pPr>
    </w:p>
    <w:p>
      <w:pPr>
        <w:ind w:left="1960" w:hanging="825"/>
        <w:spacing w:after="0" w:line="282" w:lineRule="auto"/>
        <w:tabs>
          <w:tab w:leader="none" w:pos="196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occurs on or after the last day of the Performance Period, the number of Units determined to have been earned as of the end of the Performance Period in accordance with Exhibit A shall vest.</w:t>
      </w:r>
    </w:p>
    <w:p>
      <w:pPr>
        <w:spacing w:after="0" w:line="188" w:lineRule="exact"/>
        <w:rPr>
          <w:rFonts w:ascii="Times New Roman" w:cs="Times New Roman" w:eastAsia="Times New Roman" w:hAnsi="Times New Roman"/>
          <w:sz w:val="18"/>
          <w:szCs w:val="18"/>
          <w:color w:val="auto"/>
        </w:rPr>
      </w:pPr>
    </w:p>
    <w:p>
      <w:pPr>
        <w:ind w:left="1960" w:hanging="875"/>
        <w:spacing w:after="0" w:line="282" w:lineRule="auto"/>
        <w:tabs>
          <w:tab w:leader="none" w:pos="196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prior to the end of the Performance Period, the Units shall become 100% vested at target and the conditions described under Section 2 and Exhibit A shall cease to apply.</w:t>
      </w:r>
    </w:p>
    <w:p>
      <w:pPr>
        <w:spacing w:after="0" w:line="188" w:lineRule="exact"/>
        <w:rPr>
          <w:rFonts w:ascii="Times New Roman" w:cs="Times New Roman" w:eastAsia="Times New Roman" w:hAnsi="Times New Roman"/>
          <w:sz w:val="18"/>
          <w:szCs w:val="18"/>
          <w:color w:val="auto"/>
        </w:rPr>
      </w:pPr>
    </w:p>
    <w:p>
      <w:pPr>
        <w:ind w:left="1960" w:hanging="924"/>
        <w:spacing w:after="0" w:line="282" w:lineRule="auto"/>
        <w:tabs>
          <w:tab w:leader="none" w:pos="196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described in Section 13.05 of the Plan shall cause the Units to become vested unless such event is a Change in Control.</w:t>
      </w:r>
    </w:p>
    <w:p>
      <w:pPr>
        <w:spacing w:after="0" w:line="186" w:lineRule="exact"/>
        <w:rPr>
          <w:rFonts w:ascii="Times New Roman" w:cs="Times New Roman" w:eastAsia="Times New Roman" w:hAnsi="Times New Roman"/>
          <w:sz w:val="18"/>
          <w:szCs w:val="18"/>
          <w:color w:val="auto"/>
        </w:rPr>
      </w:pPr>
    </w:p>
    <w:p>
      <w:pPr>
        <w:ind w:left="1300" w:hanging="643"/>
        <w:spacing w:after="0" w:line="284" w:lineRule="auto"/>
        <w:tabs>
          <w:tab w:leader="none" w:pos="12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Forfeiture of Unvested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employment is terminated prior to the Scheduled Vesting Date under circumstances other than as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Sections 2(a) through (c), all unvested Units shall immediately be forfeited.</w:t>
      </w:r>
    </w:p>
    <w:p>
      <w:pPr>
        <w:spacing w:after="0" w:line="183"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Units</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any Units vest pursuant to Appendix A or Section 2 of this Agreement, the Corporation shall, as soon as practicable (but no later than October 15 of the year following the fiscal year in which such Units vest), cause to be issued and delivered to the Employee, or to the Employee’s designated beneficiary or estate in the event of death, one Share in payment and settlement of each vested Unit. Delivery of the Shares shall be effected by the electronic delivery of the Shares to a designated brokerage account, shall be subject to satisfaction of withholding tax obligations as provided in Section 4 and compliance with all applicable legal requirements as provided in Section 13.03 of the Plan, and shall be in complete satisfaction and settlement of such vested Units. The Corporation will pay any original issue or transfer taxes with respect to the issuance and delivery of the Shares to the Employee, and all fees and expenses incurred by it in connection therewith.</w:t>
      </w:r>
    </w:p>
    <w:p>
      <w:pPr>
        <w:spacing w:after="0" w:line="211"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 Taxes</w:t>
      </w:r>
    </w:p>
    <w:p>
      <w:pPr>
        <w:spacing w:after="0" w:line="25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may require, as a condition to the issuance of shares, that the Employee concurrently pay to the Corporation (either in cash or, at the request of Employee, but subject to such rules and regulations as the</w:t>
      </w:r>
    </w:p>
    <w:p>
      <w:pPr>
        <w:spacing w:after="0" w:line="200" w:lineRule="exact"/>
        <w:rPr>
          <w:sz w:val="20"/>
          <w:szCs w:val="20"/>
          <w:color w:val="auto"/>
        </w:rPr>
      </w:pPr>
    </w:p>
    <w:p>
      <w:pPr>
        <w:spacing w:after="0" w:line="2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400" w:top="889" w:right="339" w:bottom="1440" w:gutter="0" w:footer="0" w:header="0"/>
        </w:sectPr>
      </w:pPr>
    </w:p>
    <w:bookmarkStart w:id="103" w:name="page104"/>
    <w:bookmarkEnd w:id="103"/>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Administrator may adopt from time to time, in Shares of Delivered Stock) the entire amount or a portion of any taxes which the Corporation is required to withhold by reason of the vesting or settlement of the Units, in such amount as the Administrator or the Corporation in its discretion may determine. If and to the extent that withholding of any federal, state or local tax is required in connection with the vesting or settlement of the Units, the Employee may, subject to such rules and regulations as the Corporation may adopt from time to time, elect to have the Corporation hold back from the Shares to be issued upon the vesting or settlement of the Units,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212" w:lineRule="exact"/>
        <w:rPr>
          <w:sz w:val="20"/>
          <w:szCs w:val="20"/>
          <w:color w:val="auto"/>
        </w:rPr>
      </w:pPr>
    </w:p>
    <w:p>
      <w:pPr>
        <w:ind w:left="660" w:hanging="651"/>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Dividends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dividends will be paid or accrued on any Performance-Based Restricted Stock Units prior to the issuance of Shares.</w:t>
      </w:r>
    </w:p>
    <w:p>
      <w:pPr>
        <w:spacing w:after="0" w:line="248"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Shareholder Rights</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Units subject to this Award do not entitle the Employee to any rights of a shareholder of the Corporation’s Class A Nonvoting Common Stock. The Employee will not have any of the rights of a shareholder of the Corporation in connection with the grant of Units subject to this Agreement unless and until Shares are issued to the Employee upon settlement of the Units as provided in Section 3.</w:t>
      </w:r>
    </w:p>
    <w:p>
      <w:pPr>
        <w:spacing w:after="0" w:line="198"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Restrictions</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Performance-Based Restricted Stock Units shall be forfeited.</w:t>
      </w:r>
    </w:p>
    <w:p>
      <w:pPr>
        <w:spacing w:after="0" w:line="198"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Non-Solicitation and Non-Compete</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consideration for the grant of this Award, Employee agrees to, understands and acknowledges the following:</w:t>
      </w:r>
    </w:p>
    <w:p>
      <w:pPr>
        <w:spacing w:after="0" w:line="252" w:lineRule="exact"/>
        <w:rPr>
          <w:rFonts w:ascii="Times New Roman" w:cs="Times New Roman" w:eastAsia="Times New Roman" w:hAnsi="Times New Roman"/>
          <w:sz w:val="18"/>
          <w:szCs w:val="18"/>
          <w:b w:val="1"/>
          <w:bCs w:val="1"/>
          <w:color w:val="auto"/>
        </w:rPr>
      </w:pPr>
    </w:p>
    <w:p>
      <w:pPr>
        <w:jc w:val="both"/>
        <w:ind w:left="1300" w:hanging="643"/>
        <w:spacing w:after="0" w:line="252" w:lineRule="auto"/>
        <w:tabs>
          <w:tab w:leader="none" w:pos="129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for a two (2)-year period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protection as to trade secrets shall not necessarily expire at the end of the two (2)-year period).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the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w:t>
      </w:r>
    </w:p>
    <w:p>
      <w:pPr>
        <w:spacing w:after="0" w:line="200" w:lineRule="exact"/>
        <w:rPr>
          <w:sz w:val="20"/>
          <w:szCs w:val="20"/>
          <w:color w:val="auto"/>
        </w:rPr>
      </w:pPr>
    </w:p>
    <w:p>
      <w:pPr>
        <w:spacing w:after="0" w:line="3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400" w:top="891" w:right="339" w:bottom="1440" w:gutter="0" w:footer="0" w:header="0"/>
        </w:sectPr>
      </w:pPr>
    </w:p>
    <w:bookmarkStart w:id="104" w:name="page105"/>
    <w:bookmarkEnd w:id="104"/>
    <w:p>
      <w:pPr>
        <w:ind w:left="643"/>
        <w:spacing w:after="0"/>
        <w:rPr>
          <w:sz w:val="20"/>
          <w:szCs w:val="20"/>
          <w:color w:val="auto"/>
        </w:rPr>
      </w:pPr>
      <w:r>
        <w:rPr>
          <w:rFonts w:ascii="Times New Roman" w:cs="Times New Roman" w:eastAsia="Times New Roman" w:hAnsi="Times New Roman"/>
          <w:sz w:val="18"/>
          <w:szCs w:val="18"/>
          <w:color w:val="auto"/>
        </w:rPr>
        <w:t>Company, including without limitation,</w:t>
      </w:r>
    </w:p>
    <w:p>
      <w:pPr>
        <w:spacing w:after="0" w:line="252" w:lineRule="exact"/>
        <w:rPr>
          <w:sz w:val="20"/>
          <w:szCs w:val="20"/>
          <w:color w:val="auto"/>
        </w:rPr>
      </w:pPr>
    </w:p>
    <w:p>
      <w:pPr>
        <w:jc w:val="both"/>
        <w:ind w:left="1303" w:hanging="825"/>
        <w:spacing w:after="0" w:line="266" w:lineRule="auto"/>
        <w:tabs>
          <w:tab w:leader="none" w:pos="130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02" w:lineRule="exact"/>
        <w:rPr>
          <w:rFonts w:ascii="Times New Roman" w:cs="Times New Roman" w:eastAsia="Times New Roman" w:hAnsi="Times New Roman"/>
          <w:sz w:val="18"/>
          <w:szCs w:val="18"/>
          <w:color w:val="auto"/>
        </w:rPr>
      </w:pPr>
    </w:p>
    <w:p>
      <w:pPr>
        <w:ind w:left="1303" w:hanging="875"/>
        <w:spacing w:after="0" w:line="282" w:lineRule="auto"/>
        <w:tabs>
          <w:tab w:leader="none" w:pos="130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inventions, designs, methods, discoveries, works of authorship, creations, improvements or ideas developed or otherwise produced, acquired or used by the Company;</w:t>
      </w:r>
    </w:p>
    <w:p>
      <w:pPr>
        <w:spacing w:after="0" w:line="188" w:lineRule="exact"/>
        <w:rPr>
          <w:rFonts w:ascii="Times New Roman" w:cs="Times New Roman" w:eastAsia="Times New Roman" w:hAnsi="Times New Roman"/>
          <w:sz w:val="18"/>
          <w:szCs w:val="18"/>
          <w:color w:val="auto"/>
        </w:rPr>
      </w:pPr>
    </w:p>
    <w:p>
      <w:pPr>
        <w:jc w:val="both"/>
        <w:ind w:left="1303" w:hanging="924"/>
        <w:spacing w:after="0" w:line="261" w:lineRule="auto"/>
        <w:tabs>
          <w:tab w:leader="none" w:pos="130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06" w:lineRule="exact"/>
        <w:rPr>
          <w:rFonts w:ascii="Times New Roman" w:cs="Times New Roman" w:eastAsia="Times New Roman" w:hAnsi="Times New Roman"/>
          <w:sz w:val="18"/>
          <w:szCs w:val="18"/>
          <w:color w:val="auto"/>
        </w:rPr>
      </w:pPr>
    </w:p>
    <w:p>
      <w:pPr>
        <w:jc w:val="both"/>
        <w:ind w:left="1303" w:hanging="915"/>
        <w:spacing w:after="0" w:line="266" w:lineRule="auto"/>
        <w:tabs>
          <w:tab w:leader="none" w:pos="130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02" w:lineRule="exact"/>
        <w:rPr>
          <w:rFonts w:ascii="Times New Roman" w:cs="Times New Roman" w:eastAsia="Times New Roman" w:hAnsi="Times New Roman"/>
          <w:sz w:val="18"/>
          <w:szCs w:val="18"/>
          <w:color w:val="auto"/>
        </w:rPr>
      </w:pPr>
    </w:p>
    <w:p>
      <w:pPr>
        <w:jc w:val="both"/>
        <w:ind w:left="1303" w:right="20" w:hanging="865"/>
        <w:spacing w:after="0" w:line="266" w:lineRule="auto"/>
        <w:tabs>
          <w:tab w:leader="none" w:pos="130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02" w:lineRule="exact"/>
        <w:rPr>
          <w:rFonts w:ascii="Times New Roman" w:cs="Times New Roman" w:eastAsia="Times New Roman" w:hAnsi="Times New Roman"/>
          <w:sz w:val="18"/>
          <w:szCs w:val="18"/>
          <w:color w:val="auto"/>
        </w:rPr>
      </w:pPr>
    </w:p>
    <w:p>
      <w:pPr>
        <w:jc w:val="both"/>
        <w:ind w:left="1303" w:hanging="915"/>
        <w:spacing w:after="0" w:line="261" w:lineRule="auto"/>
        <w:tabs>
          <w:tab w:leader="none" w:pos="130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does not include information which: (i) is already available to the public without wrongful act or breach by Employee; (ii) becomes available to the public through no fault of Employee; or (iii) is required to be disclosed pursuant to a court order or order of government authority, provided that Employee promptly notifies Company of such request so Company may seek a protective order.</w:t>
      </w:r>
    </w:p>
    <w:p>
      <w:pPr>
        <w:spacing w:after="0" w:line="204" w:lineRule="exact"/>
        <w:rPr>
          <w:rFonts w:ascii="Times New Roman" w:cs="Times New Roman" w:eastAsia="Times New Roman" w:hAnsi="Times New Roman"/>
          <w:sz w:val="18"/>
          <w:szCs w:val="18"/>
          <w:color w:val="auto"/>
        </w:rPr>
      </w:pPr>
    </w:p>
    <w:p>
      <w:pPr>
        <w:jc w:val="both"/>
        <w:ind w:left="643" w:hanging="643"/>
        <w:spacing w:after="0" w:line="258" w:lineRule="auto"/>
        <w:tabs>
          <w:tab w:leader="none" w:pos="63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Post-Employment Customer Non-Solicitation Agreement</w:t>
      </w:r>
      <w:r>
        <w:rPr>
          <w:rFonts w:ascii="Times New Roman" w:cs="Times New Roman" w:eastAsia="Times New Roman" w:hAnsi="Times New Roman"/>
          <w:sz w:val="18"/>
          <w:szCs w:val="18"/>
          <w:color w:val="auto"/>
        </w:rPr>
        <w:t>. For one (1) year following Employee’s separation from Company,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not </w:t>
      </w:r>
      <w:r>
        <w:rPr>
          <w:rFonts w:ascii="Times New Roman" w:cs="Times New Roman" w:eastAsia="Times New Roman" w:hAnsi="Times New Roman"/>
          <w:sz w:val="18"/>
          <w:szCs w:val="18"/>
          <w:color w:val="252525"/>
        </w:rPr>
        <w:t>contact—or support others in contacting—customers of Company with whom Employee had business contact during the last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two (2) years of Employee’s employment with Company, for the purpose of selling or providing products or services competitive with those offered by Company (“</w:t>
      </w:r>
      <w:r>
        <w:rPr>
          <w:rFonts w:ascii="Times New Roman" w:cs="Times New Roman" w:eastAsia="Times New Roman" w:hAnsi="Times New Roman"/>
          <w:sz w:val="18"/>
          <w:szCs w:val="18"/>
          <w:color w:val="000000"/>
        </w:rPr>
        <w:t>Competitive Products”). “Competitive Products” shall mean products and services competitive with those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products and services for which Employee was responsible during the last two (2) years of Employee’s employment with Company.</w:t>
      </w:r>
    </w:p>
    <w:p>
      <w:pPr>
        <w:spacing w:after="0" w:line="210" w:lineRule="exact"/>
        <w:rPr>
          <w:rFonts w:ascii="Times New Roman" w:cs="Times New Roman" w:eastAsia="Times New Roman" w:hAnsi="Times New Roman"/>
          <w:sz w:val="18"/>
          <w:szCs w:val="18"/>
          <w:color w:val="auto"/>
        </w:rPr>
      </w:pPr>
    </w:p>
    <w:p>
      <w:pPr>
        <w:jc w:val="both"/>
        <w:ind w:left="643" w:hanging="643"/>
        <w:spacing w:after="0" w:line="257" w:lineRule="auto"/>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Post-Employment Non-Solicitation Agreement Based Upon Customer Knowledge</w:t>
      </w:r>
      <w:r>
        <w:rPr>
          <w:rFonts w:ascii="Times New Roman" w:cs="Times New Roman" w:eastAsia="Times New Roman" w:hAnsi="Times New Roman"/>
          <w:sz w:val="18"/>
          <w:szCs w:val="18"/>
          <w:color w:val="auto"/>
        </w:rPr>
        <w:t>. For one (1) year following Employee’s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Company, Employee will not </w:t>
      </w:r>
      <w:r>
        <w:rPr>
          <w:rFonts w:ascii="Times New Roman" w:cs="Times New Roman" w:eastAsia="Times New Roman" w:hAnsi="Times New Roman"/>
          <w:sz w:val="18"/>
          <w:szCs w:val="18"/>
          <w:color w:val="252525"/>
        </w:rPr>
        <w:t>contact—or support others in contacting—customers of Company about whom Employee possesses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Confidential Information or for whom Employee supervised others in serving during the last two (2) years of Employee’s employment with Company, for the purpose of selling or providing </w:t>
      </w:r>
      <w:r>
        <w:rPr>
          <w:rFonts w:ascii="Times New Roman" w:cs="Times New Roman" w:eastAsia="Times New Roman" w:hAnsi="Times New Roman"/>
          <w:sz w:val="18"/>
          <w:szCs w:val="18"/>
          <w:color w:val="000000"/>
        </w:rPr>
        <w:t>products or services competitive with those offered by Company (“Competitive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Products”). “Competitive Products” shall mean products and services competitive with those products and services for which Employee was responsible during the last two (2) years of Employee’s employment with Company.</w:t>
      </w:r>
    </w:p>
    <w:p>
      <w:pPr>
        <w:spacing w:after="0" w:line="209" w:lineRule="exact"/>
        <w:rPr>
          <w:rFonts w:ascii="Times New Roman" w:cs="Times New Roman" w:eastAsia="Times New Roman" w:hAnsi="Times New Roman"/>
          <w:sz w:val="18"/>
          <w:szCs w:val="18"/>
          <w:color w:val="auto"/>
        </w:rPr>
      </w:pPr>
    </w:p>
    <w:p>
      <w:pPr>
        <w:jc w:val="both"/>
        <w:ind w:left="643" w:hanging="643"/>
        <w:spacing w:after="0" w:line="261" w:lineRule="auto"/>
        <w:tabs>
          <w:tab w:leader="none" w:pos="63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252525"/>
        </w:rPr>
        <w:t>Post-Employment Non-Compete Agreement</w:t>
      </w:r>
      <w:r>
        <w:rPr>
          <w:rFonts w:ascii="Times New Roman" w:cs="Times New Roman" w:eastAsia="Times New Roman" w:hAnsi="Times New Roman"/>
          <w:sz w:val="18"/>
          <w:szCs w:val="18"/>
          <w:color w:val="252525"/>
        </w:rPr>
        <w:t>. For one (1) year following Employee’s separation from Company, Employee will not,</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directly or indirectly, within the United States, provide services similar to any of those Employee provided to Company during the last two (2) years of Employee’s employment with Company to a competitor of Company or a person or entity preparing to compete with Company.</w:t>
      </w:r>
    </w:p>
    <w:p>
      <w:pPr>
        <w:spacing w:after="0" w:line="206" w:lineRule="exact"/>
        <w:rPr>
          <w:rFonts w:ascii="Times New Roman" w:cs="Times New Roman" w:eastAsia="Times New Roman" w:hAnsi="Times New Roman"/>
          <w:sz w:val="18"/>
          <w:szCs w:val="18"/>
          <w:color w:val="auto"/>
        </w:rPr>
      </w:pPr>
    </w:p>
    <w:p>
      <w:pPr>
        <w:jc w:val="both"/>
        <w:ind w:left="643" w:hanging="643"/>
        <w:spacing w:after="0" w:line="261" w:lineRule="auto"/>
        <w:tabs>
          <w:tab w:leader="none" w:pos="640" w:val="left"/>
        </w:tabs>
        <w:numPr>
          <w:ilvl w:val="0"/>
          <w:numId w:val="8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252525"/>
        </w:rPr>
        <w:t>Post-Employment Restriction on Working With Competitive Products</w:t>
      </w:r>
      <w:r>
        <w:rPr>
          <w:rFonts w:ascii="Times New Roman" w:cs="Times New Roman" w:eastAsia="Times New Roman" w:hAnsi="Times New Roman"/>
          <w:sz w:val="18"/>
          <w:szCs w:val="18"/>
          <w:color w:val="252525"/>
        </w:rPr>
        <w:t>. For one (1) year following Employee’s separation from Company,</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06" w:lineRule="exact"/>
        <w:rPr>
          <w:rFonts w:ascii="Times New Roman" w:cs="Times New Roman" w:eastAsia="Times New Roman" w:hAnsi="Times New Roman"/>
          <w:sz w:val="18"/>
          <w:szCs w:val="18"/>
          <w:color w:val="252525"/>
        </w:rPr>
      </w:pPr>
    </w:p>
    <w:p>
      <w:pPr>
        <w:ind w:left="643" w:hanging="643"/>
        <w:spacing w:after="0"/>
        <w:tabs>
          <w:tab w:leader="none" w:pos="643" w:val="left"/>
        </w:tabs>
        <w:numPr>
          <w:ilvl w:val="0"/>
          <w:numId w:val="8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252525"/>
        </w:rPr>
        <w:t>Post-Employment Restriction on Advising Investors</w:t>
      </w:r>
      <w:r>
        <w:rPr>
          <w:rFonts w:ascii="Times New Roman" w:cs="Times New Roman" w:eastAsia="Times New Roman" w:hAnsi="Times New Roman"/>
          <w:sz w:val="18"/>
          <w:szCs w:val="18"/>
          <w:color w:val="252525"/>
        </w:rPr>
        <w:t>. For one (1) year following Employee’s separation</w:t>
      </w:r>
    </w:p>
    <w:p>
      <w:pPr>
        <w:spacing w:after="0" w:line="200" w:lineRule="exact"/>
        <w:rPr>
          <w:sz w:val="20"/>
          <w:szCs w:val="20"/>
          <w:color w:val="auto"/>
        </w:rPr>
      </w:pPr>
    </w:p>
    <w:p>
      <w:pPr>
        <w:spacing w:after="0" w:line="365" w:lineRule="exact"/>
        <w:rPr>
          <w:sz w:val="20"/>
          <w:szCs w:val="20"/>
          <w:color w:val="auto"/>
        </w:rPr>
      </w:pPr>
    </w:p>
    <w:p>
      <w:pPr>
        <w:ind w:left="48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03"/>
          </w:cols>
          <w:pgMar w:left="1057" w:top="891" w:right="339" w:bottom="1440" w:gutter="0" w:footer="0" w:header="0"/>
        </w:sectPr>
      </w:pPr>
    </w:p>
    <w:bookmarkStart w:id="105" w:name="page106"/>
    <w:bookmarkEnd w:id="105"/>
    <w:p>
      <w:pPr>
        <w:ind w:left="1300" w:right="20"/>
        <w:spacing w:after="0" w:line="282" w:lineRule="auto"/>
        <w:rPr>
          <w:sz w:val="20"/>
          <w:szCs w:val="20"/>
          <w:color w:val="auto"/>
        </w:rPr>
      </w:pPr>
      <w:r>
        <w:rPr>
          <w:rFonts w:ascii="Times New Roman" w:cs="Times New Roman" w:eastAsia="Times New Roman" w:hAnsi="Times New Roman"/>
          <w:sz w:val="18"/>
          <w:szCs w:val="18"/>
          <w:color w:val="252525"/>
        </w:rPr>
        <w:t>from Company, Employee will not, directly or indirectly, advise a private equity firm or other investor regarding buying, investing in, or divesting from Company or any of its competitors.</w:t>
      </w:r>
    </w:p>
    <w:p>
      <w:pPr>
        <w:spacing w:after="0" w:line="187" w:lineRule="exact"/>
        <w:rPr>
          <w:sz w:val="20"/>
          <w:szCs w:val="20"/>
          <w:color w:val="auto"/>
        </w:rPr>
      </w:pPr>
    </w:p>
    <w:p>
      <w:pPr>
        <w:jc w:val="both"/>
        <w:ind w:left="1300" w:hanging="643"/>
        <w:spacing w:after="0" w:line="267" w:lineRule="auto"/>
        <w:tabs>
          <w:tab w:leader="none" w:pos="1294" w:val="left"/>
        </w:tabs>
        <w:numPr>
          <w:ilvl w:val="1"/>
          <w:numId w:val="8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252525"/>
        </w:rPr>
        <w:t>Post-Employment Restriction on Soliciting Employees</w:t>
      </w:r>
      <w:r>
        <w:rPr>
          <w:rFonts w:ascii="Times New Roman" w:cs="Times New Roman" w:eastAsia="Times New Roman" w:hAnsi="Times New Roman"/>
          <w:sz w:val="18"/>
          <w:szCs w:val="18"/>
          <w:color w:val="252525"/>
        </w:rPr>
        <w:t>. For one (1) year following Employee’s separation from Company, Employee will</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not solicit or encourage other employees of Company to provide services to a competitor of Company or to otherwise terminate their relationship with Company.</w:t>
      </w:r>
    </w:p>
    <w:p>
      <w:pPr>
        <w:spacing w:after="0" w:line="200" w:lineRule="exact"/>
        <w:rPr>
          <w:rFonts w:ascii="Times New Roman" w:cs="Times New Roman" w:eastAsia="Times New Roman" w:hAnsi="Times New Roman"/>
          <w:sz w:val="18"/>
          <w:szCs w:val="18"/>
          <w:color w:val="252525"/>
        </w:rPr>
      </w:pPr>
    </w:p>
    <w:p>
      <w:pPr>
        <w:jc w:val="both"/>
        <w:ind w:left="1300" w:hanging="643"/>
        <w:spacing w:after="0" w:line="258" w:lineRule="auto"/>
        <w:tabs>
          <w:tab w:leader="none" w:pos="1294" w:val="left"/>
        </w:tabs>
        <w:numPr>
          <w:ilvl w:val="1"/>
          <w:numId w:val="8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252525"/>
        </w:rPr>
        <w:t>Duty of Loyalty and Related Obligations</w:t>
      </w:r>
      <w:r>
        <w:rPr>
          <w:rFonts w:ascii="Times New Roman" w:cs="Times New Roman" w:eastAsia="Times New Roman" w:hAnsi="Times New Roman"/>
          <w:sz w:val="18"/>
          <w:szCs w:val="18"/>
          <w:color w:val="252525"/>
        </w:rPr>
        <w:t>. Employee acknowledges and agrees that Employee owes Company a duty of loyalty while</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10" w:lineRule="exact"/>
        <w:rPr>
          <w:rFonts w:ascii="Times New Roman" w:cs="Times New Roman" w:eastAsia="Times New Roman" w:hAnsi="Times New Roman"/>
          <w:sz w:val="18"/>
          <w:szCs w:val="18"/>
          <w:color w:val="252525"/>
        </w:rPr>
      </w:pPr>
    </w:p>
    <w:p>
      <w:pPr>
        <w:jc w:val="both"/>
        <w:ind w:left="1300" w:hanging="643"/>
        <w:spacing w:after="0" w:line="267" w:lineRule="auto"/>
        <w:tabs>
          <w:tab w:leader="none" w:pos="1294" w:val="left"/>
        </w:tabs>
        <w:numPr>
          <w:ilvl w:val="1"/>
          <w:numId w:val="8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252525"/>
        </w:rPr>
        <w:t>Non-Disparagement and Social Media</w:t>
      </w:r>
      <w:r>
        <w:rPr>
          <w:rFonts w:ascii="Times New Roman" w:cs="Times New Roman" w:eastAsia="Times New Roman" w:hAnsi="Times New Roman"/>
          <w:sz w:val="18"/>
          <w:szCs w:val="18"/>
          <w:color w:val="252525"/>
        </w:rPr>
        <w:t>. Employee agrees not to disparage Company or any of its officers, directors, or employees on</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social media, on any public platform, or to persons external to Company when such comments have the potential to harm Company (</w:t>
      </w:r>
      <w:r>
        <w:rPr>
          <w:rFonts w:ascii="Times New Roman" w:cs="Times New Roman" w:eastAsia="Times New Roman" w:hAnsi="Times New Roman"/>
          <w:sz w:val="18"/>
          <w:szCs w:val="18"/>
          <w:i w:val="1"/>
          <w:iCs w:val="1"/>
          <w:color w:val="252525"/>
        </w:rPr>
        <w:t>i.e.</w:t>
      </w:r>
      <w:r>
        <w:rPr>
          <w:rFonts w:ascii="Times New Roman" w:cs="Times New Roman" w:eastAsia="Times New Roman" w:hAnsi="Times New Roman"/>
          <w:sz w:val="18"/>
          <w:szCs w:val="18"/>
          <w:color w:val="252525"/>
        </w:rPr>
        <w:t>, making disparaging comments about Company to distributors, customers, suppliers, etc.).</w:t>
      </w:r>
    </w:p>
    <w:p>
      <w:pPr>
        <w:spacing w:after="0" w:line="200" w:lineRule="exact"/>
        <w:rPr>
          <w:rFonts w:ascii="Times New Roman" w:cs="Times New Roman" w:eastAsia="Times New Roman" w:hAnsi="Times New Roman"/>
          <w:sz w:val="18"/>
          <w:szCs w:val="18"/>
          <w:color w:val="252525"/>
        </w:rPr>
      </w:pPr>
    </w:p>
    <w:p>
      <w:pPr>
        <w:jc w:val="both"/>
        <w:ind w:left="1300" w:hanging="643"/>
        <w:spacing w:after="0" w:line="267" w:lineRule="auto"/>
        <w:tabs>
          <w:tab w:leader="none" w:pos="1294" w:val="left"/>
        </w:tabs>
        <w:numPr>
          <w:ilvl w:val="1"/>
          <w:numId w:val="8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i w:val="1"/>
          <w:iCs w:val="1"/>
          <w:u w:val="single" w:color="auto"/>
          <w:color w:val="auto"/>
        </w:rPr>
        <w:t>Other Business Relationships</w:t>
      </w:r>
      <w:r>
        <w:rPr>
          <w:rFonts w:ascii="Times New Roman" w:cs="Times New Roman" w:eastAsia="Times New Roman" w:hAnsi="Times New Roman"/>
          <w:sz w:val="18"/>
          <w:szCs w:val="18"/>
          <w:color w:val="auto"/>
        </w:rPr>
        <w:t>. Employee agrees, for a one (1)-year period following Employee’s separation from Company, not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encourage or advise any vendors, suppliers, or others possessing a business relationship with Company to terminate that relationship or to otherwise modify that relationship to Company’s detriment.</w:t>
      </w:r>
    </w:p>
    <w:p>
      <w:pPr>
        <w:spacing w:after="0" w:line="202" w:lineRule="exact"/>
        <w:rPr>
          <w:rFonts w:ascii="Times New Roman" w:cs="Times New Roman" w:eastAsia="Times New Roman" w:hAnsi="Times New Roman"/>
          <w:sz w:val="18"/>
          <w:szCs w:val="18"/>
          <w:color w:val="252525"/>
        </w:rPr>
      </w:pPr>
    </w:p>
    <w:p>
      <w:pPr>
        <w:jc w:val="both"/>
        <w:ind w:left="1300" w:hanging="643"/>
        <w:spacing w:after="0" w:line="254" w:lineRule="auto"/>
        <w:tabs>
          <w:tab w:leader="none" w:pos="129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compliance with this Section 8 is necessary to protect the Company, and that a breach of any of this Section 8 will result in irreparable and continuing damage to the Company for which there will be no adequate remedy at law. In the event of a breach of this Section 8,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8, or to enjoin Employee from performing services in breach of Section 8(b)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218" w:lineRule="exact"/>
        <w:rPr>
          <w:rFonts w:ascii="Times New Roman" w:cs="Times New Roman" w:eastAsia="Times New Roman" w:hAnsi="Times New Roman"/>
          <w:sz w:val="18"/>
          <w:szCs w:val="18"/>
          <w:color w:val="auto"/>
        </w:rPr>
      </w:pPr>
    </w:p>
    <w:p>
      <w:pPr>
        <w:jc w:val="both"/>
        <w:ind w:left="1300" w:hanging="643"/>
        <w:spacing w:after="0" w:line="266" w:lineRule="auto"/>
        <w:tabs>
          <w:tab w:leader="none" w:pos="129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further agrees that, in the event of a breach of this Section 8, the Corporation may elect to recover all or any part of the value of any amounts previously paid or payable or any Shares (or the value of any Shares) delivered or deliverable to Employee pursuant to any Company bonus program, this Agreement, and any other Company plan or arrangement.</w:t>
      </w:r>
    </w:p>
    <w:p>
      <w:pPr>
        <w:spacing w:after="0" w:line="202"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the terms of this Section 8 shall survive the termination of Employee's employment with the Company.</w:t>
      </w:r>
    </w:p>
    <w:p>
      <w:pPr>
        <w:spacing w:after="0" w:line="252" w:lineRule="exact"/>
        <w:rPr>
          <w:rFonts w:ascii="Times New Roman" w:cs="Times New Roman" w:eastAsia="Times New Roman" w:hAnsi="Times New Roman"/>
          <w:sz w:val="18"/>
          <w:szCs w:val="18"/>
          <w:color w:val="auto"/>
        </w:rPr>
      </w:pPr>
    </w:p>
    <w:p>
      <w:pPr>
        <w:jc w:val="both"/>
        <w:ind w:left="1300" w:hanging="643"/>
        <w:spacing w:after="0" w:line="261" w:lineRule="auto"/>
        <w:tabs>
          <w:tab w:leader="none" w:pos="129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READ THIS SECTION 8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02"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Clawback</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202" w:lineRule="exact"/>
        <w:rPr>
          <w:rFonts w:ascii="Times New Roman" w:cs="Times New Roman" w:eastAsia="Times New Roman" w:hAnsi="Times New Roman"/>
          <w:sz w:val="18"/>
          <w:szCs w:val="18"/>
          <w:b w:val="1"/>
          <w:bCs w:val="1"/>
          <w:color w:val="auto"/>
        </w:rPr>
      </w:pPr>
    </w:p>
    <w:p>
      <w:pPr>
        <w:ind w:left="660" w:hanging="651"/>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Binding Effect</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will be binding in all respects on heirs, representatives, successors and assigns of the Employee, and</w:t>
      </w: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400" w:top="891" w:right="339" w:bottom="1440" w:gutter="0" w:footer="0" w:header="0"/>
        </w:sectPr>
      </w:pPr>
    </w:p>
    <w:bookmarkStart w:id="106" w:name="page107"/>
    <w:bookmarkEnd w:id="106"/>
    <w:p>
      <w:pPr>
        <w:ind w:left="651"/>
        <w:spacing w:after="0"/>
        <w:rPr>
          <w:sz w:val="20"/>
          <w:szCs w:val="20"/>
          <w:color w:val="auto"/>
        </w:rPr>
      </w:pPr>
      <w:r>
        <w:rPr>
          <w:rFonts w:ascii="Times New Roman" w:cs="Times New Roman" w:eastAsia="Times New Roman" w:hAnsi="Times New Roman"/>
          <w:sz w:val="18"/>
          <w:szCs w:val="18"/>
          <w:color w:val="auto"/>
        </w:rPr>
        <w:t>on the successors and assigns of the Corporation.</w:t>
      </w:r>
    </w:p>
    <w:p>
      <w:pPr>
        <w:spacing w:after="0" w:line="248" w:lineRule="exact"/>
        <w:rPr>
          <w:sz w:val="20"/>
          <w:szCs w:val="20"/>
          <w:color w:val="auto"/>
        </w:rPr>
      </w:pPr>
    </w:p>
    <w:p>
      <w:pPr>
        <w:ind w:left="631" w:hanging="631"/>
        <w:spacing w:after="0"/>
        <w:tabs>
          <w:tab w:leader="none" w:pos="631"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Provisions of Plan Controlling</w:t>
      </w:r>
    </w:p>
    <w:p>
      <w:pPr>
        <w:spacing w:after="0" w:line="256" w:lineRule="exact"/>
        <w:rPr>
          <w:rFonts w:ascii="Times New Roman" w:cs="Times New Roman" w:eastAsia="Times New Roman" w:hAnsi="Times New Roman"/>
          <w:sz w:val="18"/>
          <w:szCs w:val="18"/>
          <w:b w:val="1"/>
          <w:bCs w:val="1"/>
          <w:color w:val="auto"/>
        </w:rPr>
      </w:pPr>
    </w:p>
    <w:p>
      <w:pPr>
        <w:jc w:val="both"/>
        <w:ind w:left="651"/>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202" w:lineRule="exact"/>
        <w:rPr>
          <w:rFonts w:ascii="Times New Roman" w:cs="Times New Roman" w:eastAsia="Times New Roman" w:hAnsi="Times New Roman"/>
          <w:sz w:val="18"/>
          <w:szCs w:val="18"/>
          <w:b w:val="1"/>
          <w:bCs w:val="1"/>
          <w:color w:val="auto"/>
        </w:rPr>
      </w:pPr>
    </w:p>
    <w:p>
      <w:pPr>
        <w:ind w:left="651" w:hanging="651"/>
        <w:spacing w:after="0"/>
        <w:tabs>
          <w:tab w:leader="none" w:pos="651"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Wisconsin Contract</w:t>
      </w:r>
    </w:p>
    <w:p>
      <w:pPr>
        <w:spacing w:after="0" w:line="256" w:lineRule="exact"/>
        <w:rPr>
          <w:rFonts w:ascii="Times New Roman" w:cs="Times New Roman" w:eastAsia="Times New Roman" w:hAnsi="Times New Roman"/>
          <w:sz w:val="18"/>
          <w:szCs w:val="18"/>
          <w:b w:val="1"/>
          <w:bCs w:val="1"/>
          <w:color w:val="auto"/>
        </w:rPr>
      </w:pPr>
    </w:p>
    <w:p>
      <w:pPr>
        <w:ind w:left="651"/>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Award has been granted in Wisconsin and shall be construed under the laws of that state without reference to conflict of laws priciples thereof.</w:t>
      </w:r>
    </w:p>
    <w:p>
      <w:pPr>
        <w:spacing w:after="0" w:line="188" w:lineRule="exact"/>
        <w:rPr>
          <w:rFonts w:ascii="Times New Roman" w:cs="Times New Roman" w:eastAsia="Times New Roman" w:hAnsi="Times New Roman"/>
          <w:sz w:val="18"/>
          <w:szCs w:val="18"/>
          <w:b w:val="1"/>
          <w:bCs w:val="1"/>
          <w:color w:val="auto"/>
        </w:rPr>
      </w:pPr>
    </w:p>
    <w:p>
      <w:pPr>
        <w:jc w:val="both"/>
        <w:ind w:left="651"/>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legal action or proceeding with respect to this Award or for recognition and enforcement of any judgment in respect of this Award may only be brought and determined in (i) a court sitting in the State of Wisconsin, and (ii) a “bench” trial, and any party to such action or proceeding shall agree to waive its right to a jury trial.</w:t>
      </w:r>
    </w:p>
    <w:p>
      <w:pPr>
        <w:spacing w:after="0" w:line="198" w:lineRule="exact"/>
        <w:rPr>
          <w:rFonts w:ascii="Times New Roman" w:cs="Times New Roman" w:eastAsia="Times New Roman" w:hAnsi="Times New Roman"/>
          <w:sz w:val="18"/>
          <w:szCs w:val="18"/>
          <w:b w:val="1"/>
          <w:bCs w:val="1"/>
          <w:color w:val="auto"/>
        </w:rPr>
      </w:pPr>
    </w:p>
    <w:p>
      <w:pPr>
        <w:ind w:left="651" w:hanging="651"/>
        <w:spacing w:after="0"/>
        <w:tabs>
          <w:tab w:leader="none" w:pos="651"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p>
    <w:p>
      <w:pPr>
        <w:spacing w:after="0" w:line="256" w:lineRule="exact"/>
        <w:rPr>
          <w:rFonts w:ascii="Times New Roman" w:cs="Times New Roman" w:eastAsia="Times New Roman" w:hAnsi="Times New Roman"/>
          <w:sz w:val="18"/>
          <w:szCs w:val="18"/>
          <w:b w:val="1"/>
          <w:bCs w:val="1"/>
          <w:color w:val="auto"/>
        </w:rPr>
      </w:pPr>
    </w:p>
    <w:p>
      <w:pPr>
        <w:jc w:val="both"/>
        <w:ind w:left="651"/>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Times New Roman" w:cs="Times New Roman" w:eastAsia="Times New Roman" w:hAnsi="Times New Roman"/>
          <w:sz w:val="18"/>
          <w:szCs w:val="18"/>
          <w:color w:val="252525"/>
        </w:rPr>
        <w:t>A court of competent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jurisdiction is expressly authorized to modify overbroad provisions so as to make them enforceable to the maximum extent permitted by law and is further authorized to strike whole provisions that cannot be so modified.</w:t>
      </w:r>
    </w:p>
    <w:p>
      <w:pPr>
        <w:spacing w:after="0" w:line="206" w:lineRule="exact"/>
        <w:rPr>
          <w:rFonts w:ascii="Times New Roman" w:cs="Times New Roman" w:eastAsia="Times New Roman" w:hAnsi="Times New Roman"/>
          <w:sz w:val="18"/>
          <w:szCs w:val="18"/>
          <w:b w:val="1"/>
          <w:bCs w:val="1"/>
          <w:color w:val="auto"/>
        </w:rPr>
      </w:pPr>
    </w:p>
    <w:p>
      <w:pPr>
        <w:ind w:left="651" w:hanging="651"/>
        <w:spacing w:after="0"/>
        <w:tabs>
          <w:tab w:leader="none" w:pos="651"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Contract</w:t>
      </w:r>
    </w:p>
    <w:p>
      <w:pPr>
        <w:spacing w:after="0" w:line="256" w:lineRule="exact"/>
        <w:rPr>
          <w:rFonts w:ascii="Times New Roman" w:cs="Times New Roman" w:eastAsia="Times New Roman" w:hAnsi="Times New Roman"/>
          <w:sz w:val="18"/>
          <w:szCs w:val="18"/>
          <w:b w:val="1"/>
          <w:bCs w:val="1"/>
          <w:color w:val="auto"/>
        </w:rPr>
      </w:pPr>
    </w:p>
    <w:p>
      <w:pPr>
        <w:ind w:left="651"/>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184" w:lineRule="exact"/>
        <w:rPr>
          <w:rFonts w:ascii="Times New Roman" w:cs="Times New Roman" w:eastAsia="Times New Roman" w:hAnsi="Times New Roman"/>
          <w:sz w:val="18"/>
          <w:szCs w:val="18"/>
          <w:b w:val="1"/>
          <w:bCs w:val="1"/>
          <w:color w:val="auto"/>
        </w:rPr>
      </w:pPr>
    </w:p>
    <w:p>
      <w:pPr>
        <w:ind w:left="651" w:hanging="651"/>
        <w:spacing w:after="0"/>
        <w:tabs>
          <w:tab w:leader="none" w:pos="651"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 of Immunity</w:t>
      </w:r>
    </w:p>
    <w:p>
      <w:pPr>
        <w:spacing w:after="0" w:line="256" w:lineRule="exact"/>
        <w:rPr>
          <w:rFonts w:ascii="Times New Roman" w:cs="Times New Roman" w:eastAsia="Times New Roman" w:hAnsi="Times New Roman"/>
          <w:sz w:val="18"/>
          <w:szCs w:val="18"/>
          <w:b w:val="1"/>
          <w:bCs w:val="1"/>
          <w:color w:val="auto"/>
        </w:rPr>
      </w:pPr>
    </w:p>
    <w:p>
      <w:pPr>
        <w:ind w:left="651"/>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Defend Trade Secrets Act, Employee is hereby advised that:</w:t>
      </w:r>
    </w:p>
    <w:p>
      <w:pPr>
        <w:spacing w:after="0" w:line="252" w:lineRule="exact"/>
        <w:rPr>
          <w:rFonts w:ascii="Times New Roman" w:cs="Times New Roman" w:eastAsia="Times New Roman" w:hAnsi="Times New Roman"/>
          <w:sz w:val="18"/>
          <w:szCs w:val="18"/>
          <w:b w:val="1"/>
          <w:bCs w:val="1"/>
          <w:color w:val="auto"/>
        </w:rPr>
      </w:pPr>
    </w:p>
    <w:p>
      <w:pPr>
        <w:jc w:val="both"/>
        <w:ind w:left="651"/>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11" w:lineRule="exact"/>
        <w:rPr>
          <w:rFonts w:ascii="Times New Roman" w:cs="Times New Roman" w:eastAsia="Times New Roman" w:hAnsi="Times New Roman"/>
          <w:sz w:val="18"/>
          <w:szCs w:val="18"/>
          <w:b w:val="1"/>
          <w:bCs w:val="1"/>
          <w:color w:val="auto"/>
        </w:rPr>
      </w:pPr>
    </w:p>
    <w:p>
      <w:pPr>
        <w:ind w:left="651" w:hanging="651"/>
        <w:spacing w:after="0"/>
        <w:tabs>
          <w:tab w:leader="none" w:pos="651" w:val="left"/>
        </w:tabs>
        <w:numPr>
          <w:ilvl w:val="0"/>
          <w:numId w:val="87"/>
        </w:numPr>
        <w:rPr>
          <w:rFonts w:ascii="Times New Roman" w:cs="Times New Roman" w:eastAsia="Times New Roman" w:hAnsi="Times New Roman"/>
          <w:sz w:val="18"/>
          <w:szCs w:val="18"/>
          <w:b w:val="1"/>
          <w:bCs w:val="1"/>
          <w:color w:val="252525"/>
        </w:rPr>
      </w:pPr>
      <w:r>
        <w:rPr>
          <w:rFonts w:ascii="Times New Roman" w:cs="Times New Roman" w:eastAsia="Times New Roman" w:hAnsi="Times New Roman"/>
          <w:sz w:val="18"/>
          <w:szCs w:val="18"/>
          <w:b w:val="1"/>
          <w:bCs w:val="1"/>
          <w:u w:val="single" w:color="auto"/>
          <w:color w:val="auto"/>
        </w:rPr>
        <w:t>Data Privacy</w:t>
      </w:r>
    </w:p>
    <w:p>
      <w:pPr>
        <w:spacing w:after="0" w:line="256" w:lineRule="exact"/>
        <w:rPr>
          <w:rFonts w:ascii="Times New Roman" w:cs="Times New Roman" w:eastAsia="Times New Roman" w:hAnsi="Times New Roman"/>
          <w:sz w:val="18"/>
          <w:szCs w:val="18"/>
          <w:b w:val="1"/>
          <w:bCs w:val="1"/>
          <w:color w:val="252525"/>
        </w:rPr>
      </w:pPr>
    </w:p>
    <w:p>
      <w:pPr>
        <w:jc w:val="both"/>
        <w:ind w:left="651"/>
        <w:spacing w:after="0" w:line="266" w:lineRule="auto"/>
        <w:rPr>
          <w:rFonts w:ascii="Times New Roman" w:cs="Times New Roman" w:eastAsia="Times New Roman" w:hAnsi="Times New Roman"/>
          <w:sz w:val="18"/>
          <w:szCs w:val="18"/>
          <w:b w:val="1"/>
          <w:bCs w:val="1"/>
          <w:color w:val="252525"/>
        </w:rPr>
      </w:pPr>
      <w:r>
        <w:rPr>
          <w:rFonts w:ascii="Times New Roman" w:cs="Times New Roman" w:eastAsia="Times New Roman" w:hAnsi="Times New Roman"/>
          <w:sz w:val="18"/>
          <w:szCs w:val="18"/>
          <w:color w:val="auto"/>
        </w:rPr>
        <w:t>In accepting the grant of this Award, the Employee hereby explicitly and unambiguously consents to the collection, use and transfer, in electronic or other form, of the Employee’s personal data as described in this Agreement and any other grant materials by and among, as applicable, the Company for the exclusive purpose of implementing, administering and managing the Employee’s participation in the Plan.</w:t>
      </w:r>
    </w:p>
    <w:p>
      <w:pPr>
        <w:spacing w:after="0" w:line="202" w:lineRule="exact"/>
        <w:rPr>
          <w:rFonts w:ascii="Times New Roman" w:cs="Times New Roman" w:eastAsia="Times New Roman" w:hAnsi="Times New Roman"/>
          <w:sz w:val="18"/>
          <w:szCs w:val="18"/>
          <w:b w:val="1"/>
          <w:bCs w:val="1"/>
          <w:color w:val="252525"/>
        </w:rPr>
      </w:pPr>
    </w:p>
    <w:p>
      <w:pPr>
        <w:jc w:val="both"/>
        <w:ind w:left="651"/>
        <w:spacing w:after="0" w:line="261" w:lineRule="auto"/>
        <w:rPr>
          <w:rFonts w:ascii="Times New Roman" w:cs="Times New Roman" w:eastAsia="Times New Roman" w:hAnsi="Times New Roman"/>
          <w:sz w:val="18"/>
          <w:szCs w:val="18"/>
          <w:b w:val="1"/>
          <w:bCs w:val="1"/>
          <w:color w:val="252525"/>
        </w:rPr>
      </w:pPr>
      <w:r>
        <w:rPr>
          <w:rFonts w:ascii="Times New Roman" w:cs="Times New Roman" w:eastAsia="Times New Roman" w:hAnsi="Times New Roman"/>
          <w:sz w:val="18"/>
          <w:szCs w:val="18"/>
          <w:color w:val="auto"/>
        </w:rPr>
        <w:t>The Employee understands that personal information about the Employee, including, but not limited to, the Employee’s name, home address, email address and telephone number, date of birth, social insurance number, salary, nationality, job title, any shares of Common Stock held in the Company, details of all awards or any other entitlement to shares of Common Stock or equivalent benefits awarded, canceled, exercised, vested, unvested or</w:t>
      </w:r>
    </w:p>
    <w:p>
      <w:pPr>
        <w:sectPr>
          <w:pgSz w:w="11900" w:h="16838" w:orient="portrait"/>
          <w:cols w:equalWidth="0" w:num="1">
            <w:col w:w="11151"/>
          </w:cols>
          <w:pgMar w:left="409" w:top="89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51"/>
          </w:cols>
          <w:pgMar w:left="409" w:top="891" w:right="339" w:bottom="1440" w:gutter="0" w:footer="0" w:header="0"/>
          <w:type w:val="continuous"/>
        </w:sectPr>
      </w:pPr>
    </w:p>
    <w:bookmarkStart w:id="107" w:name="page108"/>
    <w:bookmarkEnd w:id="107"/>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outstanding in the Employee’s favor (“Data”), may be collected, recorded, held, used and disclosed by the Company and any non-Brady entities engaged by the Company to provide services in connection with this grant (a “Third Party Administrator”), for the exclusive purpose of implementing, administering and managing the Plan. You understand that the Company may transfer such information to Third Party Administrators, regardless of whether such Third Party Administrators are located within your country of residence.</w:t>
      </w:r>
    </w:p>
    <w:p>
      <w:pPr>
        <w:spacing w:after="0" w:line="20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Employee understands that the Employee may, at any time, view Data, request information about the storage and processing of Data, require any necessary amendments to Data or refuse or withdraw the consents herein, in any case, without cost, by contacting the Employee’s local human resources representative. Further, the Employee understands that the Employee is providing the consents herein on a purely voluntary basis. If the Employee does not consent, or if the Employee later seeks to revoke the Employee’s consent, the Employee’s employment status or service relationship with the Employer will not be affected; the only consequence of refusing or withdrawing the Employee’s consent is that the Company would not be able to grant Awards to the Employee or administer or maintain such awards. Therefore, the Employee understands that refusing or withdrawing the Employee’s consent may affect the Employee’s ability to participate in the Plan.</w:t>
      </w:r>
    </w:p>
    <w:p>
      <w:pPr>
        <w:spacing w:after="0" w:line="212" w:lineRule="exact"/>
        <w:rPr>
          <w:sz w:val="20"/>
          <w:szCs w:val="20"/>
          <w:color w:val="auto"/>
        </w:rPr>
      </w:pPr>
    </w:p>
    <w:p>
      <w:pPr>
        <w:ind w:left="660" w:hanging="651"/>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 and Acceptance</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its sole discretion, decide to deliver any documents related to current or future participation in the Plan by electronic means. The Employee hereby consents to receive such documents by electronic delivery and agrees to participate in the Plan through an online or electronic system established and maintained by the Company or a Third Party Administrator designated by the Company. Further, the parties hereto shall be entitled to rely on electronic delivery of this Agreement, and delivery by either party of shall be legally effective to create a valid and binding agreement between the parties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400" w:top="89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color w:val="auto"/>
        </w:rPr>
        <w:t>IN WITNESS WHEREOF, the Corporation has granted this Award as of the day and year first above written.</w:t>
      </w:r>
    </w:p>
    <w:p>
      <w:pPr>
        <w:sectPr>
          <w:pgSz w:w="11900" w:h="16838" w:orient="portrait"/>
          <w:cols w:equalWidth="0" w:num="1">
            <w:col w:w="9399"/>
          </w:cols>
          <w:pgMar w:left="1060" w:top="1134" w:right="1440" w:bottom="1440" w:gutter="0" w:footer="0" w:header="0"/>
        </w:sect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RUSSELL SHALLER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Russell Shaller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u w:val="single" w:color="auto"/>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399"/>
          </w:cols>
          <w:pgMar w:left="1060" w:top="1134" w:right="1440" w:bottom="1440" w:gutter="0" w:footer="0" w:header="0"/>
          <w:type w:val="continuous"/>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Performance Goals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019"/>
          </w:cols>
          <w:pgMar w:left="1440" w:top="887" w:right="1440" w:bottom="1440" w:gutter="0" w:footer="0" w:header="0"/>
        </w:sectPr>
      </w:pPr>
    </w:p>
    <w:bookmarkStart w:id="110" w:name="page111"/>
    <w:bookmarkEnd w:id="110"/>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Change in Control Definition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xml:space="preserve"> means the occurrence of any one of the following events:</w:t>
      </w:r>
    </w:p>
    <w:p>
      <w:pPr>
        <w:spacing w:after="0" w:line="256" w:lineRule="exact"/>
        <w:rPr>
          <w:sz w:val="20"/>
          <w:szCs w:val="20"/>
          <w:color w:val="auto"/>
        </w:rPr>
      </w:pPr>
    </w:p>
    <w:p>
      <w:pPr>
        <w:jc w:val="both"/>
        <w:ind w:firstLine="657"/>
        <w:spacing w:after="0" w:line="253" w:lineRule="auto"/>
        <w:tabs>
          <w:tab w:leader="none" w:pos="121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or indirect acquisition by an individual, entity or group (within the meaning of Section 13(d)(3) or 14(d)(2) 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221" w:lineRule="exact"/>
        <w:rPr>
          <w:rFonts w:ascii="Times New Roman" w:cs="Times New Roman" w:eastAsia="Times New Roman" w:hAnsi="Times New Roman"/>
          <w:sz w:val="18"/>
          <w:szCs w:val="18"/>
          <w:color w:val="auto"/>
        </w:rPr>
      </w:pPr>
    </w:p>
    <w:p>
      <w:pPr>
        <w:jc w:val="both"/>
        <w:ind w:firstLine="657"/>
        <w:spacing w:after="0" w:line="253" w:lineRule="auto"/>
        <w:tabs>
          <w:tab w:leader="none" w:pos="120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221" w:lineRule="exact"/>
        <w:rPr>
          <w:rFonts w:ascii="Times New Roman" w:cs="Times New Roman" w:eastAsia="Times New Roman" w:hAnsi="Times New Roman"/>
          <w:sz w:val="18"/>
          <w:szCs w:val="18"/>
          <w:color w:val="auto"/>
        </w:rPr>
      </w:pPr>
    </w:p>
    <w:p>
      <w:pPr>
        <w:jc w:val="both"/>
        <w:ind w:firstLine="657"/>
        <w:spacing w:after="0" w:line="253" w:lineRule="auto"/>
        <w:tabs>
          <w:tab w:leader="none" w:pos="121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14" w:lineRule="exact"/>
        <w:rPr>
          <w:rFonts w:ascii="Times New Roman" w:cs="Times New Roman" w:eastAsia="Times New Roman" w:hAnsi="Times New Roman"/>
          <w:sz w:val="18"/>
          <w:szCs w:val="18"/>
          <w:color w:val="auto"/>
        </w:rPr>
      </w:pPr>
    </w:p>
    <w:p>
      <w:pPr>
        <w:jc w:val="both"/>
        <w:ind w:firstLine="657"/>
        <w:spacing w:after="0" w:line="254" w:lineRule="auto"/>
        <w:tabs>
          <w:tab w:leader="none" w:pos="120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and the subsequent consummation of (i) a complete liquidation or dissolution of the Company or (ii) 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w:t>
      </w: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400" w:top="887" w:right="339" w:bottom="1440" w:gutter="0" w:footer="0" w:header="0"/>
        </w:sectPr>
      </w:pPr>
    </w:p>
    <w:bookmarkStart w:id="111" w:name="page112"/>
    <w:bookmarkEnd w:id="111"/>
    <w:p>
      <w:pPr>
        <w:jc w:val="both"/>
        <w:spacing w:after="0" w:line="258" w:lineRule="auto"/>
        <w:rPr>
          <w:sz w:val="20"/>
          <w:szCs w:val="20"/>
          <w:color w:val="auto"/>
        </w:rPr>
      </w:pPr>
      <w:r>
        <w:rPr>
          <w:rFonts w:ascii="Times New Roman" w:cs="Times New Roman" w:eastAsia="Times New Roman" w:hAnsi="Times New Roman"/>
          <w:sz w:val="18"/>
          <w:szCs w:val="18"/>
          <w:color w:val="auto"/>
        </w:rPr>
        <w:t>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400" w:top="891"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19</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540" w:type="dxa"/>
            <w:vAlign w:val="bottom"/>
          </w:tcPr>
          <w:p>
            <w:pPr>
              <w:spacing w:after="0"/>
              <w:rPr>
                <w:sz w:val="22"/>
                <w:szCs w:val="22"/>
                <w:color w:val="auto"/>
              </w:rPr>
            </w:pPr>
          </w:p>
        </w:tc>
        <w:tc>
          <w:tcPr>
            <w:tcW w:w="5180" w:type="dxa"/>
            <w:vAlign w:val="bottom"/>
            <w:gridSpan w:val="3"/>
          </w:tcPr>
          <w:p>
            <w:pPr>
              <w:jc w:val="center"/>
              <w:ind w:left="2848"/>
              <w:spacing w:after="0"/>
              <w:rPr>
                <w:sz w:val="20"/>
                <w:szCs w:val="20"/>
                <w:color w:val="auto"/>
              </w:rPr>
            </w:pPr>
            <w:r>
              <w:rPr>
                <w:rFonts w:ascii="Times New Roman" w:cs="Times New Roman" w:eastAsia="Times New Roman" w:hAnsi="Times New Roman"/>
                <w:sz w:val="20"/>
                <w:szCs w:val="20"/>
                <w:b w:val="1"/>
                <w:bCs w:val="1"/>
                <w:color w:val="auto"/>
                <w:w w:val="98"/>
              </w:rPr>
              <w:t>BRADY CORPORATION</w:t>
            </w:r>
          </w:p>
        </w:tc>
      </w:tr>
      <w:tr>
        <w:trPr>
          <w:trHeight w:val="426"/>
        </w:trPr>
        <w:tc>
          <w:tcPr>
            <w:tcW w:w="1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20" w:type="dxa"/>
            <w:vAlign w:val="bottom"/>
            <w:gridSpan w:val="2"/>
          </w:tcPr>
          <w:p>
            <w:pPr>
              <w:jc w:val="center"/>
              <w:ind w:right="720"/>
              <w:spacing w:after="0"/>
              <w:rPr>
                <w:sz w:val="20"/>
                <w:szCs w:val="20"/>
                <w:color w:val="auto"/>
              </w:rPr>
            </w:pPr>
            <w:r>
              <w:rPr>
                <w:rFonts w:ascii="Times New Roman" w:cs="Times New Roman" w:eastAsia="Times New Roman" w:hAnsi="Times New Roman"/>
                <w:sz w:val="20"/>
                <w:szCs w:val="20"/>
                <w:b w:val="1"/>
                <w:bCs w:val="1"/>
                <w:color w:val="auto"/>
                <w:w w:val="97"/>
              </w:rPr>
              <w:t>July 2024</w:t>
            </w:r>
          </w:p>
        </w:tc>
      </w:tr>
      <w:tr>
        <w:trPr>
          <w:trHeight w:val="20"/>
        </w:trPr>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25"/>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518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All Employees, Officers, Directors and Consultants</w:t>
            </w:r>
          </w:p>
        </w:tc>
      </w:tr>
      <w:tr>
        <w:trPr>
          <w:trHeight w:val="229"/>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w:t>
            </w:r>
          </w:p>
        </w:tc>
        <w:tc>
          <w:tcPr>
            <w:tcW w:w="518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Andrew T. Gorman</w:t>
            </w:r>
          </w:p>
        </w:tc>
      </w:tr>
      <w:tr>
        <w:trPr>
          <w:trHeight w:val="238"/>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518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Brady Corporation Insider Trading Policy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Background</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Brady Corporation’s board of directors has adopted this Insider Trading Policy for our directors, officers, employees and consultants, and, in some situations the Company, with respect to the trading of the Company’s securities, as well as the securities of publicly traded companies with whom we have a business relationship.</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It is important that you understand the breadth of activities that constitute illegal insider trading and the consequences, which can be severe. Both the U.S. Securities and Exchange Commission (SEC) and the New York Stock Exchange investigate and are very effective at detecting insider trading. The SEC, together with the U.S. Attorneys, pursue insider trading violations vigorously. Cases have been successfully prosecuted against trading by employees through foreign accounts, trading by family members and friends, and trading involving only a small number of shares.</w:t>
      </w:r>
    </w:p>
    <w:p>
      <w:pPr>
        <w:spacing w:after="0" w:line="1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policy is designed to prevent insider trading or allegations of insider trading, and to protect the Company’s reputation for integrity and ethical conduct. It is your obligation to understand and comply with this policy.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Administration of the Policy</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Company's General Counsel shall serve as the Compliance Officer for purposes of this policy, and in his or her absence, another employee designated by the Compliance Officer shall be responsible for administration of this policy. All determinations and interpretations by the Compliance Officer shall be final and not subject to further review.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Consequences of Violations</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purchase or sale of securities while aware of material nonpublic information, or the disclosure of material nonpublic information to others who then trade in the Company's securities, is prohibited by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w:t>
      </w:r>
    </w:p>
    <w:p>
      <w:pPr>
        <w:sectPr>
          <w:pgSz w:w="11900" w:h="16838" w:orient="portrait"/>
          <w:cols w:equalWidth="0" w:num="1">
            <w:col w:w="11240"/>
          </w:cols>
          <w:pgMar w:left="320" w:top="882"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color w:val="auto"/>
        </w:rPr>
        <w:t>companies and other "controlling persons" if they fail to take reasonable steps to prevent insider trading by company personnel.</w:t>
      </w:r>
    </w:p>
    <w:p>
      <w:pPr>
        <w:spacing w:after="0" w:line="17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addition, an individual's failure to comply with this policy may subject the individual to Company-imposed sanctions, up to and including dismissal for cause, whether or not the employee's failure to comply results in a violation of law.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Scope of Policy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Persons Covered. </w:t>
      </w:r>
      <w:r>
        <w:rPr>
          <w:rFonts w:ascii="Times New Roman" w:cs="Times New Roman" w:eastAsia="Times New Roman" w:hAnsi="Times New Roman"/>
          <w:sz w:val="20"/>
          <w:szCs w:val="20"/>
          <w:color w:val="auto"/>
        </w:rPr>
        <w:t>As a director, officer, employee or consultant of the Company or its subsidiaries, this policy applies to you. The same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restrictions that apply to you apply to your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The restrictions also apply to any entities that you influence or control, including without limitation any corporations, partnerships or trusts that you influence or control. You are responsible for making sure that the purchase or sale of any security covered by this policy by any such person or entity complies with this policy.</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Companies Covered. </w:t>
      </w:r>
      <w:r>
        <w:rPr>
          <w:rFonts w:ascii="Times New Roman" w:cs="Times New Roman" w:eastAsia="Times New Roman" w:hAnsi="Times New Roman"/>
          <w:sz w:val="20"/>
          <w:szCs w:val="20"/>
          <w:color w:val="auto"/>
        </w:rPr>
        <w:t>The prohibition on insider trading in this policy is not limited to trading in the Company’s securities. It includes trading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securities of other firms, such as customers or suppliers of the Company and those with which the Company may be negotiating major transactions, such as an acquisition, investment or sale. Information that is not material to the Company may nevertheless be material to one of those other firms.</w:t>
      </w:r>
    </w:p>
    <w:p>
      <w:pPr>
        <w:spacing w:after="0" w:line="1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Transactions Covered. </w:t>
      </w:r>
      <w:r>
        <w:rPr>
          <w:rFonts w:ascii="Times New Roman" w:cs="Times New Roman" w:eastAsia="Times New Roman" w:hAnsi="Times New Roman"/>
          <w:sz w:val="20"/>
          <w:szCs w:val="20"/>
          <w:color w:val="auto"/>
        </w:rPr>
        <w:t>Trading includes purchases and sales of stock, derivative securities such as put and call options and convertible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debentures or preferred stock, and debt securities (debentures, bonds and notes). Trading also includes certain transactions under Company plans, as follows:</w:t>
      </w:r>
    </w:p>
    <w:p>
      <w:pPr>
        <w:spacing w:after="0" w:line="121" w:lineRule="exact"/>
        <w:rPr>
          <w:sz w:val="20"/>
          <w:szCs w:val="20"/>
          <w:color w:val="auto"/>
        </w:rPr>
      </w:pPr>
    </w:p>
    <w:p>
      <w:pPr>
        <w:jc w:val="both"/>
        <w:ind w:left="660" w:hanging="328"/>
        <w:spacing w:after="0" w:line="252"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 Option Exercises. </w:t>
      </w:r>
      <w:r>
        <w:rPr>
          <w:rFonts w:ascii="Times New Roman" w:cs="Times New Roman" w:eastAsia="Times New Roman" w:hAnsi="Times New Roman"/>
          <w:sz w:val="20"/>
          <w:szCs w:val="20"/>
          <w:color w:val="auto"/>
        </w:rPr>
        <w:t>This policy’s trading restrictions generally do not apply to the exercise of an employee stock option acquired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pursuant to the Company's plans, or to the exercise of a tax withholding right or net exercise provision of the Company's plans pursuant to which a person has elected to have the Company withhold shares subject to an option to satisfy the exercise price or tax withholding requirements. The trading restrictions do apply, however, to any market sale of the underlying stock (whether the sale is of all or a portion of the underlying stock, and whether it is to satisfy the exercise price of the option or tax withholding requirements). The trading restrictions also apply to a cashless exercise of the option through a broker, as this entails selling a portion of the underlying stock to cover the cost of exercise, or any other market sale for the purpose of generating the cash needed to pay the exercise price of an option.</w:t>
      </w:r>
    </w:p>
    <w:p>
      <w:pPr>
        <w:spacing w:after="0" w:line="120"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Restricted Stock and Restricted Stock Unit Awards. </w:t>
      </w:r>
      <w:r>
        <w:rPr>
          <w:rFonts w:ascii="Times New Roman" w:cs="Times New Roman" w:eastAsia="Times New Roman" w:hAnsi="Times New Roman"/>
          <w:sz w:val="20"/>
          <w:szCs w:val="20"/>
          <w:color w:val="auto"/>
        </w:rPr>
        <w:t>This policy does not apply to the vesting of restricted stock or restricted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units, or the exercise of a tax withholding right pursuant to which you elect to have the Company withhold shares of stock to satisfy tax withholding requirements upon the vesting of any restricted stock. The policy does apply, however, to any market sale of restricted stock or restricted stock units.</w:t>
      </w:r>
    </w:p>
    <w:p>
      <w:pPr>
        <w:spacing w:after="0" w:line="123"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Employee Stock Purchase Plan</w:t>
      </w:r>
      <w:r>
        <w:rPr>
          <w:rFonts w:ascii="Times New Roman" w:cs="Times New Roman" w:eastAsia="Times New Roman" w:hAnsi="Times New Roman"/>
          <w:sz w:val="20"/>
          <w:szCs w:val="20"/>
          <w:color w:val="auto"/>
        </w:rPr>
        <w:t>. This policy’s trading restrictions do not apply to purchases of Company stock in the third party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 Stock Purchase Plan resulting from your periodic payroll contributions to the plan under an election you made at the time of enrollment in the plan. The trading restrictions do apply to your election or changes in your election to participate in the plan and to your sales of Company stock purchased under the plan.</w:t>
      </w:r>
    </w:p>
    <w:p>
      <w:pPr>
        <w:spacing w:after="0" w:line="110"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401(k) Plan. </w:t>
      </w:r>
      <w:r>
        <w:rPr>
          <w:rFonts w:ascii="Times New Roman" w:cs="Times New Roman" w:eastAsia="Times New Roman" w:hAnsi="Times New Roman"/>
          <w:sz w:val="20"/>
          <w:szCs w:val="20"/>
          <w:color w:val="auto"/>
        </w:rPr>
        <w:t>This policy’s trading restrictions do not apply to purchases of Company stock in the 401(k) plan resulting from your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periodic contribution of money to the plan pursuant to your payroll deduction election. The trading restrictions do apply, however, to elections or changes in elections you may make under the 401(k) plan to (a) increase or decrease the percentage of your periodic contributions that will be allocated to the Company stock fund, (b) make an intra-plan transfer of an existing account balance into or out of the Company stock fund, (c) borrow money against your 401(k) plan account if the loan will result 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8" w:right="339" w:bottom="1440" w:gutter="0" w:footer="0" w:header="0"/>
        </w:sectPr>
      </w:pPr>
    </w:p>
    <w:bookmarkStart w:id="114" w:name="page115"/>
    <w:bookmarkEnd w:id="114"/>
    <w:p>
      <w:pPr>
        <w:ind w:left="660" w:right="20"/>
        <w:spacing w:after="0" w:line="283" w:lineRule="auto"/>
        <w:rPr>
          <w:sz w:val="20"/>
          <w:szCs w:val="20"/>
          <w:color w:val="auto"/>
        </w:rPr>
      </w:pPr>
      <w:r>
        <w:rPr>
          <w:rFonts w:ascii="Times New Roman" w:cs="Times New Roman" w:eastAsia="Times New Roman" w:hAnsi="Times New Roman"/>
          <w:sz w:val="20"/>
          <w:szCs w:val="20"/>
          <w:color w:val="auto"/>
        </w:rPr>
        <w:t>a liquidation of some or all of your Company stock fund balance, and (d) pre-pay a plan loan if the pre-payment will result in allocation of loan proceeds to the Company stock fund.</w:t>
      </w:r>
    </w:p>
    <w:p>
      <w:pPr>
        <w:spacing w:after="0" w:line="88" w:lineRule="exact"/>
        <w:rPr>
          <w:sz w:val="20"/>
          <w:szCs w:val="20"/>
          <w:color w:val="auto"/>
        </w:rPr>
      </w:pPr>
    </w:p>
    <w:p>
      <w:pPr>
        <w:jc w:val="both"/>
        <w:ind w:left="660" w:hanging="328"/>
        <w:spacing w:after="0" w:line="258" w:lineRule="auto"/>
        <w:tabs>
          <w:tab w:leader="none" w:pos="64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Deferred Compensation Plan. </w:t>
      </w:r>
      <w:r>
        <w:rPr>
          <w:rFonts w:ascii="Times New Roman" w:cs="Times New Roman" w:eastAsia="Times New Roman" w:hAnsi="Times New Roman"/>
          <w:sz w:val="20"/>
          <w:szCs w:val="20"/>
          <w:color w:val="auto"/>
        </w:rPr>
        <w:t>The policy's trading restrictions do not apply to allocations of compensation deferrals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stock account pursuant to a deferred compensation plan. The trading restrictions do apply, however, to elections or changes in elections you make under your deferred compensation plan to (a) increase or decrease the percentage of your periodic deferral that will be allocated to the Company stock account, and (b) make an intra-plan transfer of an existing account balance into or out of the Company stock account.</w:t>
      </w:r>
    </w:p>
    <w:p>
      <w:pPr>
        <w:spacing w:after="0" w:line="113"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4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Dividend Reinvestment Plan. </w:t>
      </w:r>
      <w:r>
        <w:rPr>
          <w:rFonts w:ascii="Times New Roman" w:cs="Times New Roman" w:eastAsia="Times New Roman" w:hAnsi="Times New Roman"/>
          <w:sz w:val="20"/>
          <w:szCs w:val="20"/>
          <w:color w:val="auto"/>
        </w:rPr>
        <w:t>This policy does not apply to purchases of Company securities under the Company's dividend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reinvestment plan resulting from your reinvestment of dividends paid on Company securities. This policy does apply, however, to voluntary purchases of Company securities resulting from additional contributions you choose to make to the dividend reinvestment plan, and to your election to participate in the plan or increase your level of participation in the plan. This policy also applies to your sale of any Company securities purchased pursuant to the plan.</w:t>
      </w:r>
    </w:p>
    <w:p>
      <w:pPr>
        <w:spacing w:after="0" w:line="113" w:lineRule="exact"/>
        <w:rPr>
          <w:rFonts w:ascii="Times New Roman" w:cs="Times New Roman" w:eastAsia="Times New Roman" w:hAnsi="Times New Roman"/>
          <w:sz w:val="20"/>
          <w:szCs w:val="20"/>
          <w:color w:val="auto"/>
        </w:rPr>
      </w:pPr>
    </w:p>
    <w:p>
      <w:pPr>
        <w:jc w:val="both"/>
        <w:ind w:left="660" w:hanging="328"/>
        <w:spacing w:after="0" w:line="283" w:lineRule="auto"/>
        <w:tabs>
          <w:tab w:leader="none" w:pos="64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Bona Fide Gifts. </w:t>
      </w:r>
      <w:r>
        <w:rPr>
          <w:rFonts w:ascii="Times New Roman" w:cs="Times New Roman" w:eastAsia="Times New Roman" w:hAnsi="Times New Roman"/>
          <w:sz w:val="19"/>
          <w:szCs w:val="19"/>
          <w:color w:val="auto"/>
        </w:rPr>
        <w:t>Bona fide gifts of Company securities are transactions subject to this policy. The SEC has indicated,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believes, that gifts should be avoided if a person making the gift has reason to believe, or is reckless in not knowing, that the recipient intends to sell the Company securities while the officer, employee or director is aware of material nonpublic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Statement of Policy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No Trading on Inside Information. </w:t>
      </w:r>
      <w:r>
        <w:rPr>
          <w:rFonts w:ascii="Times New Roman" w:cs="Times New Roman" w:eastAsia="Times New Roman" w:hAnsi="Times New Roman"/>
          <w:sz w:val="20"/>
          <w:szCs w:val="20"/>
          <w:color w:val="auto"/>
        </w:rPr>
        <w:t>You may not trade in the securities of the Company, directly or through family members or other persons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entities, if you are aware of material nonpublic information relating to the Company. Similarly, you may not trade in the securities of any other company if you are aware of material nonpublic information about that company which you obtained in the course of your employment with the Company. These restrictions on trading also apply to the Company itself.</w:t>
      </w:r>
    </w:p>
    <w:p>
      <w:pPr>
        <w:spacing w:after="0" w:line="1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No Tipping. </w:t>
      </w:r>
      <w:r>
        <w:rPr>
          <w:rFonts w:ascii="Times New Roman" w:cs="Times New Roman" w:eastAsia="Times New Roman" w:hAnsi="Times New Roman"/>
          <w:sz w:val="20"/>
          <w:szCs w:val="20"/>
          <w:color w:val="auto"/>
        </w:rPr>
        <w:t>You may not pass material nonpublic information on to others or recommend to anyone the purchase or sale of any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when you are aware of such information. This practice, known as “tipping,” also violates the securities laws and can result in the same civil and criminal penalties that apply to insider trading, even though you did not trade and did not gain any benefit from another’s trading.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No Exception for Hardship. </w:t>
      </w:r>
      <w:r>
        <w:rPr>
          <w:rFonts w:ascii="Times New Roman" w:cs="Times New Roman" w:eastAsia="Times New Roman" w:hAnsi="Times New Roman"/>
          <w:sz w:val="20"/>
          <w:szCs w:val="20"/>
          <w:color w:val="auto"/>
        </w:rPr>
        <w:t>The existence of a personal financial emergency does not excuse you from compliance with this policy.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Blackout and Pre-Clearance Procedures. </w:t>
      </w:r>
      <w:r>
        <w:rPr>
          <w:rFonts w:ascii="Times New Roman" w:cs="Times New Roman" w:eastAsia="Times New Roman" w:hAnsi="Times New Roman"/>
          <w:sz w:val="20"/>
          <w:szCs w:val="20"/>
          <w:color w:val="auto"/>
        </w:rPr>
        <w:t>To help prevent inadvertent violations of the federal securities laws and to avoid even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appearance of trading on the basis of inside information, the Company’s board of directors has adopted an Addendum to Insider Trading Policy that applies to directors, executive officers subject to Section 16 of the Securities Exchange Act of 1934 (“executive officers”), and certain designated employees and consultants of the Company and its subsidiaries who may have access to material nonpublic information about the Company. The Company will notify you if you are subject to the addendum.</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addendum generally prohibits persons covered by it from trading in the Company’s securities during quarterly blackout periods beginning on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of the third month of each quarter and ending after at least two days, one of which must be a business day, following the release of the Company’s earnings for that quarter and during certain event-specific blackouts. Persons covered by the addendum also must pre-clear all transactions in the Company’s securities with the Compliance Officer.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 of Material Nonpublic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that inside information has two important elements -- materiality and public availability.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48" w:right="339" w:bottom="1440" w:gutter="0" w:footer="0" w:header="0"/>
        </w:sectPr>
      </w:pPr>
    </w:p>
    <w:bookmarkStart w:id="115" w:name="page116"/>
    <w:bookmarkEnd w:id="115"/>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Material Information. </w:t>
      </w:r>
      <w:r>
        <w:rPr>
          <w:rFonts w:ascii="Times New Roman" w:cs="Times New Roman" w:eastAsia="Times New Roman" w:hAnsi="Times New Roman"/>
          <w:sz w:val="20"/>
          <w:szCs w:val="20"/>
          <w:color w:val="auto"/>
        </w:rPr>
        <w:t>Information is material if there is a substantial likelihood that a reasonable investor would consider it important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deciding whether to buy, hold or sell a security. Any information that could reasonably be expected to affect the price of the security is material. Common examples of material information are:</w:t>
      </w:r>
    </w:p>
    <w:p>
      <w:pPr>
        <w:spacing w:after="0" w:line="125" w:lineRule="exact"/>
        <w:rPr>
          <w:sz w:val="20"/>
          <w:szCs w:val="20"/>
          <w:color w:val="auto"/>
        </w:rPr>
      </w:pPr>
    </w:p>
    <w:p>
      <w:pPr>
        <w:ind w:left="640" w:hanging="308"/>
        <w:spacing w:after="0"/>
        <w:tabs>
          <w:tab w:leader="none" w:pos="6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 of future earnings or losses or other earnings guidance.</w:t>
      </w:r>
    </w:p>
    <w:p>
      <w:pPr>
        <w:spacing w:after="0" w:line="161"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expectations that are inconsistent with the Company’s public guidance or, if none, with the consensus expectations of the investment community.</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pending or proposed merger, acquisition or tender offer or an acquisition or disposition of significant assets.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senior management.</w:t>
      </w:r>
    </w:p>
    <w:p>
      <w:pPr>
        <w:spacing w:after="0" w:line="17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regarding the Company’s securities, including the declaration of a stock split, the offering of additional securities, or stock buy-backs.</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Severe financial liquidity problems.</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major litigation, or the resolution of such litigation.</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major contracts, orders, suppliers, customers or finance sources, or the loss thereof (5% of Brady’s sales).</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 policies.</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Both positive and negative information can be material. Because trading that receives scrutiny will be evaluated after the fact with the benefit of hindsight, questions concerning the materiality of particular information should be resolved in favor of being considered material, and trading should be avoided.</w:t>
      </w:r>
    </w:p>
    <w:p>
      <w:pPr>
        <w:spacing w:after="0" w:line="1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Nonpublic Information. </w:t>
      </w:r>
      <w:r>
        <w:rPr>
          <w:rFonts w:ascii="Times New Roman" w:cs="Times New Roman" w:eastAsia="Times New Roman" w:hAnsi="Times New Roman"/>
          <w:sz w:val="20"/>
          <w:szCs w:val="20"/>
          <w:color w:val="auto"/>
        </w:rPr>
        <w:t>Nonpublic information is information that is not generally known or available to the public. One common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or an SEC filing) </w:t>
      </w:r>
      <w:r>
        <w:rPr>
          <w:rFonts w:ascii="Times New Roman" w:cs="Times New Roman" w:eastAsia="Times New Roman" w:hAnsi="Times New Roman"/>
          <w:sz w:val="20"/>
          <w:szCs w:val="20"/>
          <w:i w:val="1"/>
          <w:iCs w:val="1"/>
          <w:color w:val="auto"/>
        </w:rPr>
        <w:t>and the investing public has had time to absorb the information fully</w:t>
      </w:r>
      <w:r>
        <w:rPr>
          <w:rFonts w:ascii="Times New Roman" w:cs="Times New Roman" w:eastAsia="Times New Roman" w:hAnsi="Times New Roman"/>
          <w:sz w:val="20"/>
          <w:szCs w:val="20"/>
          <w:color w:val="auto"/>
        </w:rPr>
        <w:t>. As a general rule, information is considered nonpublic until at least two days, one of which must be a business day, after the information is released. For example, if the Company announces financial earnings before trading begins on a Tuesday, the first time you can buy or sell Company securities is the opening of the market on Thursday (assuming you are not aware of other material nonpublic information at the time). However, if the Company announces earnings after trading begins on that Tuesday, the first time you can buy or sell Company securities is the opening of the market on Friday.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Guidance</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considers it improper and inappropriate for those employed or associated with the Company to engage in short-term or speculative transactions in the Company’s securities or in other transactions in the Company’s securities that may lead to inadvertent violations of the insider trading laws. Accordingly, your trading in Company securities is subject to the following additional guidance:</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Short Sales. </w:t>
      </w:r>
      <w:r>
        <w:rPr>
          <w:rFonts w:ascii="Times New Roman" w:cs="Times New Roman" w:eastAsia="Times New Roman" w:hAnsi="Times New Roman"/>
          <w:sz w:val="20"/>
          <w:szCs w:val="20"/>
          <w:color w:val="auto"/>
        </w:rPr>
        <w:t>You may not engage in short sales of the Company’s securities (sales of securities that are not then owned), including a “sale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against the box” (a sale with delayed delivery).</w:t>
      </w:r>
    </w:p>
    <w:p>
      <w:pPr>
        <w:spacing w:after="0" w:line="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Publicly Traded Options. </w:t>
      </w:r>
      <w:r>
        <w:rPr>
          <w:rFonts w:ascii="Times New Roman" w:cs="Times New Roman" w:eastAsia="Times New Roman" w:hAnsi="Times New Roman"/>
          <w:sz w:val="20"/>
          <w:szCs w:val="20"/>
          <w:color w:val="auto"/>
        </w:rPr>
        <w:t>You may not engage in transactions in publicly traded options, such as puts, calls and other derivative securities,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exchange or in any other organized market.</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Standing Orders. </w:t>
      </w:r>
      <w:r>
        <w:rPr>
          <w:rFonts w:ascii="Times New Roman" w:cs="Times New Roman" w:eastAsia="Times New Roman" w:hAnsi="Times New Roman"/>
          <w:sz w:val="20"/>
          <w:szCs w:val="20"/>
          <w:color w:val="auto"/>
        </w:rPr>
        <w:t>Standing orders should be used only for a very brief period of time. A standing order placed with a broker to sell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stock at a specific price leaves you with no control over the timing of the transaction. A standing order transaction executed by the broker when you are aware of material nonpublic information may result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44" w:right="339" w:bottom="1440" w:gutter="0" w:footer="0" w:header="0"/>
        </w:sectPr>
      </w:pPr>
    </w:p>
    <w:bookmarkStart w:id="116" w:name="page117"/>
    <w:bookmarkEnd w:id="116"/>
    <w:p>
      <w:pPr>
        <w:jc w:val="both"/>
        <w:spacing w:after="0" w:line="283" w:lineRule="auto"/>
        <w:rPr>
          <w:sz w:val="20"/>
          <w:szCs w:val="20"/>
          <w:color w:val="auto"/>
        </w:rPr>
      </w:pPr>
      <w:r>
        <w:rPr>
          <w:rFonts w:ascii="Times New Roman" w:cs="Times New Roman" w:eastAsia="Times New Roman" w:hAnsi="Times New Roman"/>
          <w:sz w:val="20"/>
          <w:szCs w:val="20"/>
          <w:color w:val="auto"/>
        </w:rPr>
        <w:t>in unlawful insider trading unless it is pursuant to a Rule 10b5-1 trading plan, which plans are discussed more fully below. If you have questions on this procedure, please contact the Compliance Officer.</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Margin Accounts and Pledges. </w:t>
      </w:r>
      <w:r>
        <w:rPr>
          <w:rFonts w:ascii="Times New Roman" w:cs="Times New Roman" w:eastAsia="Times New Roman" w:hAnsi="Times New Roman"/>
          <w:sz w:val="20"/>
          <w:szCs w:val="20"/>
          <w:color w:val="auto"/>
        </w:rPr>
        <w:t>Securities held in a margin account or pledged as collateral for a loan may be sold without your consent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broker if you fail to meet a margin call or by the lender in a foreclosure if you default on the loan. A margin or foreclosure sale that occurs when you are aware of material nonpublic information may, under some circumstances, result in unlawful insider trading. Because of this risk, the holding of Company securities in a margin account or otherwise pledging securities as collateral for a loan is prohibited.</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Hedging Transactions. </w:t>
      </w:r>
      <w:r>
        <w:rPr>
          <w:rFonts w:ascii="Times New Roman" w:cs="Times New Roman" w:eastAsia="Times New Roman" w:hAnsi="Times New Roman"/>
          <w:sz w:val="20"/>
          <w:szCs w:val="20"/>
          <w:color w:val="auto"/>
        </w:rPr>
        <w:t>Hedging or monetization transactions can be accomplished through a number of possible mechanisms,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officers, employees and consultants are prohibited from engaging in any such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Post-Termination Transactions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policy continues to apply to your transactions in Company securities even after you have terminated employment or other services to the Company or a subsidiary as follows: if you are aware of material nonpublic information when your employment or service relationship terminates, you may not trade in Company securities until that information has become public or is no longer material.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Unauthorized Disclosure</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as confidential and proprietary to the Company. Inadvertent disclosure of confidential or inside information may expose the Company and you to significant risk of investigation and litigation.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investment analysts or others in the financial community be made on the Company’s behalf only through authorized individuals.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Please consult the Company’s internal communication policy for more details regarding the Company’s policy on speaking to the media, financial analysts and investors.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Priority of Statutory or Regulatory Trading Restrictions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trading prohibitions and restrictions set forth in this policy will be superseded by any greater prohibitions or restrictions prescribed by securities laws and regulations. Any director, officer, employee or consultant who is uncertain whether other prohibitions or restrictions apply should ask the Compliance Officer.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Reporting Violations</w:t>
      </w:r>
    </w:p>
    <w:p>
      <w:pPr>
        <w:spacing w:after="0" w:line="17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Any director, officer, employee or consultant who becomes aware of a violation of this policy should (i) report such violation to his or her supervisor or the Compliance Officer or (ii) contact the Company's Ethics Hotline.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Personal Responsibility</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You should remember that the ultimate responsibility for adhering to this policy and avoiding improper trading rests with you. If you violate this policy, the Company may take disciplinary action, up to and including dismissal for cause.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4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Company Assistance</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Your compliance with this policy is of the utmost importance both for you and for the Company. It is your obligation to fully understand the terms and conditions of this policy and to ensure that since becoming subject to this policy and for future periods in which you are subject to this policy, you have and will continue to comply with its terms and conditions. If you have any questions about this policy or its application to any proposed transaction, you may obtain additional guidance from the Compliance Officer at 414-358-6608. </w:t>
      </w:r>
      <w:r>
        <w:rPr>
          <w:rFonts w:ascii="Times New Roman" w:cs="Times New Roman" w:eastAsia="Times New Roman" w:hAnsi="Times New Roman"/>
          <w:sz w:val="19"/>
          <w:szCs w:val="19"/>
          <w:b w:val="1"/>
          <w:bCs w:val="1"/>
          <w:i w:val="1"/>
          <w:iCs w:val="1"/>
          <w:color w:val="auto"/>
        </w:rPr>
        <w:t>Do not try to resolve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uncertainties on your own, as the rules relating to insider trading are often complex, not always intuitive and carry severe consequences</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4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BRADY CORPORATION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July 2024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Addendum to Insider Trading Policy — Pre-clearance and Blackout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help prevent inadvertent violations of the federal securities laws and to avoid even the appearance of trading on inside information, the Company’s board of directors has adopted this Addendum to Insider Trading Policy. This addendum applies to directors, executive officers subject to Section 16 of the Securities Exchange Act of 1934 (“executive officers”) and certain designated employees and consultants of the Company and its subsidiaries who may have access to material nonpublic information about the Company. The positions of the covered persons subject to this addendum are listed on the attached Schedule I. The Company may from time to time designate other individuals or positions that are subject to this addendum and will amend Schedule I from time to time as necessary to reflect such changes or the resignation or change of status of any individual.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addendum is in addition to and supplements the Company’s Insider Trading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Pre-clearance Procedures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Covered persons, together with their family members, other members of their household, or any entities that they control or influence, may not engage in any transaction involving the Company’s securities (including a stock plan transaction such as an option exercise, or a gift, loan, pledge, contribution to a trust or any other transfer) without first obtaining pre-clearance of the transaction from Compliance Officer, which shall be the Company’s General Counsel, and in his or her absence, another employee designated by the General Counsel. A request for pre-clearance should be submitted to the Compliance Officer at least two business days in advance of the proposed transaction. The Compliance Officer is under no obligation to approve a trade submitted for pre-clearance, and may determine not to permit the trade. A Compliance Officer himself or herself may not trade in Company securities unless the other Compliance Officer has approved the trade(s) in accordance with the procedures set forth in this addendum.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Blackout Procedure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covered persons are subject to the following blackout procedures.</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Quarterly Blackout Periods. </w:t>
      </w:r>
      <w:r>
        <w:rPr>
          <w:rFonts w:ascii="Times New Roman" w:cs="Times New Roman" w:eastAsia="Times New Roman" w:hAnsi="Times New Roman"/>
          <w:sz w:val="20"/>
          <w:szCs w:val="20"/>
          <w:color w:val="auto"/>
        </w:rPr>
        <w:t>The Company’s announcement of its quarterly financial results almost always has the potential to have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 effect on the market for the Company’s securities. Therefore, to avoid even the appearance of trading on the basis of material nonpublic information, you may not trade in the Company’s securities during the period beginning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of the third month of each quarter and ending at least two days, one of which must be a business day, after the release of the Company’s earnings for that quarter. Persons subject to these quarterly blackout periods include the persons currently listed on Schedule I attached to this addendum and all other persons who are informed by the Compliance Officer that they are subject to the quarterly blackout periods.</w:t>
      </w:r>
    </w:p>
    <w:p>
      <w:pPr>
        <w:spacing w:after="0" w:line="1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Interim Earnings Guidance and Event-Specific Blackouts. </w:t>
      </w:r>
      <w:r>
        <w:rPr>
          <w:rFonts w:ascii="Times New Roman" w:cs="Times New Roman" w:eastAsia="Times New Roman" w:hAnsi="Times New Roman"/>
          <w:sz w:val="20"/>
          <w:szCs w:val="20"/>
          <w:color w:val="auto"/>
        </w:rPr>
        <w:t>The Company may on occasion issue interim earnings guidance or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potentially material information by means of a press release, SEC filing on Form 8-K or other means designed to achieve widespread dissemination of the information. You should anticipate that trading will be blacked out while the Company is in the process of assembling the information to be released and until the information has been released and fully absorbed by the market.</w:t>
      </w:r>
    </w:p>
    <w:p>
      <w:pPr>
        <w:spacing w:after="0" w:line="1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From time to time, an event may occur that is material to the Company and is known by only a few officers, directors or employees. So long as the event remains material and nonpublic, the persons who are aware of the event, as well as other persons covered by the quarterly earnings blackout procedures, may not trade in the Company’s securities. The existence of an event-specific blackout will not be announced, other than to those who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25" w:right="339" w:bottom="1440" w:gutter="0" w:footer="0" w:header="0"/>
        </w:sectPr>
      </w:pPr>
    </w:p>
    <w:bookmarkStart w:id="119" w:name="page120"/>
    <w:bookmarkEnd w:id="119"/>
    <w:p>
      <w:pPr>
        <w:jc w:val="both"/>
        <w:spacing w:after="0" w:line="270" w:lineRule="auto"/>
        <w:rPr>
          <w:sz w:val="20"/>
          <w:szCs w:val="20"/>
          <w:color w:val="auto"/>
        </w:rPr>
      </w:pPr>
      <w:r>
        <w:rPr>
          <w:rFonts w:ascii="Times New Roman" w:cs="Times New Roman" w:eastAsia="Times New Roman" w:hAnsi="Times New Roman"/>
          <w:sz w:val="19"/>
          <w:szCs w:val="19"/>
          <w:color w:val="auto"/>
        </w:rPr>
        <w:t>are aware of the event giving rise to the blackout. If, however, a person whose trades are subject to pre-clearance requests permission to trade in the Company’s securities during an event specific blackout, the Compliance Officer will inform the requesting person of the existence of a blackout period, without disclosing the reason for a blackout. Any person made aware of the existence of an event-specific blackout should not disclose the existence of the blackout to any other person. The failure of the Compliance Officer to designate a person as being subject to an event-specific blackout will not relieve that person of the obligation not to trade while aware of material nonpublic information.</w:t>
      </w:r>
    </w:p>
    <w:p>
      <w:pPr>
        <w:spacing w:after="0" w:line="12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Directors and executive officers may also be subject to event-specific blackouts pursuant to the SEC’s regulations regarding blackout trading restrictions, which prohibit certain sales and other transfers by insiders during certain pension plan blackout periods.</w:t>
      </w:r>
    </w:p>
    <w:p>
      <w:pPr>
        <w:spacing w:after="0" w:line="9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Even if a blackout period is not in effect, at no time may you trade in Company securities if you are aware of material nonpublic information about the Company.</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Hardship Exceptions. </w:t>
      </w:r>
      <w:r>
        <w:rPr>
          <w:rFonts w:ascii="Times New Roman" w:cs="Times New Roman" w:eastAsia="Times New Roman" w:hAnsi="Times New Roman"/>
          <w:sz w:val="20"/>
          <w:szCs w:val="20"/>
          <w:color w:val="auto"/>
        </w:rPr>
        <w:t>A covered person who is subject to a quarterly earnings blackout period and who has an unexpected and urgent need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sell Company stock in order to generate cash may, in appropriate circumstances, be permitted to sell Company stock even during the quarterly blackout period. Hardship exceptions may be granted only by the Compliance Officer’s written consent and must be requested at least two days in advance of the proposed trade. A hardship exception may be granted only if the Compliance Officer concludes that the Company’s earnings information for the applicable quarter does not constitute material nonpublic information. Under no circumstances will a hardship exception be granted during an event-specific blackout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Exception for Approved 10b5-1 Plans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Trades by covered persons in the Company’s securities that are executed pursuant to an approved 10b5-1 plan are not subject to the prohibition on trading on the basis of material nonpublic information contained in the Insider Trading Policy or to the restrictions set forth above relating to pre-clearance procedures and blackout periods.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Rule 10b5-1 provides an affirmative defense from insider trading liability under the federal securities laws for trading plans that meet certain requirements. In general, a 10b5-1 plan must be entered into before you are aware of material nonpublic information. Once the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entry, modification or termination of all 10b5-1 plans must be approved by the Compliance Officer and meet the requirements of Rule 10b5-1 and these guidelines. Any 10b5-1 plan, as well as a request to modify or terminate any existing 10b5-1 plan, must be submitted for approval at least two business days prior to the entry into, modification of, or termination of the 10b5-1 plan. No further pre-approval of transactions conducted pursuant to the 10b5-1 plan will be required.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guidelines apply to all 10b5-1 plans:</w:t>
      </w:r>
    </w:p>
    <w:p>
      <w:pPr>
        <w:spacing w:after="0" w:line="162" w:lineRule="exact"/>
        <w:rPr>
          <w:sz w:val="20"/>
          <w:szCs w:val="20"/>
          <w:color w:val="auto"/>
        </w:rPr>
      </w:pPr>
    </w:p>
    <w:p>
      <w:pPr>
        <w:ind w:left="660" w:right="20" w:hanging="328"/>
        <w:spacing w:after="0" w:line="283" w:lineRule="auto"/>
        <w:tabs>
          <w:tab w:leader="none" w:pos="64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not enter into, modify or terminate a 10b5-1 plan during a blackout period or while in possession of material nonpublic information.</w:t>
      </w:r>
    </w:p>
    <w:p>
      <w:pPr>
        <w:spacing w:after="0" w:line="9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an officer or director, then you may not commence sales under a 10b5-1 plan until at least 90 days, or in certain cases up to 120 days, following the date of establishment of the plan; for other employees, this period is reduced to 30 days.</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an officer or director, then any modification of a 10b5-1 plan must not take effect for at least 90 days, or in certain cases up to 120 days, from the date of modification; for other employees, this period is reduced to 30 days.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48" w:right="339" w:bottom="1440" w:gutter="0" w:footer="0" w:header="0"/>
        </w:sectPr>
      </w:pPr>
    </w:p>
    <w:bookmarkStart w:id="120" w:name="page121"/>
    <w:bookmarkEnd w:id="120"/>
    <w:p>
      <w:pPr>
        <w:ind w:left="660" w:hanging="328"/>
        <w:spacing w:after="0" w:line="283" w:lineRule="auto"/>
        <w:tabs>
          <w:tab w:leader="none" w:pos="64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10b5-1 plan is terminated, you must wait at least 30 days before establishing another 10b5-1 plan. Furthermore, if a 10b5-1 plan is terminated, you must wait at least 30 days before trading outside of the 10b5-1 plan.</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 approval by the Compliance Officer under the above guidelines shall be considered the Compliance Officer's or the Company's approval or legal advice that the 10b5-1 plan satisfies the requirements of Rule 10b5-1. It shall be the sole responsibility of the person establishing the 10b5-1 plan to ensure that such plan complies with the requirements of Rule 10b5-1.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Post-Termination Transactions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are aware of material nonpublic information when you terminate employment or services, you may not trade in the Company’s securities until that information has become public or is no longer material. In all other respects, the procedures set forth in this addendum will cease to apply to your transactions in Company securities upon the expiration of any “blackout period” that is applicable to your transactions at the time of your termination of employment or services.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Short-swing Rule</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Directors and officers classified as insiders by the Securities and Exchange Commission have an additional restriction with respect to securities. The SEC’s short-swing trading provisions provide that those classified as insiders must pay to Brady any profit they realize on a purchase and sale, or sale and purchase, of Brady stock within any period of less than six months, whether or not those transactions are related. Purchases and sales may include transactions in stock options, Brady 401k Plan, Employee Stock Purchase Plan, and other Brady stock transactions. These individuals should contact the Compliance Officer to discuss these stock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Company Assistance</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Your compliance with this addendum and the Company’s Insider Trading Policy is of the utmost importance both for you and for the Company. It is your obligation to fully understand the terms and conditions of this addendum and the Company's Insider Trading Policy and to ensure that since becoming subject to them and for future periods in which you are subject to them, you have and will continue to comply with their terms and conditions. If you have any questions about this addendum, the Insider Trading Policy or their application to any proposed transaction, you may obtain additional guidance from the Compliance Officer at 414-358-6608. Do not try to resolve uncertainties on your own, as the rules relating to insider trading are often complex, not always intuitive and carry severe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48" w:right="339" w:bottom="1440" w:gutter="0" w:footer="0" w:header="0"/>
        </w:sectPr>
      </w:pPr>
    </w:p>
    <w:bookmarkStart w:id="121" w:name="page122"/>
    <w:bookmarkEnd w:id="121"/>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Schedule I - Covered Persons</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Representative List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CEO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Treasurer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Accounting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Presidents of Operating Segments (currently Americas &amp; Asia; and Europe &amp; Australia)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Operating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 Human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Counsel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Information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of Investor Relations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direct reports to the CEO and CFO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Insiders as determined - based on knowledge of and access to material, non-public information or systems providing such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Currently, Other Insiders includes, but is not limited to:</w:t>
      </w:r>
    </w:p>
    <w:p>
      <w:pPr>
        <w:spacing w:after="0" w:line="164" w:lineRule="exact"/>
        <w:rPr>
          <w:sz w:val="20"/>
          <w:szCs w:val="20"/>
          <w:color w:val="auto"/>
        </w:rPr>
      </w:pPr>
    </w:p>
    <w:p>
      <w:pPr>
        <w:ind w:left="640" w:hanging="308"/>
        <w:spacing w:after="0"/>
        <w:tabs>
          <w:tab w:leader="none" w:pos="6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who has access to, and knowledge of, consolidated financial results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of total Company</w:t>
      </w:r>
    </w:p>
    <w:p>
      <w:pPr>
        <w:spacing w:after="0" w:line="1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who has access to, and knowledge of, consolidated financial results of either Operating Segment</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who has access to, and knowledge of, consolidated financial results of the Americas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personnel located on Executive Officer floor at the Company’s headquarters in close proximity to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417195</wp:posOffset>
            </wp:positionV>
            <wp:extent cx="36429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Compliance Officer shall regularly review with the business and finance leaders those individuals that have access to or are provided with material nonpublic information and assure that those insiders are included in the blackout notifications and are aware that they are considered persons subject to this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1714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hanging="92"/>
        <w:spacing w:after="0"/>
        <w:tabs>
          <w:tab w:leader="none" w:pos="100" w:val="left"/>
        </w:tabs>
        <w:numPr>
          <w:ilvl w:val="0"/>
          <w:numId w:val="9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“Financial results” includes revenue and/or operating income</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882" w:right="3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558"/>
        </w:trPr>
        <w:tc>
          <w:tcPr>
            <w:tcW w:w="2920" w:type="dxa"/>
            <w:vAlign w:val="bottom"/>
          </w:tcPr>
          <w:p>
            <w:pPr>
              <w:spacing w:after="0"/>
              <w:rPr>
                <w:sz w:val="24"/>
                <w:szCs w:val="24"/>
                <w:color w:val="auto"/>
              </w:rPr>
            </w:pPr>
          </w:p>
        </w:tc>
        <w:tc>
          <w:tcPr>
            <w:tcW w:w="632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SCHEDULE OF SUBSIDIARIES OF BRADY CORPORATION</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920" w:type="dxa"/>
            <w:vAlign w:val="bottom"/>
          </w:tcPr>
          <w:p>
            <w:pPr>
              <w:spacing w:after="0"/>
              <w:rPr>
                <w:sz w:val="20"/>
                <w:szCs w:val="20"/>
                <w:color w:val="auto"/>
              </w:rPr>
            </w:pPr>
          </w:p>
        </w:tc>
        <w:tc>
          <w:tcPr>
            <w:tcW w:w="632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July 31, 2024</w:t>
            </w:r>
          </w:p>
        </w:tc>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80"/>
        </w:trPr>
        <w:tc>
          <w:tcPr>
            <w:tcW w:w="2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State (Country)</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Percentage of Voting</w:t>
            </w: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Name of Company</w:t>
            </w: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of Incorporation</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Securities Owned</w:t>
            </w:r>
          </w:p>
        </w:tc>
      </w:tr>
      <w:tr>
        <w:trPr>
          <w:trHeight w:val="212"/>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Corporation</w:t>
            </w:r>
          </w:p>
        </w:tc>
        <w:tc>
          <w:tcPr>
            <w:tcW w:w="4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Wisconsin</w:t>
            </w:r>
          </w:p>
        </w:tc>
        <w:tc>
          <w:tcPr>
            <w:tcW w:w="1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Parent</w:t>
            </w:r>
          </w:p>
        </w:tc>
        <w:tc>
          <w:tcPr>
            <w:tcW w:w="40" w:type="dxa"/>
            <w:vAlign w:val="bottom"/>
          </w:tcPr>
          <w:p>
            <w:pPr>
              <w:spacing w:after="0"/>
              <w:rPr>
                <w:sz w:val="18"/>
                <w:szCs w:val="18"/>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Holdings Mexico LLC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Code Corporation</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Tricor Direct, Inc.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Champion America</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Clement Communications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Emedco</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Worldmark of Wisconsin Inc.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International Co.</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Worldwide, Inc.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Electromark</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Nordic ID</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Sorbent Products Company</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TISCOR</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Precision Dynamics Corporation</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California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Brady People ID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Dual Core</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IDenticard</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Magicard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PDC IDenticard</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Pharmex</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PromoVision</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TimeMed Labeling Systems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Australia Holdings Pty. Ltd.</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Australia Pty. Ltd.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ID Card Printers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ID Warehouse</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ID Wholesaler</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IDW Technologies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OZ-ID Identification Products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Safety Signs Service</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Scafftag Australia</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 Australia</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Trafalgar First Aid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Visisign</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Carroll Australasia Pty. Ltd.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Precision Dynamics Europe SRL</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 Brady N.V.</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W.H.B. do Brasil Ltda.</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Brazil</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W.H.B. Identification Solutions Inc.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Canada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Brady</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Electromark</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Identicam Systems</w:t>
            </w: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IDenticard Systems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bl>
    <w:p>
      <w:pPr>
        <w:sectPr>
          <w:pgSz w:w="11900" w:h="16838" w:orient="portrait"/>
          <w:cols w:equalWidth="0" w:num="1">
            <w:col w:w="11240"/>
          </w:cols>
          <w:pgMar w:left="320" w:top="1238"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State (Country)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Percentage of Voting</w:t>
            </w:r>
          </w:p>
        </w:tc>
      </w:tr>
      <w:tr>
        <w:trPr>
          <w:trHeight w:val="21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Name of Company</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of Incorporation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Securities Owned</w:t>
            </w:r>
          </w:p>
        </w:tc>
      </w:tr>
      <w:tr>
        <w:trPr>
          <w:trHeight w:val="210"/>
        </w:trPr>
        <w:tc>
          <w:tcPr>
            <w:tcW w:w="7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4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(Beijing) Co. Ltd.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(Xiamen) Co., Ltd.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Investment Management (Shanghai) Co., Ltd.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Printing (Shenzhen) Co., Ltd.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Technology (Wuxi) Co. Ltd.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A/S</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Denmark</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Nordic ID Oyj</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Finland</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Suomen Turvakilvet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Seripaino Hämäläinen</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SPH-Opastepaino.fi</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Braton Europe S.A.R.L.</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France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Groupe S.A.S.</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France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Brady</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Signals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Securimed S.A.S.</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France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GmbH</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Germany</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Brady</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Code</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Nordic ID</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Transposafe</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Bakee Metal Manufactory Company Limited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Hong Kong</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Corporation Hong Kong Limited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Hong Kong</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Company India Private Limited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7"/>
              </w:rPr>
              <w:t>India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Italia, S.r.l.</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Italy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Nippon Brady K.K.</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Japan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Finance Luxembourg S.à.r.l.</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Luxembourg</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Luxembourg S.à.r.l.</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Luxembourg</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S.à.r.l.</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Luxembourg</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Technology SDN. BHD.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Malaysia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Mexico, S. de R.L. de C.V.</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Mexico</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 Brady S. de R.L. de C.V.</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Mexico</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B.V.</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Netherlands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Finance B.V.</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Netherlands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Code Corporation B.V.</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Netherlands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AS</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Norway</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Pervaco AS</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Norway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Polska Sp. Z.o.o.</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Poland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Arabia Manufacturing Company</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Saudi Arabia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Asia Holding Pte. Ltd.</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Singapore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Asia Pacific Pte. Ltd.</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Singapore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Corporation Asia Pte. Ltd.</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Singapore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Singapore Pte. Ltd.</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Singapore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s.r.o.</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Slovakia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Grafo Wiremarkers Pty. Ltd.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South Africa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Wiremarkers Africa Pty. Ltd.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South Africa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bl>
    <w:p>
      <w:pPr>
        <w:sectPr>
          <w:pgSz w:w="11900" w:h="16838" w:orient="portrait"/>
          <w:cols w:equalWidth="0" w:num="1">
            <w:col w:w="11200"/>
          </w:cols>
          <w:pgMar w:left="320" w:top="932" w:right="37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State (Country)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Percentage of Voting</w:t>
            </w:r>
          </w:p>
        </w:tc>
      </w:tr>
      <w:tr>
        <w:trPr>
          <w:trHeight w:val="21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Name of Company</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of Incorporation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Securities Owned</w:t>
            </w:r>
          </w:p>
        </w:tc>
      </w:tr>
      <w:tr>
        <w:trPr>
          <w:trHeight w:val="210"/>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Brady Identificación S.L.U.</w:t>
            </w:r>
          </w:p>
        </w:tc>
        <w:tc>
          <w:tcPr>
            <w:tcW w:w="1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Spain</w:t>
            </w:r>
          </w:p>
        </w:tc>
        <w:tc>
          <w:tcPr>
            <w:tcW w:w="1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AB</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Sweden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Sweden Holding AB</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Sweden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(Thailand) Co., Ltd.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Thailand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Etiket ve Isaretleme Ticaret Ltd. Sirketi</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Turkey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Middle East FZE</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United Arab Emirates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B.I. (UK) Limited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United Kingdom</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Corporation Limited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United Kingdom</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BIG</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Safetyshop</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Scafftag</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Signs and Labels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European Holdings Limited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United Kingdom</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Magicard Holdings Limited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United Kingdom</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Magicard Ltd.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United Kingdom</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Vietnam Company Limited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Vietnam</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bl>
    <w:p>
      <w:pPr>
        <w:sectPr>
          <w:pgSz w:w="11900" w:h="16838" w:orient="portrait"/>
          <w:cols w:equalWidth="0" w:num="1">
            <w:col w:w="11200"/>
          </w:cols>
          <w:pgMar w:left="320" w:top="932" w:right="37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333-38857, 333-92417, 333-137686, 333-177039, 333-212625 and 333-274342 on Form S-8 and Registration Statement No. 333-274341 on Form S-3 of our reports dated September 6, 2024, relating to the financial statements of Brady Corporation and the effectiveness of Brady Corporation’s internal control over financial reporting, appearing in this Annual Report on Form 10-K of Brady Corporation for the year ended July 31,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ectPr>
          <w:pgSz w:w="11900" w:h="16838" w:orient="portrait"/>
          <w:cols w:equalWidth="0" w:num="1">
            <w:col w:w="11240"/>
          </w:cols>
          <w:pgMar w:left="320" w:top="88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Brady Corporation;</w:t>
      </w:r>
    </w:p>
    <w:p>
      <w:pPr>
        <w:spacing w:after="0" w:line="171" w:lineRule="exact"/>
        <w:rPr>
          <w:rFonts w:ascii="Times New Roman" w:cs="Times New Roman" w:eastAsia="Times New Roman" w:hAnsi="Times New Roman"/>
          <w:sz w:val="18"/>
          <w:szCs w:val="18"/>
          <w:color w:val="auto"/>
        </w:rPr>
      </w:pPr>
    </w:p>
    <w:p>
      <w:pPr>
        <w:ind w:right="20" w:firstLine="453"/>
        <w:spacing w:after="0" w:line="282" w:lineRule="auto"/>
        <w:tabs>
          <w:tab w:leader="none" w:pos="70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71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firstLine="453"/>
        <w:spacing w:after="0" w:line="266" w:lineRule="auto"/>
        <w:tabs>
          <w:tab w:leader="none" w:pos="65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1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20" w:firstLine="453"/>
        <w:spacing w:after="0" w:line="282" w:lineRule="auto"/>
        <w:tabs>
          <w:tab w:leader="none" w:pos="6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6,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Russell R. Shaller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Brady Corporation;</w:t>
      </w:r>
    </w:p>
    <w:p>
      <w:pPr>
        <w:spacing w:after="0" w:line="171" w:lineRule="exact"/>
        <w:rPr>
          <w:rFonts w:ascii="Times New Roman" w:cs="Times New Roman" w:eastAsia="Times New Roman" w:hAnsi="Times New Roman"/>
          <w:sz w:val="18"/>
          <w:szCs w:val="18"/>
          <w:color w:val="auto"/>
        </w:rPr>
      </w:pPr>
    </w:p>
    <w:p>
      <w:pPr>
        <w:ind w:right="20" w:firstLine="453"/>
        <w:spacing w:after="0" w:line="282" w:lineRule="auto"/>
        <w:tabs>
          <w:tab w:leader="none" w:pos="70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71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firstLine="453"/>
        <w:spacing w:after="0" w:line="266" w:lineRule="auto"/>
        <w:tabs>
          <w:tab w:leader="none" w:pos="65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1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20" w:firstLine="453"/>
        <w:spacing w:after="0" w:line="282" w:lineRule="auto"/>
        <w:tabs>
          <w:tab w:leader="none" w:pos="6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6,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 E. Thornton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ectPr>
          <w:pgSz w:w="11900" w:h="16838" w:orient="portrait"/>
          <w:cols w:equalWidth="0" w:num="1">
            <w:col w:w="11240"/>
          </w:cols>
          <w:pgMar w:left="320" w:top="88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right="20" w:firstLine="453"/>
        <w:spacing w:after="0" w:line="282" w:lineRule="auto"/>
        <w:tabs>
          <w:tab w:leader="none" w:pos="71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July 31, 2024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6,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Russell R. Shaller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her knowledge that:</w:t>
      </w:r>
    </w:p>
    <w:p>
      <w:pPr>
        <w:spacing w:after="0" w:line="40" w:lineRule="exact"/>
        <w:rPr>
          <w:sz w:val="20"/>
          <w:szCs w:val="20"/>
          <w:color w:val="auto"/>
        </w:rPr>
      </w:pPr>
    </w:p>
    <w:p>
      <w:pPr>
        <w:ind w:right="20" w:firstLine="453"/>
        <w:spacing w:after="0" w:line="282" w:lineRule="auto"/>
        <w:tabs>
          <w:tab w:leader="none" w:pos="71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July 31, 2024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6,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 E. Thornton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97</w:t>
      </w: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Brady Corporation Incentive Recovery Policy</w:t>
      </w:r>
    </w:p>
    <w:p>
      <w:pPr>
        <w:spacing w:after="0" w:line="242" w:lineRule="exact"/>
        <w:rPr>
          <w:sz w:val="20"/>
          <w:szCs w:val="20"/>
          <w:color w:val="auto"/>
        </w:rPr>
      </w:pPr>
    </w:p>
    <w:p>
      <w:pPr>
        <w:jc w:val="both"/>
        <w:ind w:left="328" w:hanging="328"/>
        <w:spacing w:after="0" w:line="251" w:lineRule="auto"/>
        <w:tabs>
          <w:tab w:leader="none" w:pos="32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 The purpose of this Recovery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is to describe the circumstances under which Brady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required to recover certain compensation paid to certain employees. Any references in compensation plans, agreements, equity awards or other policies to the Company’s “recoupment”, “clawback” or similarly-named policy shall be deemed to refer to this Policy with respect to Incentive-Based Compensation Received on or after the Effective Date. With respect to Incentive-Based Compensation Received prior to the Effective Date, such references to the Company’s “recoupment”, “clawback” or similarly-named policy in compensation plans, agreements, equity awards or other policies shall be deemed to refer to the Company’s “recoupment,” “clawback” or similarly-named policy, if any, in effect prior to the Effective Date.</w:t>
      </w:r>
    </w:p>
    <w:p>
      <w:pPr>
        <w:spacing w:after="0" w:line="138" w:lineRule="exact"/>
        <w:rPr>
          <w:rFonts w:ascii="Times New Roman" w:cs="Times New Roman" w:eastAsia="Times New Roman" w:hAnsi="Times New Roman"/>
          <w:sz w:val="20"/>
          <w:szCs w:val="20"/>
          <w:color w:val="auto"/>
        </w:rPr>
      </w:pPr>
    </w:p>
    <w:p>
      <w:pPr>
        <w:ind w:left="328" w:right="20" w:hanging="328"/>
        <w:spacing w:after="0" w:line="269" w:lineRule="auto"/>
        <w:tabs>
          <w:tab w:leader="none" w:pos="32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Recovery of Compensation</w:t>
      </w:r>
      <w:r>
        <w:rPr>
          <w:rFonts w:ascii="Times New Roman" w:cs="Times New Roman" w:eastAsia="Times New Roman" w:hAnsi="Times New Roman"/>
          <w:sz w:val="20"/>
          <w:szCs w:val="20"/>
          <w:color w:val="auto"/>
        </w:rPr>
        <w:t>. In the event that the Company is required to prepare an Accounting Restatement, the Company shall recover reasonably promptly the amount of Erroneously Awarded Compensation.</w:t>
      </w:r>
    </w:p>
    <w:p>
      <w:pPr>
        <w:spacing w:after="0" w:line="118"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Policy, the following terms, when capitalized, shall have the meanings set forth below:</w:t>
      </w:r>
    </w:p>
    <w:p>
      <w:pPr>
        <w:spacing w:after="0" w:line="242" w:lineRule="exact"/>
        <w:rPr>
          <w:rFonts w:ascii="Times New Roman" w:cs="Times New Roman" w:eastAsia="Times New Roman" w:hAnsi="Times New Roman"/>
          <w:sz w:val="20"/>
          <w:szCs w:val="20"/>
          <w:color w:val="auto"/>
        </w:rPr>
      </w:pPr>
    </w:p>
    <w:p>
      <w:pPr>
        <w:jc w:val="both"/>
        <w:ind w:left="968" w:hanging="644"/>
        <w:spacing w:after="0" w:line="258" w:lineRule="auto"/>
        <w:tabs>
          <w:tab w:leader="none" w:pos="95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w:t>
      </w:r>
      <w:r>
        <w:rPr>
          <w:rFonts w:ascii="Times New Roman" w:cs="Times New Roman" w:eastAsia="Times New Roman" w:hAnsi="Times New Roman"/>
          <w:sz w:val="20"/>
          <w:szCs w:val="20"/>
          <w:color w:val="auto"/>
        </w:rPr>
        <w:t>” shall mean any accounting restatement required due to material noncompliance of the Company with any financial reporting requirement under the securities laws, including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31" w:lineRule="exact"/>
        <w:rPr>
          <w:rFonts w:ascii="Times New Roman" w:cs="Times New Roman" w:eastAsia="Times New Roman" w:hAnsi="Times New Roman"/>
          <w:sz w:val="20"/>
          <w:szCs w:val="20"/>
          <w:color w:val="auto"/>
        </w:rPr>
      </w:pPr>
    </w:p>
    <w:p>
      <w:pPr>
        <w:jc w:val="both"/>
        <w:ind w:left="968" w:hanging="644"/>
        <w:spacing w:after="0" w:line="253" w:lineRule="auto"/>
        <w:tabs>
          <w:tab w:leader="none" w:pos="956"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Officer</w:t>
      </w:r>
      <w:r>
        <w:rPr>
          <w:rFonts w:ascii="Times New Roman" w:cs="Times New Roman" w:eastAsia="Times New Roman" w:hAnsi="Times New Roman"/>
          <w:sz w:val="20"/>
          <w:szCs w:val="20"/>
          <w:color w:val="auto"/>
        </w:rPr>
        <w:t>” 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who performs similar significant policy-making functions for the Company. For the avoidance of doubt, a person who served as a Covered Officer during the periods set forth in clauses (A) and (B) of the preceding sentence shall continue to be subject to this Policy even after such person’s service as a Covered Officer has ended.</w:t>
      </w:r>
    </w:p>
    <w:p>
      <w:pPr>
        <w:spacing w:after="0" w:line="124" w:lineRule="exact"/>
        <w:rPr>
          <w:rFonts w:ascii="Times New Roman" w:cs="Times New Roman" w:eastAsia="Times New Roman" w:hAnsi="Times New Roman"/>
          <w:sz w:val="20"/>
          <w:szCs w:val="20"/>
          <w:color w:val="auto"/>
        </w:rPr>
      </w:pPr>
    </w:p>
    <w:p>
      <w:pPr>
        <w:ind w:left="968" w:hanging="644"/>
        <w:spacing w:after="0"/>
        <w:tabs>
          <w:tab w:leader="none" w:pos="96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shall mean October 2, 2023.</w:t>
      </w:r>
    </w:p>
    <w:p>
      <w:pPr>
        <w:spacing w:after="0" w:line="175" w:lineRule="exact"/>
        <w:rPr>
          <w:rFonts w:ascii="Times New Roman" w:cs="Times New Roman" w:eastAsia="Times New Roman" w:hAnsi="Times New Roman"/>
          <w:sz w:val="20"/>
          <w:szCs w:val="20"/>
          <w:color w:val="auto"/>
        </w:rPr>
      </w:pPr>
    </w:p>
    <w:p>
      <w:pPr>
        <w:jc w:val="both"/>
        <w:ind w:left="968" w:hanging="644"/>
        <w:spacing w:after="0" w:line="253" w:lineRule="auto"/>
        <w:tabs>
          <w:tab w:leader="none" w:pos="956"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shall mean the excess of (i) the amount of Incentive-Based Compensation Received by a person (A) after beginning service as a Covered Officer, (B) who served as a Covered Officer at any time during the performance period for that Incentive-Based Compensation, (C) while the Company has a class of securities listed on a national securities exchange or a national securities association and (D) during the Recovery Period; over (ii) the Recalculated Compensation.</w:t>
      </w:r>
    </w:p>
    <w:p>
      <w:pPr>
        <w:spacing w:after="0" w:line="137" w:lineRule="exact"/>
        <w:rPr>
          <w:rFonts w:ascii="Times New Roman" w:cs="Times New Roman" w:eastAsia="Times New Roman" w:hAnsi="Times New Roman"/>
          <w:sz w:val="20"/>
          <w:szCs w:val="20"/>
          <w:color w:val="auto"/>
        </w:rPr>
      </w:pPr>
    </w:p>
    <w:p>
      <w:pPr>
        <w:ind w:left="968" w:right="20" w:hanging="644"/>
        <w:spacing w:after="0" w:line="283" w:lineRule="auto"/>
        <w:tabs>
          <w:tab w:leader="none" w:pos="95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Fraud</w:t>
      </w:r>
      <w:r>
        <w:rPr>
          <w:rFonts w:ascii="Times New Roman" w:cs="Times New Roman" w:eastAsia="Times New Roman" w:hAnsi="Times New Roman"/>
          <w:sz w:val="20"/>
          <w:szCs w:val="20"/>
          <w:color w:val="auto"/>
        </w:rPr>
        <w:t>” shall mean any fraud, theft, misappropriation, embezzlement or dishonesty to the material detriment of the Company.</w:t>
      </w:r>
    </w:p>
    <w:p>
      <w:pPr>
        <w:spacing w:after="0" w:line="92" w:lineRule="exact"/>
        <w:rPr>
          <w:rFonts w:ascii="Times New Roman" w:cs="Times New Roman" w:eastAsia="Times New Roman" w:hAnsi="Times New Roman"/>
          <w:sz w:val="20"/>
          <w:szCs w:val="20"/>
          <w:color w:val="auto"/>
        </w:rPr>
      </w:pPr>
    </w:p>
    <w:p>
      <w:pPr>
        <w:jc w:val="both"/>
        <w:ind w:left="968" w:hanging="644"/>
        <w:spacing w:after="0" w:line="257" w:lineRule="auto"/>
        <w:tabs>
          <w:tab w:leader="none" w:pos="963"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shall mean any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and any measures that are derived wholly or in part from such measures, regardless of whether such measure is presented within the financial statements or included in a filing with the Securities and Exchange Commission. Each of stock</w:t>
      </w:r>
    </w:p>
    <w:p>
      <w:pPr>
        <w:sectPr>
          <w:pgSz w:w="11900" w:h="16838" w:orient="portrait"/>
          <w:cols w:equalWidth="0" w:num="1">
            <w:col w:w="10908"/>
          </w:cols>
          <w:pgMar w:left="652" w:top="882" w:right="339" w:bottom="1440" w:gutter="0" w:footer="0" w:header="0"/>
        </w:sectPr>
      </w:pPr>
    </w:p>
    <w:bookmarkStart w:id="131" w:name="page132"/>
    <w:bookmarkEnd w:id="131"/>
    <w:p>
      <w:pPr>
        <w:jc w:val="both"/>
        <w:ind w:left="968"/>
        <w:spacing w:after="0" w:line="276" w:lineRule="auto"/>
        <w:rPr>
          <w:sz w:val="20"/>
          <w:szCs w:val="20"/>
          <w:color w:val="auto"/>
        </w:rPr>
      </w:pPr>
      <w:r>
        <w:rPr>
          <w:rFonts w:ascii="Times New Roman" w:cs="Times New Roman" w:eastAsia="Times New Roman" w:hAnsi="Times New Roman"/>
          <w:sz w:val="19"/>
          <w:szCs w:val="19"/>
          <w:color w:val="auto"/>
        </w:rPr>
        <w:t>price and total shareholder return is a financial reporting measure. For the avoidance of doubt, incentive-based compensation subject to this Policy does not include stock options, restricted stock, restricted stock units or similar equity-based awards for which the grant is not contingent upon achieving any financial reporting measure performance goal and vesting is contingent solely upon completion of a specified employment period and/or attaining one or more non-financial reporting measures.</w:t>
      </w:r>
    </w:p>
    <w:p>
      <w:pPr>
        <w:spacing w:after="0" w:line="102" w:lineRule="exact"/>
        <w:rPr>
          <w:sz w:val="20"/>
          <w:szCs w:val="20"/>
          <w:color w:val="auto"/>
        </w:rPr>
      </w:pPr>
    </w:p>
    <w:p>
      <w:pPr>
        <w:jc w:val="both"/>
        <w:ind w:left="968" w:hanging="644"/>
        <w:spacing w:after="0" w:line="253" w:lineRule="auto"/>
        <w:tabs>
          <w:tab w:leader="none" w:pos="95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Recalculated Compensation</w:t>
      </w:r>
      <w:r>
        <w:rPr>
          <w:rFonts w:ascii="Times New Roman" w:cs="Times New Roman" w:eastAsia="Times New Roman" w:hAnsi="Times New Roman"/>
          <w:sz w:val="20"/>
          <w:szCs w:val="20"/>
          <w:color w:val="auto"/>
        </w:rPr>
        <w:t>” shall mean the amount of Incentive-Based Compensation that otherwise would have been Received had it been determined based on the restated amounts in the Accounting Restatement, computed without regard to any taxes paid. For Incentive-Based Compensation based on stock price or total shareholder return, where the amount of the Erroneously Awarded Compensation is not subject to mathematical recalculation directly from the information in an Accounting Restatement, the amount of the Recalculated Compensation must be based on a reasonable estimate of the effect of the Accounting Restatement on the stock price or total shareholder return, as the case may be, on the compensation Received. The Company must maintain documentation of the determination of that reasonable estimate and provide such documentation to the national securities exchange or association on which its securities are listed.</w:t>
      </w:r>
    </w:p>
    <w:p>
      <w:pPr>
        <w:spacing w:after="0" w:line="126" w:lineRule="exact"/>
        <w:rPr>
          <w:rFonts w:ascii="Times New Roman" w:cs="Times New Roman" w:eastAsia="Times New Roman" w:hAnsi="Times New Roman"/>
          <w:sz w:val="20"/>
          <w:szCs w:val="20"/>
          <w:color w:val="auto"/>
        </w:rPr>
      </w:pPr>
    </w:p>
    <w:p>
      <w:pPr>
        <w:jc w:val="both"/>
        <w:ind w:left="968" w:hanging="644"/>
        <w:spacing w:after="0" w:line="261" w:lineRule="auto"/>
        <w:tabs>
          <w:tab w:leader="none" w:pos="95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Incentive-Based Compensation is deemed “</w:t>
      </w:r>
      <w:r>
        <w:rPr>
          <w:rFonts w:ascii="Times New Roman" w:cs="Times New Roman" w:eastAsia="Times New Roman" w:hAnsi="Times New Roman"/>
          <w:sz w:val="20"/>
          <w:szCs w:val="20"/>
          <w:u w:val="single" w:color="auto"/>
          <w:color w:val="auto"/>
        </w:rPr>
        <w:t>Received</w:t>
      </w:r>
      <w:r>
        <w:rPr>
          <w:rFonts w:ascii="Times New Roman" w:cs="Times New Roman" w:eastAsia="Times New Roman" w:hAnsi="Times New Roman"/>
          <w:sz w:val="20"/>
          <w:szCs w:val="20"/>
          <w:color w:val="auto"/>
        </w:rPr>
        <w:t>” in the Company’s fiscal period during which the financial reporting measure specified in the award of such Incentive-Based Compensation is attained, even if the payment or grant of the Incentive-Based Compensation occurs after the end of that period.</w:t>
      </w:r>
    </w:p>
    <w:p>
      <w:pPr>
        <w:spacing w:after="0" w:line="127" w:lineRule="exact"/>
        <w:rPr>
          <w:rFonts w:ascii="Times New Roman" w:cs="Times New Roman" w:eastAsia="Times New Roman" w:hAnsi="Times New Roman"/>
          <w:sz w:val="20"/>
          <w:szCs w:val="20"/>
          <w:color w:val="auto"/>
        </w:rPr>
      </w:pPr>
    </w:p>
    <w:p>
      <w:pPr>
        <w:ind w:left="968" w:hanging="644"/>
        <w:spacing w:after="0"/>
        <w:tabs>
          <w:tab w:leader="none" w:pos="968"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means any participant in any of the Company’s incentive arrangements.</w:t>
      </w:r>
    </w:p>
    <w:p>
      <w:pPr>
        <w:spacing w:after="0" w:line="175" w:lineRule="exact"/>
        <w:rPr>
          <w:rFonts w:ascii="Times New Roman" w:cs="Times New Roman" w:eastAsia="Times New Roman" w:hAnsi="Times New Roman"/>
          <w:sz w:val="20"/>
          <w:szCs w:val="20"/>
          <w:color w:val="auto"/>
        </w:rPr>
      </w:pPr>
    </w:p>
    <w:p>
      <w:pPr>
        <w:jc w:val="both"/>
        <w:ind w:left="968" w:hanging="644"/>
        <w:spacing w:after="0" w:line="249" w:lineRule="auto"/>
        <w:tabs>
          <w:tab w:leader="none" w:pos="96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Recovery Period</w:t>
      </w:r>
      <w:r>
        <w:rPr>
          <w:rFonts w:ascii="Times New Roman" w:cs="Times New Roman" w:eastAsia="Times New Roman" w:hAnsi="Times New Roman"/>
          <w:sz w:val="20"/>
          <w:szCs w:val="20"/>
          <w:color w:val="auto"/>
        </w:rPr>
        <w:t>” shall mean the three completed fiscal years of the Company immediately preceding the date the Company is required to prepare an Accounting Restatement; provided that the Recovery Period shall not begin before the Effective Date. For purposes of determining the Recovery Period, the Company is considered to be “required to prepare an Accounting Restatement” on the earlier to occur of: (i) the date the Company’s Board of Directors, a committee thereof, or the Company’s authorized officers conclude, or reasonably should have concluded, that the Company is required to prepare an Accounting Restatement, or (ii) the date a court, regulator, or other legally authorized body directs the Company to prepare an Accounting Restatement. If the Company changes its fiscal year, then the transition period within or immediately following such three completed fiscal years also shall be included in the Recovery Period, provided that if the transition period between the last day of the Company’s prior fiscal year end and the first day of its new fiscal year comprises a period of nine to 12 months, then such transition period shall instead be deemed one of the three completed fiscal years and shall not extend the length of the Recovery Period.</w:t>
      </w:r>
    </w:p>
    <w:p>
      <w:pPr>
        <w:spacing w:after="0" w:line="223" w:lineRule="exact"/>
        <w:rPr>
          <w:rFonts w:ascii="Times New Roman" w:cs="Times New Roman" w:eastAsia="Times New Roman" w:hAnsi="Times New Roman"/>
          <w:sz w:val="20"/>
          <w:szCs w:val="20"/>
          <w:color w:val="auto"/>
        </w:rPr>
      </w:pPr>
    </w:p>
    <w:p>
      <w:pPr>
        <w:jc w:val="both"/>
        <w:ind w:left="328" w:hanging="328"/>
        <w:spacing w:after="0" w:line="261" w:lineRule="auto"/>
        <w:tabs>
          <w:tab w:leader="none" w:pos="32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Exceptions</w:t>
      </w:r>
      <w:r>
        <w:rPr>
          <w:rFonts w:ascii="Times New Roman" w:cs="Times New Roman" w:eastAsia="Times New Roman" w:hAnsi="Times New Roman"/>
          <w:sz w:val="20"/>
          <w:szCs w:val="20"/>
          <w:color w:val="auto"/>
        </w:rPr>
        <w:t>. Notwithstanding anything to the contrary in this Policy, recovery of Erroneously Awarded Compensation will not be required to the extent the Company’s Management Development and Compensation Committee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has made a determination that such recovery would be impracticable and one of the following conditions have been satisfied:</w:t>
      </w:r>
    </w:p>
    <w:p>
      <w:pPr>
        <w:spacing w:after="0" w:line="127" w:lineRule="exact"/>
        <w:rPr>
          <w:rFonts w:ascii="Times New Roman" w:cs="Times New Roman" w:eastAsia="Times New Roman" w:hAnsi="Times New Roman"/>
          <w:sz w:val="20"/>
          <w:szCs w:val="20"/>
          <w:color w:val="auto"/>
        </w:rPr>
      </w:pPr>
    </w:p>
    <w:p>
      <w:pPr>
        <w:jc w:val="both"/>
        <w:ind w:left="968" w:hanging="644"/>
        <w:spacing w:after="0" w:line="253" w:lineRule="auto"/>
        <w:tabs>
          <w:tab w:leader="none" w:pos="95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to be recovered; provided that, before concluding that it would be impracticable to recover any amount of Erroneously Awarded Compensation that was Incentive-Based Compensation based on the expense of enforcement, the Company must make a reasonable attempt to recover such Erroneously Awarded Compensation, document such reasonable attempt(s) to recover, and provide that documentation to the national securities exchange or association on which its securities are listed.</w:t>
      </w:r>
    </w:p>
    <w:p>
      <w:pPr>
        <w:spacing w:after="0" w:line="137" w:lineRule="exact"/>
        <w:rPr>
          <w:rFonts w:ascii="Times New Roman" w:cs="Times New Roman" w:eastAsia="Times New Roman" w:hAnsi="Times New Roman"/>
          <w:sz w:val="20"/>
          <w:szCs w:val="20"/>
          <w:color w:val="auto"/>
        </w:rPr>
      </w:pPr>
    </w:p>
    <w:p>
      <w:pPr>
        <w:ind w:left="968" w:hanging="644"/>
        <w:spacing w:after="0" w:line="269" w:lineRule="auto"/>
        <w:tabs>
          <w:tab w:leader="none" w:pos="956"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with respect to Incentive-Based Compensation, that law was adopted prior to November 28, 2022; provided that, before concluding that it would be</w:t>
      </w:r>
    </w:p>
    <w:p>
      <w:pPr>
        <w:sectPr>
          <w:pgSz w:w="11900" w:h="16838" w:orient="portrait"/>
          <w:cols w:equalWidth="0" w:num="1">
            <w:col w:w="10908"/>
          </w:cols>
          <w:pgMar w:left="652" w:top="1048" w:right="339" w:bottom="1440" w:gutter="0" w:footer="0" w:header="0"/>
        </w:sectPr>
      </w:pPr>
    </w:p>
    <w:bookmarkStart w:id="132" w:name="page133"/>
    <w:bookmarkEnd w:id="132"/>
    <w:p>
      <w:pPr>
        <w:jc w:val="both"/>
        <w:ind w:left="968"/>
        <w:spacing w:after="0" w:line="258" w:lineRule="auto"/>
        <w:rPr>
          <w:sz w:val="20"/>
          <w:szCs w:val="20"/>
          <w:color w:val="auto"/>
        </w:rPr>
      </w:pPr>
      <w:r>
        <w:rPr>
          <w:rFonts w:ascii="Times New Roman" w:cs="Times New Roman" w:eastAsia="Times New Roman" w:hAnsi="Times New Roman"/>
          <w:sz w:val="20"/>
          <w:szCs w:val="20"/>
          <w:color w:val="auto"/>
        </w:rPr>
        <w:t>impracticable to recover any amount of Erroneously Awarded Compensation that was Incentive-Based Compensation based on violation of home country law, the Company must obtain an opinion of home country counsel, acceptable to the national securities exchange or association on which its securities are listed, that recovery would result in such a violation, and must provide such opinion to the exchange or association.</w:t>
      </w:r>
    </w:p>
    <w:p>
      <w:pPr>
        <w:spacing w:after="0" w:line="118" w:lineRule="exact"/>
        <w:rPr>
          <w:sz w:val="20"/>
          <w:szCs w:val="20"/>
          <w:color w:val="auto"/>
        </w:rPr>
      </w:pPr>
    </w:p>
    <w:p>
      <w:pPr>
        <w:jc w:val="both"/>
        <w:ind w:left="968" w:hanging="644"/>
        <w:spacing w:after="0" w:line="268" w:lineRule="auto"/>
        <w:tabs>
          <w:tab w:leader="none" w:pos="95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88"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Recovery</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968" w:hanging="644"/>
        <w:spacing w:after="0" w:line="250" w:lineRule="auto"/>
        <w:tabs>
          <w:tab w:leader="none" w:pos="95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other actions permitted by law or contract, the Company may take any or all of the following actions to recover any Erroneously Awarded Compensation: (a) require the Covered Officer to repay such amount; (b) offset such amount from any other compensation owed by the Company or any of its affiliates to the Covered Officer, regardless of whether the contract or other documentation governing such other compensation specifically permits or specifically prohibits such offsets; and (c) subject to Section 4(c), to the extent the Erroneously Awarded Compensation was deferred into a plan of deferred compensation, whether or not qualified, forfeit such amount (as well as the earnings on such amounts) from the Covered Officer’s balance in such plan, regardless of whether the plan specifically permits or specifically prohibits such forfeiture. If the Erroneously Awarded Compensation consists of shares of the Company’s common stock, and the Covered Officer still owns such shares, then the Company may satisfy its recovery obligations by requiring the Covered Officer to transfer such shares back to the Company.</w:t>
      </w:r>
    </w:p>
    <w:p>
      <w:pPr>
        <w:spacing w:after="0" w:line="142" w:lineRule="exact"/>
        <w:rPr>
          <w:rFonts w:ascii="Times New Roman" w:cs="Times New Roman" w:eastAsia="Times New Roman" w:hAnsi="Times New Roman"/>
          <w:sz w:val="20"/>
          <w:szCs w:val="20"/>
          <w:color w:val="auto"/>
        </w:rPr>
      </w:pPr>
    </w:p>
    <w:p>
      <w:pPr>
        <w:jc w:val="both"/>
        <w:ind w:left="968" w:hanging="644"/>
        <w:spacing w:after="0" w:line="253" w:lineRule="auto"/>
        <w:tabs>
          <w:tab w:leader="none" w:pos="956"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Committee determines that a Participant has committed Fraud, the Committee may require the Participant to reimburse the Company for all, or a portion of, any compensation paid during the period in which the fraud, theft, misappropriation, embezzlement or dishonesty occurred, and remit to the Company any profits realized from the sale of the Company’s common stock during such period. In addition, the Committee may also cancel and cause the Participant to forfeit any outstanding awards held by the Participant regardless of whether or not such awards are exercisable.</w:t>
      </w:r>
    </w:p>
    <w:p>
      <w:pPr>
        <w:spacing w:after="0" w:line="218"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968" w:hanging="644"/>
        <w:spacing w:after="0" w:line="258" w:lineRule="auto"/>
        <w:tabs>
          <w:tab w:leader="none" w:pos="95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shall be administered and interpreted, and may be amended from time to time, by the Committee in its sole discretion in compliance with the applicable listing standards of the national securities exchange or association on which the Company’s securities are listed, and the determinations of the board or such committee shall be binding on all Covered Officers.</w:t>
      </w:r>
    </w:p>
    <w:p>
      <w:pPr>
        <w:spacing w:after="0" w:line="131" w:lineRule="exact"/>
        <w:rPr>
          <w:rFonts w:ascii="Times New Roman" w:cs="Times New Roman" w:eastAsia="Times New Roman" w:hAnsi="Times New Roman"/>
          <w:sz w:val="20"/>
          <w:szCs w:val="20"/>
          <w:color w:val="auto"/>
        </w:rPr>
      </w:pPr>
    </w:p>
    <w:p>
      <w:pPr>
        <w:ind w:left="968" w:hanging="644"/>
        <w:spacing w:after="0"/>
        <w:tabs>
          <w:tab w:leader="none" w:pos="96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indemnify any Covered Officer against the loss of Erroneously Awarded Compensation.</w:t>
      </w:r>
    </w:p>
    <w:p>
      <w:pPr>
        <w:spacing w:after="0" w:line="161" w:lineRule="exact"/>
        <w:rPr>
          <w:rFonts w:ascii="Times New Roman" w:cs="Times New Roman" w:eastAsia="Times New Roman" w:hAnsi="Times New Roman"/>
          <w:sz w:val="20"/>
          <w:szCs w:val="20"/>
          <w:color w:val="auto"/>
        </w:rPr>
      </w:pPr>
    </w:p>
    <w:p>
      <w:pPr>
        <w:ind w:left="968" w:hanging="644"/>
        <w:spacing w:after="0" w:line="283" w:lineRule="auto"/>
        <w:tabs>
          <w:tab w:leader="none" w:pos="95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file all disclosures with respect to this Policy in accordance with the requirements of the Federal securities laws, including disclosure required by the Securities and Exchange Commission filings.</w:t>
      </w:r>
    </w:p>
    <w:p>
      <w:pPr>
        <w:spacing w:after="0" w:line="92" w:lineRule="exact"/>
        <w:rPr>
          <w:rFonts w:ascii="Times New Roman" w:cs="Times New Roman" w:eastAsia="Times New Roman" w:hAnsi="Times New Roman"/>
          <w:sz w:val="20"/>
          <w:szCs w:val="20"/>
          <w:color w:val="auto"/>
        </w:rPr>
      </w:pPr>
    </w:p>
    <w:p>
      <w:pPr>
        <w:ind w:left="968" w:hanging="644"/>
        <w:spacing w:after="0" w:line="283" w:lineRule="auto"/>
        <w:tabs>
          <w:tab w:leader="none" w:pos="956"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 to recovery under this Policy shall be in addition to, and not in lieu of, any other rights of recovery that may be available to the Company.</w:t>
      </w:r>
    </w:p>
    <w:sectPr>
      <w:pgSz w:w="11900" w:h="16838" w:orient="portrait"/>
      <w:cols w:equalWidth="0" w:num="1">
        <w:col w:w="10908"/>
      </w:cols>
      <w:pgMar w:left="652" w:top="10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lvl w:ilvl="1">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1)"/>
      <w:numFmt w:val="lowerRoman"/>
      <w:start w:val="3"/>
    </w:lvl>
  </w:abstractNum>
  <w:abstractNum w:abstractNumId="12">
    <w:nsid w:val="61574095"/>
    <w:multiLevelType w:val="hybridMultilevel"/>
    <w:lvl w:ilvl="0">
      <w:lvlJc w:val="left"/>
      <w:lvlText w:val="(%1)"/>
      <w:numFmt w:val="lowerRoman"/>
      <w:start w:val="2"/>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1)"/>
      <w:numFmt w:val="decimal"/>
      <w:start w:val="1"/>
    </w:lvl>
  </w:abstractNum>
  <w:abstractNum w:abstractNumId="15">
    <w:nsid w:val="579BE4F1"/>
    <w:multiLevelType w:val="hybridMultilevel"/>
    <w:lvl w:ilvl="0">
      <w:lvlJc w:val="left"/>
      <w:lvlText w:val="%1."/>
      <w:numFmt w:val="decimal"/>
      <w:start w:val="10"/>
    </w:lvl>
    <w:lvl w:ilvl="1">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1)"/>
      <w:numFmt w:val="decimal"/>
      <w:start w:val="1"/>
    </w:lvl>
  </w:abstractNum>
  <w:abstractNum w:abstractNumId="27">
    <w:nsid w:val="15014ACB"/>
    <w:multiLevelType w:val="hybridMultilevel"/>
    <w:lvl w:ilvl="0">
      <w:lvlJc w:val="left"/>
      <w:lvlText w:val="&amp;"/>
      <w:numFmt w:val="bullet"/>
      <w:start w:val="1"/>
    </w:lvl>
  </w:abstractNum>
  <w:abstractNum w:abstractNumId="28">
    <w:nsid w:val="5F5E7FD0"/>
    <w:multiLevelType w:val="hybridMultilevel"/>
    <w:lvl w:ilvl="0">
      <w:lvlJc w:val="left"/>
      <w:lvlText w:val="(%1)"/>
      <w:numFmt w:val="decimal"/>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1)"/>
      <w:numFmt w:val="lowerRoman"/>
      <w:start w:val="1"/>
    </w:lvl>
  </w:abstractNum>
  <w:abstractNum w:abstractNumId="37">
    <w:nsid w:val="540A471C"/>
    <w:multiLevelType w:val="hybridMultilevel"/>
    <w:lvl w:ilvl="0">
      <w:lvlJc w:val="left"/>
      <w:lvlText w:val="(%1)"/>
      <w:numFmt w:val="decimal"/>
      <w:start w:val="1"/>
    </w:lvl>
  </w:abstractNum>
  <w:abstractNum w:abstractNumId="38">
    <w:nsid w:val="7BD3EE7B"/>
    <w:multiLevelType w:val="hybridMultilevel"/>
    <w:lvl w:ilvl="0">
      <w:lvlJc w:val="left"/>
      <w:lvlText w:val="(%1)"/>
      <w:numFmt w:val="decimal"/>
      <w:start w:val="1"/>
    </w:lvl>
  </w:abstractNum>
  <w:abstractNum w:abstractNumId="39">
    <w:nsid w:val="51D9C564"/>
    <w:multiLevelType w:val="hybridMultilevel"/>
    <w:lvl w:ilvl="0">
      <w:lvlJc w:val="left"/>
      <w:lvlText w:val="(%1)"/>
      <w:numFmt w:val="decimal"/>
      <w:start w:val="4"/>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1)"/>
      <w:numFmt w:val="decimal"/>
      <w:start w:val="12"/>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1)"/>
      <w:numFmt w:val="decimal"/>
      <w:start w:val="1"/>
    </w:lvl>
  </w:abstractNum>
  <w:abstractNum w:abstractNumId="45">
    <w:nsid w:val="8F2B15E"/>
    <w:multiLevelType w:val="hybridMultilevel"/>
    <w:lvl w:ilvl="0">
      <w:lvlJc w:val="left"/>
      <w:lvlText w:val="(%1)"/>
      <w:numFmt w:val="decimal"/>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decimal"/>
      <w:start w:val="4"/>
    </w:lvl>
  </w:abstractNum>
  <w:abstractNum w:abstractNumId="49">
    <w:nsid w:val="4962813B"/>
    <w:multiLevelType w:val="hybridMultilevel"/>
    <w:lvl w:ilvl="0">
      <w:lvlJc w:val="left"/>
      <w:lvlText w:val="(%1)"/>
      <w:numFmt w:val="decimal"/>
      <w:start w:val="1"/>
    </w:lvl>
  </w:abstractNum>
  <w:abstractNum w:abstractNumId="50">
    <w:nsid w:val="60B6DF70"/>
    <w:multiLevelType w:val="hybridMultilevel"/>
    <w:lvl w:ilvl="0">
      <w:lvlJc w:val="left"/>
      <w:lvlText w:val="(%1)"/>
      <w:numFmt w:val="decimal"/>
      <w:start w:val="1"/>
    </w:lvl>
  </w:abstractNum>
  <w:abstractNum w:abstractNumId="51">
    <w:nsid w:val="6A5EE64"/>
    <w:multiLevelType w:val="hybridMultilevel"/>
    <w:lvl w:ilvl="0">
      <w:lvlJc w:val="left"/>
      <w:lvlText w:val="(%1)"/>
      <w:numFmt w:val="decimal"/>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decimal"/>
      <w:start w:val="3"/>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1)"/>
      <w:numFmt w:val="decimal"/>
      <w:start w:val="2"/>
    </w:lvl>
  </w:abstractNum>
  <w:abstractNum w:abstractNumId="59">
    <w:nsid w:val="6F6DD9AC"/>
    <w:multiLevelType w:val="hybridMultilevel"/>
    <w:lvl w:ilvl="0">
      <w:lvlJc w:val="left"/>
      <w:lvlText w:val="(%1)"/>
      <w:numFmt w:val="decimal"/>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decimal"/>
      <w:start w:val="1"/>
    </w:lvl>
  </w:abstractNum>
  <w:abstractNum w:abstractNumId="63">
    <w:nsid w:val="4C04A8AF"/>
    <w:multiLevelType w:val="hybridMultilevel"/>
    <w:lvl w:ilvl="0">
      <w:lvlJc w:val="left"/>
      <w:lvlText w:val="(%1)"/>
      <w:numFmt w:val="lowerLetter"/>
      <w:start w:val="2"/>
    </w:lvl>
  </w:abstractNum>
  <w:abstractNum w:abstractNumId="64">
    <w:nsid w:val="1716703B"/>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65">
    <w:nsid w:val="14E17E33"/>
    <w:multiLevelType w:val="hybridMultilevel"/>
    <w:lvl w:ilvl="0">
      <w:lvlJc w:val="left"/>
      <w:lvlText w:val="(%1)"/>
      <w:numFmt w:val="lowerLetter"/>
      <w:start w:val="3"/>
    </w:lvl>
    <w:lvl w:ilvl="1">
      <w:lvlJc w:val="left"/>
      <w:lvlText w:val="*"/>
      <w:numFmt w:val="bullet"/>
      <w:start w:val="1"/>
    </w:lvl>
    <w:lvl w:ilvl="2">
      <w:lvlJc w:val="left"/>
      <w:lvlText w:val="%3"/>
      <w:numFmt w:val="decimal"/>
      <w:start w:val="1"/>
    </w:lvl>
  </w:abstractNum>
  <w:abstractNum w:abstractNumId="66">
    <w:nsid w:val="3222E7CD"/>
    <w:multiLevelType w:val="hybridMultilevel"/>
    <w:lvl w:ilvl="0">
      <w:lvlJc w:val="left"/>
      <w:lvlText w:val="(%1)"/>
      <w:numFmt w:val="lowerLetter"/>
      <w:start w:val="4"/>
    </w:lvl>
  </w:abstractNum>
  <w:abstractNum w:abstractNumId="67">
    <w:nsid w:val="74DE0EE3"/>
    <w:multiLevelType w:val="hybridMultilevel"/>
    <w:lvl w:ilvl="0">
      <w:lvlJc w:val="left"/>
      <w:lvlText w:val="(%1)"/>
      <w:numFmt w:val="decimal"/>
      <w:start w:val="1"/>
    </w:lvl>
  </w:abstractNum>
  <w:abstractNum w:abstractNumId="68">
    <w:nsid w:val="68EBC550"/>
    <w:multiLevelType w:val="hybridMultilevel"/>
    <w:lvl w:ilvl="0">
      <w:lvlJc w:val="left"/>
      <w:lvlText w:val="%1)"/>
      <w:numFmt w:val="decimal"/>
      <w:start w:val="1"/>
    </w:lvl>
  </w:abstractNum>
  <w:abstractNum w:abstractNumId="69">
    <w:nsid w:val="2DF6D648"/>
    <w:multiLevelType w:val="hybridMultilevel"/>
    <w:lvl w:ilvl="0">
      <w:lvlJc w:val="left"/>
      <w:lvlText w:val="%1"/>
      <w:numFmt w:val="decimal"/>
      <w:start w:val="19"/>
    </w:lvl>
  </w:abstractNum>
  <w:abstractNum w:abstractNumId="70">
    <w:nsid w:val="46B7D447"/>
    <w:multiLevelType w:val="hybridMultilevel"/>
    <w:lvl w:ilvl="0">
      <w:lvlJc w:val="left"/>
      <w:lvlText w:val="%1"/>
      <w:numFmt w:val="decimal"/>
      <w:start w:val="21"/>
    </w:lvl>
  </w:abstractNum>
  <w:abstractNum w:abstractNumId="71">
    <w:nsid w:val="4A2AC315"/>
    <w:multiLevelType w:val="hybridMultilevel"/>
    <w:lvl w:ilvl="0">
      <w:lvlJc w:val="left"/>
      <w:lvlText w:val="%1"/>
      <w:numFmt w:val="decimal"/>
      <w:start w:val="23"/>
    </w:lvl>
  </w:abstractNum>
  <w:abstractNum w:abstractNumId="72">
    <w:nsid w:val="39EE015C"/>
    <w:multiLevelType w:val="hybridMultilevel"/>
    <w:lvl w:ilvl="0">
      <w:lvlJc w:val="left"/>
      <w:lvlText w:val="%1"/>
      <w:numFmt w:val="decimal"/>
      <w:start w:val="97"/>
    </w:lvl>
  </w:abstractNum>
  <w:abstractNum w:abstractNumId="73">
    <w:nsid w:val="57FC4FBB"/>
    <w:multiLevelType w:val="hybridMultilevel"/>
    <w:lvl w:ilvl="0">
      <w:lvlJc w:val="left"/>
      <w:lvlText w:val="*"/>
      <w:numFmt w:val="bullet"/>
      <w:start w:val="1"/>
    </w:lvl>
    <w:lvl w:ilvl="1">
      <w:lvlJc w:val="left"/>
      <w:lvlText w:val="%2"/>
      <w:numFmt w:val="decimal"/>
      <w:start w:val="1"/>
    </w:lvl>
    <w:lvl w:ilvl="2">
      <w:lvlJc w:val="left"/>
      <w:lvlText w:val="%3"/>
      <w:numFmt w:val="decimal"/>
      <w:start w:val="104"/>
    </w:lvl>
  </w:abstractNum>
  <w:abstractNum w:abstractNumId="74">
    <w:nsid w:val="CC1016F"/>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75">
    <w:nsid w:val="43F18422"/>
    <w:multiLevelType w:val="hybridMultilevel"/>
    <w:lvl w:ilvl="0">
      <w:lvlJc w:val="left"/>
      <w:lvlText w:val="(%1)"/>
      <w:numFmt w:val="decimal"/>
      <w:start w:val="25"/>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1."/>
      <w:numFmt w:val="decimal"/>
      <w:start w:val="1"/>
    </w:lvl>
    <w:lvl w:ilvl="1">
      <w:lvlJc w:val="left"/>
      <w:lvlText w:val="%2."/>
      <w:numFmt w:val="decimal"/>
      <w:start w:val="2"/>
    </w:lvl>
  </w:abstractNum>
  <w:abstractNum w:abstractNumId="78">
    <w:nsid w:val="7F01579B"/>
    <w:multiLevelType w:val="hybridMultilevel"/>
    <w:lvl w:ilvl="0">
      <w:lvlJc w:val="left"/>
      <w:lvlText w:val="(%1)"/>
      <w:numFmt w:val="lowerLetter"/>
      <w:start w:val="1"/>
    </w:lvl>
    <w:lvl w:ilvl="1">
      <w:lvlJc w:val="left"/>
      <w:lvlText w:val="(%2)"/>
      <w:numFmt w:val="lowerRoman"/>
      <w:start w:val="1"/>
    </w:lvl>
  </w:abstractNum>
  <w:abstractNum w:abstractNumId="79">
    <w:nsid w:val="49DA307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0">
    <w:nsid w:val="7055A5F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1">
    <w:nsid w:val="5FB8370B"/>
    <w:multiLevelType w:val="hybridMultilevel"/>
    <w:lvl w:ilvl="0">
      <w:lvlJc w:val="left"/>
      <w:lvlText w:val="%1."/>
      <w:numFmt w:val="decimal"/>
      <w:start w:val="5"/>
    </w:lvl>
    <w:lvl w:ilvl="1">
      <w:lvlJc w:val="left"/>
      <w:lvlText w:val="(%2)"/>
      <w:numFmt w:val="lowerLetter"/>
      <w:start w:val="1"/>
    </w:lvl>
  </w:abstractNum>
  <w:abstractNum w:abstractNumId="82">
    <w:nsid w:val="50801EE1"/>
    <w:multiLevelType w:val="hybridMultilevel"/>
    <w:lvl w:ilvl="0">
      <w:lvlJc w:val="left"/>
      <w:lvlText w:val="%1"/>
      <w:numFmt w:val="lowerLetter"/>
      <w:start w:val="1"/>
    </w:lvl>
    <w:lvl w:ilvl="1">
      <w:lvlJc w:val="left"/>
      <w:lvlText w:val="(%2)"/>
      <w:numFmt w:val="lowerRoman"/>
      <w:start w:val="1"/>
    </w:lvl>
  </w:abstractNum>
  <w:abstractNum w:abstractNumId="83">
    <w:nsid w:val="488AC1A"/>
    <w:multiLevelType w:val="hybridMultilevel"/>
    <w:lvl w:ilvl="0">
      <w:lvlJc w:val="left"/>
      <w:lvlText w:val="(%1)"/>
      <w:numFmt w:val="lowerLetter"/>
      <w:start w:val="2"/>
    </w:lvl>
    <w:lvl w:ilvl="1">
      <w:lvlJc w:val="left"/>
      <w:lvlText w:val="%2"/>
      <w:numFmt w:val="lowerRoman"/>
      <w:start w:val="1"/>
    </w:lvl>
  </w:abstractNum>
  <w:abstractNum w:abstractNumId="84">
    <w:nsid w:val="5FB8011C"/>
    <w:multiLevelType w:val="hybridMultilevel"/>
    <w:lvl w:ilvl="0">
      <w:lvlJc w:val="left"/>
      <w:lvlText w:val="%1"/>
      <w:numFmt w:val="decimal"/>
      <w:start w:val="1"/>
    </w:lvl>
    <w:lvl w:ilvl="1">
      <w:lvlJc w:val="left"/>
      <w:lvlText w:val="(%2)"/>
      <w:numFmt w:val="lowerLetter"/>
      <w:start w:val="7"/>
    </w:lvl>
  </w:abstractNum>
  <w:abstractNum w:abstractNumId="85">
    <w:nsid w:val="6AA78F7F"/>
    <w:multiLevelType w:val="hybridMultilevel"/>
    <w:lvl w:ilvl="0">
      <w:lvlJc w:val="left"/>
      <w:lvlText w:val="%1."/>
      <w:numFmt w:val="decimal"/>
      <w:start w:val="9"/>
    </w:lvl>
    <w:lvl w:ilvl="1">
      <w:lvlJc w:val="left"/>
      <w:lvlText w:val="%2"/>
      <w:numFmt w:val="lowerLetter"/>
      <w:start w:val="1"/>
    </w:lvl>
  </w:abstractNum>
  <w:abstractNum w:abstractNumId="86">
    <w:nsid w:val="7672BD23"/>
    <w:multiLevelType w:val="hybridMultilevel"/>
    <w:lvl w:ilvl="0">
      <w:lvlJc w:val="left"/>
      <w:lvlText w:val="%1."/>
      <w:numFmt w:val="decimal"/>
      <w:start w:val="11"/>
    </w:lvl>
  </w:abstractNum>
  <w:abstractNum w:abstractNumId="87">
    <w:nsid w:val="6FC75AF8"/>
    <w:multiLevelType w:val="hybridMultilevel"/>
    <w:lvl w:ilvl="0">
      <w:lvlJc w:val="left"/>
      <w:lvlText w:val="%1."/>
      <w:numFmt w:val="decimal"/>
      <w:start w:val="17"/>
    </w:lvl>
  </w:abstractNum>
  <w:abstractNum w:abstractNumId="88">
    <w:nsid w:val="6A5F7029"/>
    <w:multiLevelType w:val="hybridMultilevel"/>
    <w:lvl w:ilvl="0">
      <w:lvlJc w:val="left"/>
      <w:lvlText w:val="(%1)"/>
      <w:numFmt w:val="lowerLetter"/>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
      <w:numFmt w:val="bullet"/>
      <w:start w:val="1"/>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
      <w:numFmt w:val="bullet"/>
      <w:start w:val="1"/>
    </w:lvl>
  </w:abstractNum>
  <w:abstractNum w:abstractNumId="94">
    <w:nsid w:val="3FA62ACA"/>
    <w:multiLevelType w:val="hybridMultilevel"/>
    <w:lvl w:ilvl="0">
      <w:lvlJc w:val="left"/>
      <w:lvlText w:val="•"/>
      <w:numFmt w:val="bullet"/>
      <w:start w:val="1"/>
    </w:lvl>
  </w:abstractNum>
  <w:abstractNum w:abstractNumId="95">
    <w:nsid w:val="14FCE74E"/>
    <w:multiLevelType w:val="hybridMultilevel"/>
    <w:lvl w:ilvl="0">
      <w:lvlJc w:val="left"/>
      <w:lvlText w:val="1"/>
      <w:numFmt w:val="bullet"/>
      <w:start w:val="1"/>
    </w:lvl>
  </w:abstractNum>
  <w:abstractNum w:abstractNumId="96">
    <w:nsid w:val="6A3DD3E8"/>
    <w:multiLevelType w:val="hybridMultilevel"/>
    <w:lvl w:ilvl="0">
      <w:lvlJc w:val="left"/>
      <w:lvlText w:val="(%1)"/>
      <w:numFmt w:val="decimal"/>
      <w:start w:val="1"/>
    </w:lvl>
  </w:abstractNum>
  <w:abstractNum w:abstractNumId="97">
    <w:nsid w:val="71C91298"/>
    <w:multiLevelType w:val="hybridMultilevel"/>
    <w:lvl w:ilvl="0">
      <w:lvlJc w:val="left"/>
      <w:lvlText w:val="%1)"/>
      <w:numFmt w:val="lowerLetter"/>
      <w:start w:val="1"/>
    </w:lvl>
  </w:abstractNum>
  <w:abstractNum w:abstractNumId="98">
    <w:nsid w:val="9DAF632"/>
    <w:multiLevelType w:val="hybridMultilevel"/>
    <w:lvl w:ilvl="0">
      <w:lvlJc w:val="left"/>
      <w:lvlText w:val="(%1)"/>
      <w:numFmt w:val="decimal"/>
      <w:start w:val="5"/>
    </w:lvl>
  </w:abstractNum>
  <w:abstractNum w:abstractNumId="99">
    <w:nsid w:val="53299938"/>
    <w:multiLevelType w:val="hybridMultilevel"/>
    <w:lvl w:ilvl="0">
      <w:lvlJc w:val="left"/>
      <w:lvlText w:val="%1)"/>
      <w:numFmt w:val="lowerLetter"/>
      <w:start w:val="1"/>
    </w:lvl>
  </w:abstractNum>
  <w:abstractNum w:abstractNumId="100">
    <w:nsid w:val="1FBFE8E0"/>
    <w:multiLevelType w:val="hybridMultilevel"/>
    <w:lvl w:ilvl="0">
      <w:lvlJc w:val="left"/>
      <w:lvlText w:val="(%1)"/>
      <w:numFmt w:val="decimal"/>
      <w:start w:val="1"/>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1)"/>
      <w:numFmt w:val="decimal"/>
      <w:start w:val="5"/>
    </w:lvl>
  </w:abstractNum>
  <w:abstractNum w:abstractNumId="103">
    <w:nsid w:val="59ADEA3D"/>
    <w:multiLevelType w:val="hybridMultilevel"/>
    <w:lvl w:ilvl="0">
      <w:lvlJc w:val="left"/>
      <w:lvlText w:val="%1)"/>
      <w:numFmt w:val="lowerLetter"/>
      <w:start w:val="1"/>
    </w:lvl>
  </w:abstractNum>
  <w:abstractNum w:abstractNumId="104">
    <w:nsid w:val="288F1A34"/>
    <w:multiLevelType w:val="hybridMultilevel"/>
    <w:lvl w:ilvl="0">
      <w:lvlJc w:val="left"/>
      <w:lvlText w:val="(%1)"/>
      <w:numFmt w:val="decimal"/>
      <w:start w:val="1"/>
    </w:lvl>
  </w:abstractNum>
  <w:abstractNum w:abstractNumId="105">
    <w:nsid w:val="2A155DBC"/>
    <w:multiLevelType w:val="hybridMultilevel"/>
    <w:lvl w:ilvl="0">
      <w:lvlJc w:val="left"/>
      <w:lvlText w:val="(%1)"/>
      <w:numFmt w:val="decimal"/>
      <w:start w:val="1"/>
    </w:lvl>
  </w:abstractNum>
  <w:abstractNum w:abstractNumId="106">
    <w:nsid w:val="1D9F6E5F"/>
    <w:multiLevelType w:val="hybridMultilevel"/>
    <w:lvl w:ilvl="0">
      <w:lvlJc w:val="left"/>
      <w:lvlText w:val="%1."/>
      <w:numFmt w:val="decimal"/>
      <w:start w:val="1"/>
    </w:lvl>
    <w:lvl w:ilvl="1">
      <w:lvlJc w:val="left"/>
      <w:lvlText w:val="(%2)"/>
      <w:numFmt w:val="lowerLetter"/>
      <w:start w:val="1"/>
    </w:lvl>
  </w:abstractNum>
  <w:abstractNum w:abstractNumId="107">
    <w:nsid w:val="97E1B4E"/>
    <w:multiLevelType w:val="hybridMultilevel"/>
    <w:lvl w:ilvl="0">
      <w:lvlJc w:val="left"/>
      <w:lvlText w:val="%1"/>
      <w:numFmt w:val="decimal"/>
      <w:start w:val="1"/>
    </w:lvl>
    <w:lvl w:ilvl="1">
      <w:lvlJc w:val="left"/>
      <w:lvlText w:val="(%2)"/>
      <w:numFmt w:val="lowerLetter"/>
      <w:start w:val="7"/>
    </w:lvl>
  </w:abstractNum>
  <w:abstractNum w:abstractNumId="108">
    <w:nsid w:val="51088277"/>
    <w:multiLevelType w:val="hybridMultilevel"/>
    <w:lvl w:ilvl="0">
      <w:lvlJc w:val="left"/>
      <w:lvlText w:val="%1."/>
      <w:numFmt w:val="decimal"/>
      <w:start w:val="4"/>
    </w:lvl>
    <w:lvl w:ilvl="1">
      <w:lvlJc w:val="left"/>
      <w:lvlText w:val="(%2)"/>
      <w:numFmt w:val="lowerLetter"/>
      <w:start w:val="1"/>
    </w:lvl>
  </w:abstractNum>
  <w:abstractNum w:abstractNumId="109">
    <w:nsid w:val="1CA0C5FA"/>
    <w:multiLevelType w:val="hybridMultilevel"/>
    <w:lvl w:ilvl="0">
      <w:lvlJc w:val="left"/>
      <w:lvlText w:val="%1"/>
      <w:numFmt w:val="decimal"/>
      <w:start w:val="1"/>
    </w:lvl>
    <w:lvl w:ilvl="1">
      <w:lvlJc w:val="left"/>
      <w:lvlText w:val="(%2)"/>
      <w:numFmt w:val="lowerLetter"/>
      <w:start w:val="3"/>
    </w:lvl>
  </w:abstractNum>
  <w:abstractNum w:abstractNumId="110">
    <w:nsid w:val="53584BCB"/>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0" Type="http://schemas.openxmlformats.org/officeDocument/2006/relationships/image" Target="media/image150.png"/><Relationship Id="rId163" Type="http://schemas.openxmlformats.org/officeDocument/2006/relationships/image" Target="media/image151.png"/><Relationship Id="rId165" Type="http://schemas.openxmlformats.org/officeDocument/2006/relationships/image" Target="media/image152.png"/><Relationship Id="rId167" Type="http://schemas.openxmlformats.org/officeDocument/2006/relationships/image" Target="media/image153.png"/><Relationship Id="rId169" Type="http://schemas.openxmlformats.org/officeDocument/2006/relationships/image" Target="media/image154.png"/><Relationship Id="rId171" Type="http://schemas.openxmlformats.org/officeDocument/2006/relationships/image" Target="media/image155.png"/><Relationship Id="rId173" Type="http://schemas.openxmlformats.org/officeDocument/2006/relationships/image" Target="media/image156.png"/><Relationship Id="rId176" Type="http://schemas.openxmlformats.org/officeDocument/2006/relationships/image" Target="media/image157.png"/><Relationship Id="rId179" Type="http://schemas.openxmlformats.org/officeDocument/2006/relationships/image" Target="media/image158.png"/><Relationship Id="rId182" Type="http://schemas.openxmlformats.org/officeDocument/2006/relationships/image" Target="media/image159.png"/><Relationship Id="rId184" Type="http://schemas.openxmlformats.org/officeDocument/2006/relationships/image" Target="media/image160.png"/><Relationship Id="rId187" Type="http://schemas.openxmlformats.org/officeDocument/2006/relationships/image" Target="media/image161.png"/><Relationship Id="rId189" Type="http://schemas.openxmlformats.org/officeDocument/2006/relationships/image" Target="media/image162.png"/><Relationship Id="rId192" Type="http://schemas.openxmlformats.org/officeDocument/2006/relationships/image" Target="media/image163.png"/><Relationship Id="rId194" Type="http://schemas.openxmlformats.org/officeDocument/2006/relationships/image" Target="media/image164.png"/><Relationship Id="rId197" Type="http://schemas.openxmlformats.org/officeDocument/2006/relationships/image" Target="media/image165.png"/><Relationship Id="rId200" Type="http://schemas.openxmlformats.org/officeDocument/2006/relationships/image" Target="media/image166.png"/><Relationship Id="rId204" Type="http://schemas.openxmlformats.org/officeDocument/2006/relationships/image" Target="media/image167.png"/><Relationship Id="rId206"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5" Type="http://schemas.openxmlformats.org/officeDocument/2006/relationships/image" Target="media/image171.png"/><Relationship Id="rId217" Type="http://schemas.openxmlformats.org/officeDocument/2006/relationships/image" Target="media/image172.png"/><Relationship Id="rId220" Type="http://schemas.openxmlformats.org/officeDocument/2006/relationships/image" Target="media/image173.png"/><Relationship Id="rId223" Type="http://schemas.openxmlformats.org/officeDocument/2006/relationships/image" Target="media/image174.png"/><Relationship Id="rId226"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157" Type="http://schemas.openxmlformats.org/officeDocument/2006/relationships/hyperlink" Target="https://www.sec.gov/Archives/edgar/data/746598/000074659812000124/exhibit21-agreement.htm" TargetMode="External"/><Relationship Id="rId158" Type="http://schemas.openxmlformats.org/officeDocument/2006/relationships/hyperlink" Target="https://www.sec.gov/Archives/edgar/data/746598/000074659814000038/exhibit21precisepurchaseag.htm" TargetMode="External"/><Relationship Id="rId159" Type="http://schemas.openxmlformats.org/officeDocument/2006/relationships/hyperlink" Target="https://www.sec.gov/Archives/edgar/data/746598/000074659821000057/exhibit21combinationagreem.htm" TargetMode="External"/><Relationship Id="rId161" Type="http://schemas.openxmlformats.org/officeDocument/2006/relationships/hyperlink" Target="https://www.sec.gov/Archives/edgar/data/746598/000074659821000070/exhibit21agreementforpurch.htm" TargetMode="External"/><Relationship Id="rId162" Type="http://schemas.openxmlformats.org/officeDocument/2006/relationships/hyperlink" Target="https://www.sec.gov/Archives/edgar/data/746598/000074659821000080/exhibit21agreementforpurch.htm" TargetMode="External"/><Relationship Id="rId164" Type="http://schemas.openxmlformats.org/officeDocument/2006/relationships/hyperlink" Target="https://www.sec.gov/Archives/edgar/data/746598/000074659824000055/exhibit21spa.htm" TargetMode="External"/><Relationship Id="rId166" Type="http://schemas.openxmlformats.org/officeDocument/2006/relationships/hyperlink" Target="https://www.sec.gov/Archives/edgar/data/746598/000074659820000095/exhibit31bylawsasamend.htm" TargetMode="External"/><Relationship Id="rId168" Type="http://schemas.openxmlformats.org/officeDocument/2006/relationships/hyperlink" Target="https://www.sec.gov/Archives/edgar/data/746598/000074659819000128/brc-20190731xex41.htm" TargetMode="External"/><Relationship Id="rId170" Type="http://schemas.openxmlformats.org/officeDocument/2006/relationships/hyperlink" Target="https://www.sec.gov/Archives/edgar/data/746598/000074659823000064/exhibit101bradycorporation.htm" TargetMode="External"/><Relationship Id="rId172" Type="http://schemas.openxmlformats.org/officeDocument/2006/relationships/hyperlink" Target="https://www.sec.gov/Archives/edgar/data/746598/000074659818000086/brc-2018731xex104.htm" TargetMode="External"/><Relationship Id="rId174" Type="http://schemas.openxmlformats.org/officeDocument/2006/relationships/hyperlink" Target="https://www.sec.gov/Archives/edgar/data/746598/000074659818000086/brc-2018731xex105.htm" TargetMode="External"/><Relationship Id="rId175" Type="http://schemas.openxmlformats.org/officeDocument/2006/relationships/hyperlink" Target="https://www.sec.gov/Archives/edgar/data/746598/000074659822000067/brc-20220731xex106changeof.htm" TargetMode="External"/><Relationship Id="rId177" Type="http://schemas.openxmlformats.org/officeDocument/2006/relationships/hyperlink" Target="https://www.sec.gov/Archives/edgar/data/746598/000074659816000242/exhibit1012017omnibusincen.htm" TargetMode="External"/><Relationship Id="rId178" Type="http://schemas.openxmlformats.org/officeDocument/2006/relationships/hyperlink" Target="https://www.sec.gov/Archives/edgar/data/746598/000074659816000259/exhibit101-stockoptionagre.htm" TargetMode="External"/><Relationship Id="rId180" Type="http://schemas.openxmlformats.org/officeDocument/2006/relationships/hyperlink" Target="https://www.sec.gov/Archives/edgar/data/746598/000074659824000034/exhibit101-putoptionxgravo.htm" TargetMode="External"/><Relationship Id="rId181" Type="http://schemas.openxmlformats.org/officeDocument/2006/relationships/hyperlink" Target="https://www.sec.gov/Archives/edgar/data/746598/000074659820000097/brc-20200731xex1011.htm" TargetMode="External"/><Relationship Id="rId183" Type="http://schemas.openxmlformats.org/officeDocument/2006/relationships/hyperlink" Target="https://www.sec.gov/Archives/edgar/data/746598/000074659823000004/exhibit101employmentcontra.htm" TargetMode="External"/><Relationship Id="rId185" Type="http://schemas.openxmlformats.org/officeDocument/2006/relationships/hyperlink" Target="https://www.sec.gov/Archives/edgar/data/746598/000074659819000128/brc-20190731xex1057.htm" TargetMode="External"/><Relationship Id="rId186" Type="http://schemas.openxmlformats.org/officeDocument/2006/relationships/hyperlink" Target="https://www.sec.gov/Archives/edgar/data/746598/000074659823000058/brc-20220731xex10532023bra.htm" TargetMode="External"/><Relationship Id="rId188" Type="http://schemas.openxmlformats.org/officeDocument/2006/relationships/hyperlink" Target="https://www.sec.gov/Archives/edgar/data/746598/000074659823000064/brc-20230731xex102formof20.htm" TargetMode="External"/><Relationship Id="rId190" Type="http://schemas.openxmlformats.org/officeDocument/2006/relationships/hyperlink" Target="https://www.sec.gov/Archives/edgar/data/746598/000074659819000128/brc-20190731xex1058.htm" TargetMode="External"/><Relationship Id="rId191" Type="http://schemas.openxmlformats.org/officeDocument/2006/relationships/hyperlink" Target="https://www.sec.gov/Archives/edgar/data/746598/000074659822000022/exhibit102offerletterrusse.htm" TargetMode="External"/><Relationship Id="rId193" Type="http://schemas.openxmlformats.org/officeDocument/2006/relationships/hyperlink" Target="https://www.sec.gov/Archives/edgar/data/746598/000074659823000064/brc-20230731xex103formof20.htm" TargetMode="External"/><Relationship Id="rId195" Type="http://schemas.openxmlformats.org/officeDocument/2006/relationships/hyperlink" Target="https://www.sec.gov/Archives/edgar/data/746598/000074659822000142/exhibit101creditagreementa.htm" TargetMode="External"/><Relationship Id="rId196" Type="http://schemas.openxmlformats.org/officeDocument/2006/relationships/hyperlink" Target="https://www.sec.gov/Archives/edgar/data/746598/000074659822000022/exhibit103restrictedstocku.htm" TargetMode="External"/><Relationship Id="rId198" Type="http://schemas.openxmlformats.org/officeDocument/2006/relationships/hyperlink" Target="https://www.sec.gov/Archives/edgar/data/746598/000074659818000086/brc-2018731xex1021.htm" TargetMode="External"/><Relationship Id="rId199" Type="http://schemas.openxmlformats.org/officeDocument/2006/relationships/hyperlink" Target="https://www.sec.gov/Archives/edgar/data/746598/000074659822000022/exhibit104changeofcontrola.htm" TargetMode="External"/><Relationship Id="rId201" Type="http://schemas.openxmlformats.org/officeDocument/2006/relationships/hyperlink" Target="https://www.sec.gov/Archives/edgar/data/746598/000074659822000067/brc-20220731xex1023offerle.htm" TargetMode="External"/><Relationship Id="rId202" Type="http://schemas.openxmlformats.org/officeDocument/2006/relationships/hyperlink" Target="https://www.sec.gov/Archives/edgar/data/746598/000074659822000067/brc-20220731xex1024.htm" TargetMode="External"/><Relationship Id="rId203" Type="http://schemas.openxmlformats.org/officeDocument/2006/relationships/hyperlink" Target="https://www.sec.gov/Archives/edgar/data/746598/000074659821000102/brc-20210731xex1025.htm" TargetMode="External"/><Relationship Id="rId205" Type="http://schemas.openxmlformats.org/officeDocument/2006/relationships/hyperlink" Target="https://www.sec.gov/Archives/edgar/data/746598/000074659822000057/exhibit101offerletterolivi.htm" TargetMode="External"/><Relationship Id="rId207" Type="http://schemas.openxmlformats.org/officeDocument/2006/relationships/hyperlink" Target="https://www.sec.gov/Archives/edgar/data/746598/000074659818000086/brc-2018731xex1059.htm" TargetMode="External"/><Relationship Id="rId208" Type="http://schemas.openxmlformats.org/officeDocument/2006/relationships/hyperlink" Target="https://www.sec.gov/Archives/edgar/data/746598/000074659822000057/exhibit102non-competeolivi.htm" TargetMode="External"/><Relationship Id="rId209" Type="http://schemas.openxmlformats.org/officeDocument/2006/relationships/hyperlink" Target="https://www.sec.gov/Archives/edgar/data/0000746598/000074659821000203/exhibit101creditagreementa.htm" TargetMode="External"/><Relationship Id="rId212" Type="http://schemas.openxmlformats.org/officeDocument/2006/relationships/hyperlink" Target="https://www.sec.gov/Archives/edgar/data/746598/000074659815000132/brc-2015731xex1060.htm" TargetMode="External"/><Relationship Id="rId213" Type="http://schemas.openxmlformats.org/officeDocument/2006/relationships/hyperlink" Target="https://www.sec.gov/Archives/edgar/data/746598/000074659821000102/brc-20210731xex1034.htm" TargetMode="External"/><Relationship Id="rId214" Type="http://schemas.openxmlformats.org/officeDocument/2006/relationships/hyperlink" Target="https://www.sec.gov/Archives/edgar/data/746598/000074659820000097/brc-20200731xex1035.htm" TargetMode="External"/><Relationship Id="rId216" Type="http://schemas.openxmlformats.org/officeDocument/2006/relationships/hyperlink" Target="https://www.sec.gov/Archives/edgar/data/746598/000074659820000097/brc-20200731xex1036.htm" TargetMode="External"/><Relationship Id="rId218" Type="http://schemas.openxmlformats.org/officeDocument/2006/relationships/hyperlink" Target="https://www.sec.gov/Archives/edgar/data/746598/000074659823000027/exhibit102offerletterannth.htm" TargetMode="External"/><Relationship Id="rId219" Type="http://schemas.openxmlformats.org/officeDocument/2006/relationships/hyperlink" Target="https://www.sec.gov/Archives/edgar/data/746598/000074659823000027/exhibit103changeofcontrola.htm" TargetMode="External"/><Relationship Id="rId221" Type="http://schemas.openxmlformats.org/officeDocument/2006/relationships/hyperlink" Target="https://www.sec.gov/Archives/edgar/data/746598/000074659823000004/exhibit102addendumemployme.htm" TargetMode="External"/><Relationship Id="rId222" Type="http://schemas.openxmlformats.org/officeDocument/2006/relationships/hyperlink" Target="https://www.sec.gov/Archives/edgar/data/746598/000074659823000004/exhibit103changeofcontrola.htm" TargetMode="External"/><Relationship Id="rId224" Type="http://schemas.openxmlformats.org/officeDocument/2006/relationships/hyperlink" Target="https://www.sec.gov/Archives/edgar/data/746598/000074659819000121/exhibit101creditagreement-.htm" TargetMode="External"/><Relationship Id="rId225" Type="http://schemas.openxmlformats.org/officeDocument/2006/relationships/hyperlink" Target="https://www.sec.gov/Archives/edgar/data/746598/000074659824000046/exhibit101offerlettertomde.htm" TargetMode="External"/><Relationship Id="rId227" Type="http://schemas.openxmlformats.org/officeDocument/2006/relationships/hyperlink" Target="https://www.sec.gov/Archives/edgar/data/746598/000074659824000046/exhibit102changeofcontro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2024-09-06T06:18:09Z</dcterms:created>
  <dcterms:modified xsi:type="dcterms:W3CDTF">2024-09-06T06:18:09Z</dcterms:modified>
</cp:coreProperties>
</file>