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3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124460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ind w:left="1460" w:right="85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fiscal year ended July 31, 2010</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146050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(Exact name of registrant as specified in charter)</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3500" w:type="dxa"/>
            <w:vAlign w:val="bottom"/>
          </w:tcPr>
          <w:p>
            <w:pPr>
              <w:jc w:val="center"/>
              <w:ind w:right="1190"/>
              <w:spacing w:after="0"/>
              <w:rPr>
                <w:sz w:val="20"/>
                <w:szCs w:val="20"/>
                <w:color w:val="auto"/>
              </w:rPr>
            </w:pPr>
            <w:r>
              <w:rPr>
                <w:rFonts w:ascii="Arial" w:cs="Arial" w:eastAsia="Arial" w:hAnsi="Arial"/>
                <w:sz w:val="18"/>
                <w:szCs w:val="18"/>
                <w:b w:val="1"/>
                <w:bCs w:val="1"/>
                <w:color w:val="auto"/>
                <w:w w:val="86"/>
              </w:rPr>
              <w:t>Wisconsin</w:t>
            </w:r>
          </w:p>
        </w:tc>
        <w:tc>
          <w:tcPr>
            <w:tcW w:w="37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216"/>
        </w:trPr>
        <w:tc>
          <w:tcPr>
            <w:tcW w:w="3500" w:type="dxa"/>
            <w:vAlign w:val="bottom"/>
          </w:tcPr>
          <w:p>
            <w:pPr>
              <w:jc w:val="center"/>
              <w:ind w:right="1190"/>
              <w:spacing w:after="0"/>
              <w:rPr>
                <w:sz w:val="20"/>
                <w:szCs w:val="20"/>
                <w:color w:val="auto"/>
              </w:rPr>
            </w:pPr>
            <w:r>
              <w:rPr>
                <w:rFonts w:ascii="Arial" w:cs="Arial" w:eastAsia="Arial" w:hAnsi="Arial"/>
                <w:sz w:val="18"/>
                <w:szCs w:val="18"/>
                <w:i w:val="1"/>
                <w:iCs w:val="1"/>
                <w:color w:val="auto"/>
                <w:w w:val="93"/>
              </w:rPr>
              <w:t>(State or other jurisdiction of</w:t>
            </w:r>
          </w:p>
        </w:tc>
        <w:tc>
          <w:tcPr>
            <w:tcW w:w="3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jc w:val="center"/>
              <w:ind w:right="1190"/>
              <w:spacing w:after="0"/>
              <w:rPr>
                <w:sz w:val="20"/>
                <w:szCs w:val="20"/>
                <w:color w:val="auto"/>
              </w:rPr>
            </w:pPr>
            <w:r>
              <w:rPr>
                <w:rFonts w:ascii="Arial" w:cs="Arial" w:eastAsia="Arial" w:hAnsi="Arial"/>
                <w:sz w:val="18"/>
                <w:szCs w:val="18"/>
                <w:i w:val="1"/>
                <w:iCs w:val="1"/>
                <w:color w:val="auto"/>
                <w:w w:val="94"/>
              </w:rPr>
              <w:t>incorporation or organization)</w:t>
            </w:r>
          </w:p>
        </w:tc>
        <w:tc>
          <w:tcPr>
            <w:tcW w:w="3720" w:type="dxa"/>
            <w:vAlign w:val="bottom"/>
          </w:tcPr>
          <w:p>
            <w:pPr>
              <w:jc w:val="center"/>
              <w:ind w:left="1190"/>
              <w:spacing w:after="0"/>
              <w:rPr>
                <w:sz w:val="20"/>
                <w:szCs w:val="20"/>
                <w:color w:val="auto"/>
              </w:rPr>
            </w:pPr>
            <w:r>
              <w:rPr>
                <w:rFonts w:ascii="Arial" w:cs="Arial" w:eastAsia="Arial" w:hAnsi="Arial"/>
                <w:sz w:val="18"/>
                <w:szCs w:val="18"/>
                <w:i w:val="1"/>
                <w:iCs w:val="1"/>
                <w:color w:val="auto"/>
                <w:w w:val="93"/>
              </w:rPr>
              <w:t>(IRS Employer Identification No.)</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Milwaukee, WI 53223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5"/>
        </w:trPr>
        <w:tc>
          <w:tcPr>
            <w:tcW w:w="4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Class A Nonvoting Common Stock, Par</w:t>
            </w:r>
          </w:p>
        </w:tc>
        <w:tc>
          <w:tcPr>
            <w:tcW w:w="460" w:type="dxa"/>
            <w:vAlign w:val="bottom"/>
          </w:tcPr>
          <w:p>
            <w:pPr>
              <w:spacing w:after="0"/>
              <w:rPr>
                <w:sz w:val="17"/>
                <w:szCs w:val="17"/>
                <w:color w:val="auto"/>
              </w:rPr>
            </w:pPr>
          </w:p>
        </w:tc>
        <w:tc>
          <w:tcPr>
            <w:tcW w:w="44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9"/>
              </w:rPr>
              <w:t>Value $.01 per share</w:t>
            </w:r>
          </w:p>
        </w:tc>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184"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2" w:lineRule="exact"/>
        <w:rPr>
          <w:sz w:val="20"/>
          <w:szCs w:val="20"/>
          <w:color w:val="auto"/>
        </w:rPr>
      </w:pPr>
    </w:p>
    <w:p>
      <w:pPr>
        <w:ind w:left="340" w:right="659" w:firstLine="92"/>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four such shorter period that the registrant was required to submit and post such files). Yes o No o</w:t>
      </w:r>
    </w:p>
    <w:p>
      <w:pPr>
        <w:spacing w:after="0" w:line="12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975" w:orient="portrait"/>
          <w:cols w:equalWidth="0" w:num="1">
            <w:col w:w="10219"/>
          </w:cols>
          <w:pgMar w:left="240" w:top="122" w:right="1440" w:bottom="0" w:gutter="0" w:footer="0" w:header="0"/>
        </w:sectPr>
      </w:pPr>
    </w:p>
    <w:p>
      <w:pPr>
        <w:spacing w:after="0" w:line="149" w:lineRule="exact"/>
        <w:rPr>
          <w:sz w:val="20"/>
          <w:szCs w:val="20"/>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975" w:orient="portrait"/>
          <w:cols w:equalWidth="0" w:num="4">
            <w:col w:w="2200" w:space="220"/>
            <w:col w:w="1340" w:space="180"/>
            <w:col w:w="3340" w:space="180"/>
            <w:col w:w="2759"/>
          </w:cols>
          <w:pgMar w:left="240" w:top="122" w:right="1440" w:bottom="0" w:gutter="0" w:footer="0" w:header="0"/>
          <w:type w:val="continuous"/>
        </w:sectPr>
      </w:pPr>
    </w:p>
    <w:p>
      <w:pPr>
        <w:ind w:left="7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229" w:lineRule="exact"/>
        <w:rPr>
          <w:sz w:val="20"/>
          <w:szCs w:val="20"/>
          <w:color w:val="auto"/>
        </w:rPr>
      </w:pPr>
    </w:p>
    <w:p>
      <w:pPr>
        <w:ind w:left="340" w:right="559" w:firstLine="373"/>
        <w:spacing w:after="0" w:line="342" w:lineRule="auto"/>
        <w:rPr>
          <w:sz w:val="20"/>
          <w:szCs w:val="20"/>
          <w:color w:val="auto"/>
        </w:rPr>
      </w:pPr>
      <w:r>
        <w:rPr>
          <w:rFonts w:ascii="Arial" w:cs="Arial" w:eastAsia="Arial" w:hAnsi="Arial"/>
          <w:sz w:val="16"/>
          <w:szCs w:val="16"/>
          <w:color w:val="auto"/>
        </w:rPr>
        <w:t>The aggregate market value of the non-voting common stock held by non-affiliates of the registrant as of January 29, 2010, was approximately $1,281,152,775 (based on closing sale price of $28.26 per share on that date as reported for the New York</w:t>
      </w:r>
    </w:p>
    <w:p>
      <w:pPr>
        <w:sectPr>
          <w:pgSz w:w="11900" w:h="16975" w:orient="portrait"/>
          <w:cols w:equalWidth="0" w:num="1">
            <w:col w:w="10219"/>
          </w:cols>
          <w:pgMar w:left="240" w:top="122" w:right="1440" w:bottom="0" w:gutter="0" w:footer="0" w:header="0"/>
          <w:type w:val="continuous"/>
        </w:sectPr>
      </w:pPr>
    </w:p>
    <w:bookmarkStart w:id="2" w:name="page3"/>
    <w:bookmarkEnd w:id="2"/>
    <w:p>
      <w:pPr>
        <w:jc w:val="both"/>
        <w:ind w:right="559"/>
        <w:spacing w:after="0" w:line="264" w:lineRule="auto"/>
        <w:rPr>
          <w:sz w:val="20"/>
          <w:szCs w:val="20"/>
          <w:color w:val="auto"/>
        </w:rPr>
      </w:pPr>
      <w:r>
        <w:rPr>
          <w:rFonts w:ascii="Arial" w:cs="Arial" w:eastAsia="Arial" w:hAnsi="Arial"/>
          <w:sz w:val="18"/>
          <w:szCs w:val="18"/>
          <w:color w:val="auto"/>
        </w:rPr>
        <w:t>Stock Exchange). As of September 15, 2010, there were outstanding 48,894,883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9258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gridSpan w:val="8"/>
          </w:tcPr>
          <w:p>
            <w:pPr>
              <w:ind w:left="48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10"/>
            <w:vMerge w:val="restart"/>
          </w:tcPr>
          <w:p>
            <w:pPr>
              <w:jc w:val="center"/>
              <w:ind w:right="378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gridSpan w:val="10"/>
            <w:vMerge w:val="continue"/>
          </w:tcPr>
          <w:p>
            <w:pPr>
              <w:spacing w:after="0"/>
              <w:rPr>
                <w:sz w:val="14"/>
                <w:szCs w:val="14"/>
                <w:color w:val="auto"/>
              </w:rPr>
            </w:pPr>
          </w:p>
        </w:tc>
        <w:tc>
          <w:tcPr>
            <w:tcW w:w="10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2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580" w:type="dxa"/>
            <w:vAlign w:val="bottom"/>
            <w:tcBorders>
              <w:top w:val="single" w:sz="8" w:color="0000EE"/>
            </w:tcBorders>
            <w:gridSpan w:val="2"/>
          </w:tcPr>
          <w:p>
            <w:pPr>
              <w:spacing w:after="0"/>
              <w:rPr>
                <w:sz w:val="24"/>
                <w:szCs w:val="24"/>
                <w:color w:val="auto"/>
              </w:rPr>
            </w:pPr>
          </w:p>
        </w:tc>
        <w:tc>
          <w:tcPr>
            <w:tcW w:w="38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Development of Business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34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Financial Information About Industry Segments</w:t>
              </w:r>
            </w:hyperlink>
          </w:p>
        </w:tc>
        <w:tc>
          <w:tcPr>
            <w:tcW w:w="4560" w:type="dxa"/>
            <w:vAlign w:val="bottom"/>
            <w:gridSpan w:val="1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Narrative Description of Business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Overview</w:t>
              </w:r>
            </w:hyperlink>
          </w:p>
        </w:tc>
        <w:tc>
          <w:tcPr>
            <w:tcW w:w="5560" w:type="dxa"/>
            <w:vAlign w:val="bottom"/>
            <w:gridSpan w:val="1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Competitive Strengths</w:t>
              </w:r>
            </w:hyperlink>
          </w:p>
        </w:tc>
        <w:tc>
          <w:tcPr>
            <w:tcW w:w="6200" w:type="dxa"/>
            <w:vAlign w:val="bottom"/>
            <w:gridSpan w:val="2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Key Strategies</w:t>
              </w:r>
            </w:hyperlink>
          </w:p>
        </w:tc>
        <w:tc>
          <w:tcPr>
            <w:tcW w:w="6760" w:type="dxa"/>
            <w:vAlign w:val="bottom"/>
            <w:gridSpan w:val="2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Products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Marketing and Sales</w:t>
              </w:r>
            </w:hyperlink>
          </w:p>
        </w:tc>
        <w:tc>
          <w:tcPr>
            <w:tcW w:w="6340" w:type="dxa"/>
            <w:vAlign w:val="bottom"/>
            <w:gridSpan w:val="2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Brands</w:t>
              </w:r>
            </w:hyperlink>
          </w:p>
        </w:tc>
        <w:tc>
          <w:tcPr>
            <w:tcW w:w="7300" w:type="dxa"/>
            <w:vAlign w:val="bottom"/>
            <w:gridSpan w:val="3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Manufacturing Process and Raw Materials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Technology and Product Development</w:t>
              </w:r>
            </w:hyperlink>
          </w:p>
        </w:tc>
        <w:tc>
          <w:tcPr>
            <w:tcW w:w="280" w:type="dxa"/>
            <w:vAlign w:val="bottom"/>
            <w:tcBorders>
              <w:top w:val="single" w:sz="8" w:color="0000EE"/>
            </w:tcBorders>
          </w:tcPr>
          <w:p>
            <w:pPr>
              <w:spacing w:after="0"/>
              <w:rPr>
                <w:sz w:val="24"/>
                <w:szCs w:val="24"/>
                <w:color w:val="auto"/>
              </w:rPr>
            </w:pPr>
          </w:p>
        </w:tc>
        <w:tc>
          <w:tcPr>
            <w:tcW w:w="4760" w:type="dxa"/>
            <w:vAlign w:val="bottom"/>
            <w:gridSpan w:val="1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International Operations</w:t>
              </w:r>
            </w:hyperlink>
          </w:p>
        </w:tc>
        <w:tc>
          <w:tcPr>
            <w:tcW w:w="6060" w:type="dxa"/>
            <w:vAlign w:val="bottom"/>
            <w:gridSpan w:val="1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Competition</w:t>
              </w:r>
            </w:hyperlink>
          </w:p>
        </w:tc>
        <w:tc>
          <w:tcPr>
            <w:tcW w:w="6920" w:type="dxa"/>
            <w:vAlign w:val="bottom"/>
            <w:gridSpan w:val="2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Backlog</w:t>
              </w:r>
            </w:hyperlink>
          </w:p>
        </w:tc>
        <w:tc>
          <w:tcPr>
            <w:tcW w:w="7200" w:type="dxa"/>
            <w:vAlign w:val="bottom"/>
            <w:gridSpan w:val="2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Environment</w:t>
              </w:r>
            </w:hyperlink>
          </w:p>
        </w:tc>
        <w:tc>
          <w:tcPr>
            <w:tcW w:w="6880" w:type="dxa"/>
            <w:vAlign w:val="bottom"/>
            <w:gridSpan w:val="2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Employees</w:t>
              </w:r>
            </w:hyperlink>
          </w:p>
        </w:tc>
        <w:tc>
          <w:tcPr>
            <w:tcW w:w="7020" w:type="dxa"/>
            <w:vAlign w:val="bottom"/>
            <w:gridSpan w:val="2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3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Acquisitions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Financial Information About Foreign and Domestic Operations and Export Sales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5800" w:type="dxa"/>
            <w:vAlign w:val="bottom"/>
            <w:tcBorders>
              <w:top w:val="single" w:sz="8" w:color="0000EE"/>
            </w:tcBorders>
            <w:gridSpan w:val="2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Available on the Internet</w:t>
              </w:r>
            </w:hyperlink>
          </w:p>
        </w:tc>
        <w:tc>
          <w:tcPr>
            <w:tcW w:w="2220" w:type="dxa"/>
            <w:vAlign w:val="bottom"/>
            <w:gridSpan w:val="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2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1B. Unresolved Staff Comments</w:t>
              </w:r>
            </w:hyperlink>
          </w:p>
        </w:tc>
        <w:tc>
          <w:tcPr>
            <w:tcW w:w="5500" w:type="dxa"/>
            <w:vAlign w:val="bottom"/>
            <w:gridSpan w:val="1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1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Item 2. Properties</w:t>
              </w:r>
            </w:hyperlink>
          </w:p>
        </w:tc>
        <w:tc>
          <w:tcPr>
            <w:tcW w:w="6920" w:type="dxa"/>
            <w:vAlign w:val="bottom"/>
            <w:gridSpan w:val="2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822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 Legal Proceedings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2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4. (Removed and Reserved)</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378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8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 Market for Registrant’s Common Equity, Related Stockholder Matters and Issuer Purchases of Equity</w:t>
              </w:r>
            </w:hyperlink>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3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Securities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6. Selected Financial Data</w:t>
              </w:r>
            </w:hyperlink>
          </w:p>
        </w:tc>
        <w:tc>
          <w:tcPr>
            <w:tcW w:w="5960" w:type="dxa"/>
            <w:vAlign w:val="bottom"/>
            <w:gridSpan w:val="1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8220" w:type="dxa"/>
            <w:vAlign w:val="bottom"/>
            <w:gridSpan w:val="3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7. 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bottom w:val="single" w:sz="8" w:color="0000EE"/>
            </w:tcBorders>
            <w:gridSpan w:val="2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122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388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8. Financial Statements and Supplementary Data</w:t>
              </w:r>
            </w:hyperlink>
          </w:p>
        </w:tc>
        <w:tc>
          <w:tcPr>
            <w:tcW w:w="4340" w:type="dxa"/>
            <w:vAlign w:val="bottom"/>
            <w:gridSpan w:val="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706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9. Changes in and Disagreements With Accountants on Accounting and Financial Disclosure</w:t>
              </w:r>
            </w:hyperlink>
          </w:p>
        </w:tc>
        <w:tc>
          <w:tcPr>
            <w:tcW w:w="1160" w:type="dxa"/>
            <w:vAlign w:val="bottom"/>
            <w:gridSpan w:val="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8220" w:type="dxa"/>
            <w:vAlign w:val="bottom"/>
            <w:gridSpan w:val="3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9A. Controls and Procedures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9B. Other Information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72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42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Item 10. Directors and Executive Officers of the Registrant</w:t>
              </w:r>
            </w:hyperlink>
          </w:p>
        </w:tc>
        <w:tc>
          <w:tcPr>
            <w:tcW w:w="394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24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11. Executive Compensation</w:t>
              </w:r>
            </w:hyperlink>
          </w:p>
        </w:tc>
        <w:tc>
          <w:tcPr>
            <w:tcW w:w="5760" w:type="dxa"/>
            <w:vAlign w:val="bottom"/>
            <w:gridSpan w:val="1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2"/>
        </w:trPr>
        <w:tc>
          <w:tcPr>
            <w:tcW w:w="20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Compensation Discussion and Analysis</w:t>
              </w:r>
            </w:hyperlink>
          </w:p>
        </w:tc>
        <w:tc>
          <w:tcPr>
            <w:tcW w:w="5140" w:type="dxa"/>
            <w:vAlign w:val="bottom"/>
            <w:gridSpan w:val="1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2"/>
        </w:trPr>
        <w:tc>
          <w:tcPr>
            <w:tcW w:w="200" w:type="dxa"/>
            <w:vAlign w:val="bottom"/>
          </w:tcPr>
          <w:p>
            <w:pPr>
              <w:spacing w:after="0"/>
              <w:rPr>
                <w:sz w:val="24"/>
                <w:szCs w:val="24"/>
                <w:color w:val="auto"/>
              </w:rPr>
            </w:pPr>
          </w:p>
        </w:tc>
        <w:tc>
          <w:tcPr>
            <w:tcW w:w="4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Compensation Committee Interlocks and Insider Participation</w:t>
              </w:r>
            </w:hyperlink>
          </w:p>
        </w:tc>
        <w:tc>
          <w:tcPr>
            <w:tcW w:w="354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2"/>
        </w:trPr>
        <w:tc>
          <w:tcPr>
            <w:tcW w:w="200" w:type="dxa"/>
            <w:vAlign w:val="bottom"/>
          </w:tcPr>
          <w:p>
            <w:pPr>
              <w:spacing w:after="0"/>
              <w:rPr>
                <w:sz w:val="24"/>
                <w:szCs w:val="24"/>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Compensation Committee Report</w:t>
              </w:r>
            </w:hyperlink>
          </w:p>
        </w:tc>
        <w:tc>
          <w:tcPr>
            <w:tcW w:w="5580" w:type="dxa"/>
            <w:vAlign w:val="bottom"/>
            <w:gridSpan w:val="1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2"/>
        </w:trPr>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Summary Compensation Table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Grants of Plan-Based Awards for 2010</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Outstanding Equity Awards at 2010 Fiscal Year End</w:t>
              </w:r>
            </w:hyperlink>
          </w:p>
        </w:tc>
        <w:tc>
          <w:tcPr>
            <w:tcW w:w="424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200" w:type="dxa"/>
            <w:vAlign w:val="bottom"/>
          </w:tcPr>
          <w:p>
            <w:pPr>
              <w:spacing w:after="0"/>
              <w:rPr>
                <w:sz w:val="24"/>
                <w:szCs w:val="24"/>
                <w:color w:val="auto"/>
              </w:rPr>
            </w:pPr>
          </w:p>
        </w:tc>
        <w:tc>
          <w:tcPr>
            <w:tcW w:w="36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Option Exercises and Stock Vested for Fiscal 2010</w:t>
              </w:r>
            </w:hyperlink>
          </w:p>
        </w:tc>
        <w:tc>
          <w:tcPr>
            <w:tcW w:w="4340" w:type="dxa"/>
            <w:vAlign w:val="bottom"/>
            <w:gridSpan w:val="1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2"/>
        </w:trPr>
        <w:tc>
          <w:tcPr>
            <w:tcW w:w="200" w:type="dxa"/>
            <w:vAlign w:val="bottom"/>
          </w:tcPr>
          <w:p>
            <w:pPr>
              <w:spacing w:after="0"/>
              <w:rPr>
                <w:sz w:val="24"/>
                <w:szCs w:val="24"/>
                <w:color w:val="auto"/>
              </w:rPr>
            </w:pPr>
          </w:p>
        </w:tc>
        <w:tc>
          <w:tcPr>
            <w:tcW w:w="39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Non-Qualified Deferred Compensation for Fiscal 2010</w:t>
              </w:r>
            </w:hyperlink>
          </w:p>
        </w:tc>
        <w:tc>
          <w:tcPr>
            <w:tcW w:w="404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2"/>
        </w:trPr>
        <w:tc>
          <w:tcPr>
            <w:tcW w:w="20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Potential Payments Upon Termination or Change in Control</w:t>
              </w:r>
            </w:hyperlink>
          </w:p>
        </w:tc>
        <w:tc>
          <w:tcPr>
            <w:tcW w:w="368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Compensation of Directors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 Compensation Table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734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Item 12. Security Ownership of Certain Beneficial Owners and Management and Related Stockholder</w:t>
              </w:r>
            </w:hyperlink>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8000" w:type="dxa"/>
            <w:vAlign w:val="bottom"/>
            <w:gridSpan w:val="2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Matters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8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Item 13. Certain Relationships, Related Transactions, and Director Independence</w:t>
              </w:r>
            </w:hyperlink>
          </w:p>
        </w:tc>
        <w:tc>
          <w:tcPr>
            <w:tcW w:w="23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820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14. Principal Accounting Fees and Services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IV</w:t>
              </w:r>
            </w:hyperlink>
          </w:p>
        </w:tc>
        <w:tc>
          <w:tcPr>
            <w:tcW w:w="1040" w:type="dxa"/>
            <w:vAlign w:val="bottom"/>
          </w:tcPr>
          <w:p>
            <w:pPr>
              <w:spacing w:after="0"/>
              <w:rPr>
                <w:sz w:val="24"/>
                <w:szCs w:val="24"/>
                <w:color w:val="auto"/>
              </w:rPr>
            </w:pPr>
          </w:p>
        </w:tc>
      </w:tr>
      <w:tr>
        <w:trPr>
          <w:trHeight w:val="412"/>
        </w:trPr>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Item 15. Exhibits, Financial Statement Schedules</w:t>
              </w:r>
            </w:hyperlink>
          </w:p>
        </w:tc>
        <w:tc>
          <w:tcPr>
            <w:tcW w:w="220" w:type="dxa"/>
            <w:vAlign w:val="bottom"/>
            <w:gridSpan w:val="2"/>
          </w:tcPr>
          <w:p>
            <w:pPr>
              <w:spacing w:after="0"/>
              <w:rPr>
                <w:sz w:val="24"/>
                <w:szCs w:val="24"/>
                <w:color w:val="auto"/>
              </w:rPr>
            </w:pPr>
          </w:p>
        </w:tc>
        <w:tc>
          <w:tcPr>
            <w:tcW w:w="700" w:type="dxa"/>
            <w:vAlign w:val="bottom"/>
            <w:tcBorders>
              <w:top w:val="single" w:sz="8" w:color="0000EE"/>
            </w:tcBorders>
            <w:gridSpan w:val="5"/>
          </w:tcPr>
          <w:p>
            <w:pPr>
              <w:spacing w:after="0"/>
              <w:rPr>
                <w:sz w:val="24"/>
                <w:szCs w:val="24"/>
                <w:color w:val="auto"/>
              </w:rPr>
            </w:pPr>
          </w:p>
        </w:tc>
        <w:tc>
          <w:tcPr>
            <w:tcW w:w="374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8">
              <w:r>
                <w:rPr>
                  <w:rFonts w:ascii="Arial" w:cs="Arial" w:eastAsia="Arial" w:hAnsi="Arial"/>
                  <w:sz w:val="18"/>
                  <w:szCs w:val="18"/>
                  <w:color w:val="0000EE"/>
                  <w:w w:val="85"/>
                </w:rPr>
                <w:t>Signatures</w:t>
              </w:r>
            </w:hyperlink>
          </w:p>
        </w:tc>
        <w:tc>
          <w:tcPr>
            <w:tcW w:w="7440" w:type="dxa"/>
            <w:vAlign w:val="bottom"/>
            <w:gridSpan w:val="23"/>
          </w:tcPr>
          <w:p>
            <w:pPr>
              <w:spacing w:after="0"/>
              <w:rPr>
                <w:sz w:val="24"/>
                <w:szCs w:val="24"/>
                <w:color w:val="auto"/>
              </w:rPr>
            </w:pPr>
          </w:p>
        </w:tc>
        <w:tc>
          <w:tcPr>
            <w:tcW w:w="1040" w:type="dxa"/>
            <w:vAlign w:val="bottom"/>
          </w:tcPr>
          <w:p>
            <w:pPr>
              <w:spacing w:after="0"/>
              <w:rPr>
                <w:sz w:val="24"/>
                <w:szCs w:val="24"/>
                <w:color w:val="auto"/>
              </w:rPr>
            </w:pP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08"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9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a Wisconsin corporation founded in 1914, currently operates globally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The Company also sells through subsidiaries or sales offices in these countries, with additional sales through a dedicated team of international sales representatives in New Zealand, Russia, Taiwan, Turkey, Vietnam and the United Arab Emirates.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26"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8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43"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Brady Corporation is an international manufacturer and marketer of identification solutions and specialty products that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brand protection,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many of its markets.</w:t>
      </w:r>
    </w:p>
    <w:p>
      <w:pPr>
        <w:spacing w:after="0" w:line="13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and bar-code labels and precision die-cut components for mobile telecommunications devices, hard disk drives, medical devices and supplies, and automotive and other electronics. Products are marketed through multiple channels, including distributors, resellers, business-to-business direct marketing and a direct sales force.</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has a broad customer base, with its largest customer representing approximately 6% of net sales.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Competitive Strengths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believes the following competitive strengths will allow it to achieve its growth and profitability strategies:</w:t>
      </w:r>
    </w:p>
    <w:p>
      <w:pPr>
        <w:spacing w:after="0" w:line="19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Leader in Niche Markets. </w:t>
      </w:r>
      <w:r>
        <w:rPr>
          <w:rFonts w:ascii="Arial" w:cs="Arial" w:eastAsia="Arial" w:hAnsi="Arial"/>
          <w:sz w:val="16"/>
          <w:szCs w:val="16"/>
          <w:color w:val="auto"/>
        </w:rPr>
        <w:t>Brady competes in niche markets where it believes it is often the leading supplier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expertise, infrastructure, channels and sales resources necessary to provide the required product or comprehensive solution. For example, the Company believes it is the leading supplier of wire identification products to the North American MRO (Maintenance, Repair and Operations)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Differentiated Solutions and Commitment to Innovation. </w:t>
      </w:r>
      <w:r>
        <w:rPr>
          <w:rFonts w:ascii="Arial" w:cs="Arial" w:eastAsia="Arial" w:hAnsi="Arial"/>
          <w:sz w:val="18"/>
          <w:szCs w:val="18"/>
          <w:color w:val="auto"/>
        </w:rPr>
        <w:t>The Company believes its sophisticated engineering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capabilities, as well as its expertise in materials,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aerospace, defense, and mass transit.</w:t>
      </w:r>
    </w:p>
    <w:p>
      <w:pPr>
        <w:spacing w:after="0" w:line="16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i w:val="1"/>
          <w:iCs w:val="1"/>
          <w:color w:val="auto"/>
        </w:rPr>
        <w:t xml:space="preserve">Operational Excellence. </w:t>
      </w:r>
      <w:r>
        <w:rPr>
          <w:rFonts w:ascii="Arial" w:cs="Arial" w:eastAsia="Arial" w:hAnsi="Arial"/>
          <w:sz w:val="17"/>
          <w:szCs w:val="17"/>
          <w:color w:val="auto"/>
        </w:rPr>
        <w:t>Brady continues to improve in operational productivity. It employs well-developed problem</w:t>
      </w:r>
      <w:r>
        <w:rPr>
          <w:rFonts w:ascii="Arial" w:cs="Arial" w:eastAsia="Arial" w:hAnsi="Arial"/>
          <w:sz w:val="17"/>
          <w:szCs w:val="17"/>
          <w:i w:val="1"/>
          <w:iCs w:val="1"/>
          <w:color w:val="auto"/>
        </w:rPr>
        <w:t xml:space="preserve"> </w:t>
      </w:r>
      <w:r>
        <w:rPr>
          <w:rFonts w:ascii="Arial" w:cs="Arial" w:eastAsia="Arial" w:hAnsi="Arial"/>
          <w:sz w:val="17"/>
          <w:szCs w:val="17"/>
          <w:color w:val="auto"/>
        </w:rPr>
        <w:t>solving techniques through the Brady Business Performance System (“BBPS”) and invests in state-of-the-art equipment to capture efficiencies. The Company is largely vertically integrated and designs, manufactures and markets a majority of the products it sells. The Company has consistently generated positive cash flow from operations by continually reducing costs, improving working capital, and optimizing the efficiency of its manufacturing operations.</w:t>
      </w:r>
    </w:p>
    <w:p>
      <w:pPr>
        <w:spacing w:after="0" w:line="13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i w:val="1"/>
          <w:iCs w:val="1"/>
          <w:color w:val="auto"/>
        </w:rPr>
        <w:t xml:space="preserve">Broad Customer Base and Geographic Diversity. </w:t>
      </w:r>
      <w:r>
        <w:rPr>
          <w:rFonts w:ascii="Arial" w:cs="Arial" w:eastAsia="Arial" w:hAnsi="Arial"/>
          <w:sz w:val="17"/>
          <w:szCs w:val="17"/>
          <w:color w:val="auto"/>
        </w:rPr>
        <w:t>Brady believes its global infrastructure and diverse market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solid platform for further expansion, and enable it to act as a primary supplier to many of its global customers. Sales from international operations increased from 44.4% of net sales in fiscal 2000 to 63.4% of net sales in fiscal 2010. The Company’s broad product offering and global presence benefit many of its customers who seek a single or primary supplier. Brady has more than one million end-customers that operate in multiple industries.</w:t>
      </w:r>
    </w:p>
    <w:p>
      <w:pPr>
        <w:spacing w:after="0" w:line="13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Disciplined Acquisition and Integration Strategy. </w:t>
      </w:r>
      <w:r>
        <w:rPr>
          <w:rFonts w:ascii="Arial" w:cs="Arial" w:eastAsia="Arial" w:hAnsi="Arial"/>
          <w:sz w:val="16"/>
          <w:szCs w:val="16"/>
          <w:color w:val="auto"/>
        </w:rPr>
        <w:t>The Company has a dedicated team of experienced professionals that</w:t>
      </w:r>
      <w:r>
        <w:rPr>
          <w:rFonts w:ascii="Arial" w:cs="Arial" w:eastAsia="Arial" w:hAnsi="Arial"/>
          <w:sz w:val="16"/>
          <w:szCs w:val="16"/>
          <w:i w:val="1"/>
          <w:iCs w:val="1"/>
          <w:color w:val="auto"/>
        </w:rPr>
        <w:t xml:space="preserve"> </w:t>
      </w:r>
      <w:r>
        <w:rPr>
          <w:rFonts w:ascii="Arial" w:cs="Arial" w:eastAsia="Arial" w:hAnsi="Arial"/>
          <w:sz w:val="16"/>
          <w:szCs w:val="16"/>
          <w:color w:val="auto"/>
        </w:rPr>
        <w:t>employ a disciplined acquisition strategy and process to acquire companies. It applies strict financial standards to evaluate all acquisitions using an expected return model based on a modified return on invested capital calculation. It also conducts disciplined integration reviews of acquired companies to track progress toward results expected at the time of acquisition. Since 1996, the Company has acquired and integrated 56 companies to increase market share in existing and new geographies, expand the product range it offers to both existing and new customers, as well as add new technological capabilities.</w:t>
      </w:r>
    </w:p>
    <w:p>
      <w:pPr>
        <w:spacing w:after="0" w:line="13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i w:val="1"/>
          <w:iCs w:val="1"/>
          <w:color w:val="auto"/>
        </w:rPr>
        <w:t xml:space="preserve">Channel Diversity and Strength. </w:t>
      </w:r>
      <w:r>
        <w:rPr>
          <w:rFonts w:ascii="Arial" w:cs="Arial" w:eastAsia="Arial" w:hAnsi="Arial"/>
          <w:sz w:val="17"/>
          <w:szCs w:val="17"/>
          <w:color w:val="auto"/>
        </w:rPr>
        <w:t>Brady utilizes a wide range of channels to reach customers across a broad array of</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It employs direct marketing expertise to meet its customers’ need for convenience. The Company also has long-standing relationships with, and is a preferred supplier to, many of its largest distributors. In addition, the Company employs a global sales team to support both distributors and customers and to serve their productivity, tracking and safety requirements. The Company believes its strong brands and reputation for quality, innovation and on-time delivery contribute to the popularity of its products with distributors, original equipment manufacturers (“OEMs”), resellers and other customers.</w:t>
      </w:r>
    </w:p>
    <w:p>
      <w:pPr>
        <w:spacing w:after="0" w:line="13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i w:val="1"/>
          <w:iCs w:val="1"/>
          <w:color w:val="auto"/>
        </w:rPr>
        <w:t xml:space="preserve">Deep and Talented Team. </w:t>
      </w:r>
      <w:r>
        <w:rPr>
          <w:rFonts w:ascii="Arial" w:cs="Arial" w:eastAsia="Arial" w:hAnsi="Arial"/>
          <w:sz w:val="16"/>
          <w:szCs w:val="16"/>
          <w:color w:val="auto"/>
        </w:rPr>
        <w:t>The Company believes that its team of employees has substantial depth in critical operational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areas and has demonstrated success in reducing costs, integrating acquisitions and improving processes through economic cycles. The international experience of its management team and its commitment to developing strong management teams in each of its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Strategies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primary objectives are to build upon its leading market positions, to improve its performance and profitability and to expand its existing activities through a multi-pronged strategic approach that focuses on improved productivity and revenue expansion. The Company’s key strategies include:</w:t>
      </w:r>
    </w:p>
    <w:p>
      <w:pPr>
        <w:spacing w:after="0" w:line="141"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Expansion</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Capitalize on Growing Niche Markets. </w:t>
      </w:r>
      <w:r>
        <w:rPr>
          <w:rFonts w:ascii="Arial" w:cs="Arial" w:eastAsia="Arial" w:hAnsi="Arial"/>
          <w:sz w:val="18"/>
          <w:szCs w:val="18"/>
          <w:color w:val="auto"/>
        </w:rPr>
        <w:t>The Company seeks to leverage its distribution network, global footprint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 in manufacturing and materials expertise to capitalize on growth in existing niche markets. Growth prospects are driven primarily by the general expansion of regional economies, changes in legal and regulatory compliance requirements and the increased need of customers to identify and protect their assets and employees, as well as technological advances in markets such as mobile telecommunications and other electronic devices.</w:t>
      </w:r>
    </w:p>
    <w:p>
      <w:pPr>
        <w:spacing w:after="0" w:line="16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i w:val="1"/>
          <w:iCs w:val="1"/>
          <w:color w:val="auto"/>
        </w:rPr>
        <w:t xml:space="preserve">Increase Market Share. </w:t>
      </w:r>
      <w:r>
        <w:rPr>
          <w:rFonts w:ascii="Arial" w:cs="Arial" w:eastAsia="Arial" w:hAnsi="Arial"/>
          <w:sz w:val="17"/>
          <w:szCs w:val="17"/>
          <w:color w:val="auto"/>
        </w:rPr>
        <w:t>Many Brady markets are fragmented and populated with smaller regional or local competitors.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seeks to leverage its investment in new product development and its global sales, operations and distribution capabilities to increase market share, as well as expand its distribution channels to capture new customers. The Company employs a dedicated and experienced sales team that works closely with existing distributors and customers to identify and capture new opportunities. In addition, Brady plans to leverage the strength of its brands, the quality of its products and its long-standing relationships with key customers to build upon current market positions.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Enter New Markets. </w:t>
      </w:r>
      <w:r>
        <w:rPr>
          <w:rFonts w:ascii="Arial" w:cs="Arial" w:eastAsia="Arial" w:hAnsi="Arial"/>
          <w:sz w:val="18"/>
          <w:szCs w:val="18"/>
          <w:color w:val="auto"/>
        </w:rPr>
        <w:t>The Company looks to leverage its quality products, global infrastructure, channel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capabilities to effectively enter new markets, many of which are fragmented and populated with smaller competitors. The Company is also considering entering adjacent markets where its core competencies can be successfully leveraged. The Company reviews its product and market portfolio on a regular basis through its standardized review process in order to identify new opportunities.</w:t>
      </w:r>
    </w:p>
    <w:p>
      <w:pPr>
        <w:spacing w:after="0" w:line="16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Expand Geographically. </w:t>
      </w:r>
      <w:r>
        <w:rPr>
          <w:rFonts w:ascii="Arial" w:cs="Arial" w:eastAsia="Arial" w:hAnsi="Arial"/>
          <w:sz w:val="17"/>
          <w:szCs w:val="17"/>
          <w:color w:val="auto"/>
        </w:rPr>
        <w:t>Brady’s long-term strategy involves the pursuit of growth opportunities in a number of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outside of the United States. The Company is committed to being in close proximity to its customers and to low-cost manufacturing. Brady currently operates in 30 countries and employs approximately 6,600 people. Of the approximately 6,600 global employees, Asia-Pacific accounts for 41%, with the Americas and Europe employing 38%, and 21% of the workforce, respectively.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137"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i w:val="1"/>
          <w:iCs w:val="1"/>
          <w:color w:val="auto"/>
        </w:rPr>
        <w:t xml:space="preserve">Market/Customer Segmentation and Voice of the Customer. </w:t>
      </w:r>
      <w:r>
        <w:rPr>
          <w:rFonts w:ascii="Arial" w:cs="Arial" w:eastAsia="Arial" w:hAnsi="Arial"/>
          <w:sz w:val="16"/>
          <w:szCs w:val="16"/>
          <w:color w:val="auto"/>
        </w:rPr>
        <w:t>In fiscal 2010, the Company launched a systematic process to</w:t>
      </w:r>
      <w:r>
        <w:rPr>
          <w:rFonts w:ascii="Arial" w:cs="Arial" w:eastAsia="Arial" w:hAnsi="Arial"/>
          <w:sz w:val="16"/>
          <w:szCs w:val="16"/>
          <w:i w:val="1"/>
          <w:iCs w:val="1"/>
          <w:color w:val="auto"/>
        </w:rPr>
        <w:t xml:space="preserve"> </w:t>
      </w:r>
      <w:r>
        <w:rPr>
          <w:rFonts w:ascii="Arial" w:cs="Arial" w:eastAsia="Arial" w:hAnsi="Arial"/>
          <w:sz w:val="16"/>
          <w:szCs w:val="16"/>
          <w:color w:val="auto"/>
        </w:rPr>
        <w:t>facilitate its goals for growth into new and/or adjacent market spaces and focus Company resources on the best and most promising business development opportunities. Market and Customer Segmentation identifies fast growing, profitable market segments and the most attractive customers within these segments, while Voice of the Customer provides a more complete understanding of what these customers want and need in terms of products, services, and delivery options.</w:t>
      </w:r>
    </w:p>
    <w:p>
      <w:pPr>
        <w:spacing w:after="0" w:line="11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Pursue Strategic Acquisitions. </w:t>
      </w:r>
      <w:r>
        <w:rPr>
          <w:rFonts w:ascii="Arial" w:cs="Arial" w:eastAsia="Arial" w:hAnsi="Arial"/>
          <w:sz w:val="17"/>
          <w:szCs w:val="17"/>
          <w:color w:val="auto"/>
        </w:rPr>
        <w:t>The Company intends to continue to make complementary strategic acquisitions to further its</w:t>
      </w:r>
      <w:r>
        <w:rPr>
          <w:rFonts w:ascii="Arial" w:cs="Arial" w:eastAsia="Arial" w:hAnsi="Arial"/>
          <w:sz w:val="17"/>
          <w:szCs w:val="17"/>
          <w:i w:val="1"/>
          <w:iCs w:val="1"/>
          <w:color w:val="auto"/>
        </w:rPr>
        <w:t xml:space="preserve"> </w:t>
      </w:r>
      <w:r>
        <w:rPr>
          <w:rFonts w:ascii="Arial" w:cs="Arial" w:eastAsia="Arial" w:hAnsi="Arial"/>
          <w:sz w:val="17"/>
          <w:szCs w:val="17"/>
          <w:color w:val="auto"/>
        </w:rPr>
        <w:t>goals of strengthening its market positions and entering new markets, new geographies and adjacent markets, where Brady competencies can be applied and social, economic and cultural trends can be positively leveraged. Brady works to drive substantial value creation through capitalizing on its acquisition and integration acumen.</w:t>
      </w:r>
    </w:p>
    <w:p>
      <w:pPr>
        <w:spacing w:after="0" w:line="144"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i w:val="1"/>
          <w:iCs w:val="1"/>
          <w:color w:val="auto"/>
        </w:rPr>
        <w:t xml:space="preserve">New Product Development. </w:t>
      </w:r>
      <w:r>
        <w:rPr>
          <w:rFonts w:ascii="Arial" w:cs="Arial" w:eastAsia="Arial" w:hAnsi="Arial"/>
          <w:sz w:val="16"/>
          <w:szCs w:val="16"/>
          <w:color w:val="auto"/>
        </w:rPr>
        <w:t>Through product innovation and development activities, Brady seeks to introduce new</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differentiated products that leverage its capabilities in specialty materials, die-cutting, software and printing systems. The Company continues to invest in research and development activities, and employs approximately 235 R&amp;D professionals worldwide. In fiscal 2009 and 2010, the Company expanded its R&amp;D operations in Singapore and Beijing, China. Amounts incurred for research and development activities were 3.4% and 2.8% of sales in fiscal 2010 and 2009, respectively.</w:t>
      </w:r>
    </w:p>
    <w:p>
      <w:pPr>
        <w:spacing w:after="0" w:line="118"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Improve Productivity</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Brady Business Performance System. </w:t>
      </w:r>
      <w:r>
        <w:rPr>
          <w:rFonts w:ascii="Arial" w:cs="Arial" w:eastAsia="Arial" w:hAnsi="Arial"/>
          <w:sz w:val="17"/>
          <w:szCs w:val="17"/>
          <w:color w:val="auto"/>
        </w:rPr>
        <w:t>The Company plans to continue its focus on improving operating efficiency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service, reducing costs, and improving productivity and return on invested capital. To this end, Brady is continuing the expansion of its Brady Business Performance System (“BBPS”) in most of its operations globally. This approach to improving profitability focuses on strategy deployment, operational efficiencies and lean manufacturing principles to drive cost savings, enhance customer service and improve overall business performance. In fiscal 2010, Brady accelerated the use of BBPS and its underlying principles beyond the manufacturing floor to functions such as human resources, information technology, finance, and sales and marketing which will continue in fiscal 2011.</w:t>
      </w:r>
    </w:p>
    <w:p>
      <w:pPr>
        <w:spacing w:after="0" w:line="15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Strategic Sourcing. </w:t>
      </w:r>
      <w:r>
        <w:rPr>
          <w:rFonts w:ascii="Arial" w:cs="Arial" w:eastAsia="Arial" w:hAnsi="Arial"/>
          <w:sz w:val="17"/>
          <w:szCs w:val="17"/>
          <w:color w:val="auto"/>
        </w:rPr>
        <w:t>Through coordinated supply chain management, the Company looks to increase productivity and</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efficiency in the process of procuring goods and services ranging from raw materials and products for resale, to travel and other services, as well as energy, communication and building lease costs. Brady’s strategic sourcing initiative, launched in fiscal 2010, focuses on reducing both direct and indirect spending while also implementing standard processes globally.</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Sales and Marketing Productivity and Effectiveness</w:t>
      </w:r>
      <w:r>
        <w:rPr>
          <w:rFonts w:ascii="Arial" w:cs="Arial" w:eastAsia="Arial" w:hAnsi="Arial"/>
          <w:sz w:val="18"/>
          <w:szCs w:val="18"/>
          <w:color w:val="auto"/>
        </w:rPr>
        <w:t>. In fiscal 2010, the Company created a global team to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the effectiveness and efficiency of its sales and marketing professionals and processes to better service our existing customers and prospective customers while better managing our sales and marketing costs.</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General and Administrative Expense Controls. </w:t>
      </w:r>
      <w:r>
        <w:rPr>
          <w:rFonts w:ascii="Arial" w:cs="Arial" w:eastAsia="Arial" w:hAnsi="Arial"/>
          <w:sz w:val="18"/>
          <w:szCs w:val="18"/>
          <w:color w:val="auto"/>
        </w:rPr>
        <w:t>The Company is focusing on the automation, standardization,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simplification of its back-office activities including finance, information technology, and other functions. This includes the centralization of certain functions in global and regional shared service centers to better leverage talent and gain economies of scale.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largely vertically integrated by designing, developing, and producing the majority of its products internally. Brady materials are developed internally and manufactured out of a variety of films, many of which are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has thousands of stock and custom products which consist of complete identification systems and other products used to create a safer work environment, improve operating efficiencies, and increase the utilization of assets through tracking and inventory process controls. Major product categories include: facility and safety signs, identification tags and markers, pipe and valve markers, asset identification labels, lockout/tagout products, security and traffic control products, printing systems and software for creating safety and regulatory labels and signs, spill control and clean-up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16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Some of the Company’s stock products were originally designed, developed and manufactured as custom products for a specific application. However, such products have frequently created wide industry acceptance and have become stock items offered by the Company through direct marketing and distributor sales. The Company’s most significant types of products are described below.</w:t>
      </w:r>
    </w:p>
    <w:p>
      <w:pPr>
        <w:spacing w:after="0" w:line="146"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Safety and Facility Identification</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Informational signs, tags and labels, and do-it-yourself printers </w:t>
      </w:r>
      <w:r>
        <w:rPr>
          <w:rFonts w:ascii="Arial" w:cs="Arial" w:eastAsia="Arial" w:hAnsi="Arial"/>
          <w:sz w:val="17"/>
          <w:szCs w:val="17"/>
          <w:color w:val="auto"/>
        </w:rPr>
        <w:t>for use in a broad range of industrial, utility,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and institutional applications. These products are either self-adhesive or mechanically 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products.</w:t>
      </w:r>
    </w:p>
    <w:p>
      <w:pPr>
        <w:spacing w:after="0" w:line="15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labels, tags, and printing systems used to locate and identify inventory in</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facilities such as warehouses, factories, stockrooms and other industrial facilities.</w:t>
      </w:r>
    </w:p>
    <w:p>
      <w:pPr>
        <w:spacing w:after="0" w:line="13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Pipe markers and valve tags </w:t>
      </w:r>
      <w:r>
        <w:rPr>
          <w:rFonts w:ascii="Arial" w:cs="Arial" w:eastAsia="Arial" w:hAnsi="Arial"/>
          <w:sz w:val="17"/>
          <w:szCs w:val="17"/>
          <w:color w:val="auto"/>
        </w:rPr>
        <w:t>including plastic or metal, self-adhesive or mechanically applied stock or custom-designed</w:t>
      </w:r>
      <w:r>
        <w:rPr>
          <w:rFonts w:ascii="Arial" w:cs="Arial" w:eastAsia="Arial" w:hAnsi="Arial"/>
          <w:sz w:val="17"/>
          <w:szCs w:val="17"/>
          <w:i w:val="1"/>
          <w:iCs w:val="1"/>
          <w:color w:val="auto"/>
        </w:rPr>
        <w:t xml:space="preserve"> </w:t>
      </w:r>
      <w:r>
        <w:rPr>
          <w:rFonts w:ascii="Arial" w:cs="Arial" w:eastAsia="Arial" w:hAnsi="Arial"/>
          <w:sz w:val="17"/>
          <w:szCs w:val="17"/>
          <w:color w:val="auto"/>
        </w:rPr>
        <w:t>pieces for the identification of 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13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Asset-identification products </w:t>
      </w:r>
      <w:r>
        <w:rPr>
          <w:rFonts w:ascii="Arial" w:cs="Arial" w:eastAsia="Arial" w:hAnsi="Arial"/>
          <w:sz w:val="18"/>
          <w:szCs w:val="18"/>
          <w:color w:val="auto"/>
        </w:rPr>
        <w:t>that are an important part of an effective asset-management program in a wide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Lockout/tagout products </w:t>
      </w:r>
      <w:r>
        <w:rPr>
          <w:rFonts w:ascii="Arial" w:cs="Arial" w:eastAsia="Arial" w:hAnsi="Arial"/>
          <w:sz w:val="18"/>
          <w:szCs w:val="18"/>
          <w:color w:val="auto"/>
        </w:rPr>
        <w:t>— under OSHA regulations, all energy sources must be “locked out” while machines are being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serviced or maintained to prevent accidental engagement and injury. The Company’s products allow its customers to comply with these regulations and to ensure worker safety for a wide variety of energy and fluid transmission systems and operating machinery.</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security seals, parking permits and wristbands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visitor control in financial, governmental, educational and 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14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i w:val="1"/>
          <w:iCs w:val="1"/>
          <w:color w:val="auto"/>
        </w:rPr>
        <w:t xml:space="preserve">Spill control and clean-up products </w:t>
      </w:r>
      <w:r>
        <w:rPr>
          <w:rFonts w:ascii="Arial" w:cs="Arial" w:eastAsia="Arial" w:hAnsi="Arial"/>
          <w:sz w:val="17"/>
          <w:szCs w:val="17"/>
          <w:color w:val="auto"/>
        </w:rPr>
        <w:t>including natural and synthetic sorbent materials in a variety of shapes, sizes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configurations; spill kits, containment booms, industrial rugs, absorbing pillows and pads, barrier spill matting and granular absorbents; and other products for absorbing and controlling chemical, oil-based and water-based spills.</w:t>
      </w:r>
    </w:p>
    <w:p>
      <w:pPr>
        <w:spacing w:after="0" w:line="139"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Wire and Cable Identification</w:t>
      </w:r>
    </w:p>
    <w:p>
      <w:pPr>
        <w:spacing w:after="0" w:line="18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Brady manufactures a broad range of wire and cable-marking products, including labels, sleeves, printers and software that allow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High Performance Identification</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Brady produces a complete line of label materials and printing systems to meet customers’ needs for identification requirements for product identification, brand protection labeling, tamper-evident labeling, work in process labeling, finished product identification and bar coding that perform under harsh or demanding conditions. Brady prints stock and custom labels and also sells unprinted materials to enable customers to print their own labels.</w:t>
      </w:r>
    </w:p>
    <w:p>
      <w:pPr>
        <w:spacing w:after="0" w:line="146"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Precision Die-Cut Parts</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manufactures customized precision die-cut products that are used to seal, insulate, protect, shield or provide other mechanical performance properties in the assembly of electronic, telecommunications and other equipment, including mobile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patient monitoring, and bandaging applications.</w:t>
      </w:r>
    </w:p>
    <w:p>
      <w:pPr>
        <w:spacing w:after="0" w:line="13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People Identification</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offers identification systems and products including photo ID card systems that combine biometrics, digital imaging and other technologies to positively identify people; self-expiring name tags that make use of migratory ink technology which, upon activation, starts a timed process resulting in an altered message, color or design to indicate expiration; software for visitor and employee identification; and identification accessories including lanyards, badge holders, badge reels and attachments, as well as photo identification kits.</w:t>
      </w:r>
    </w:p>
    <w:p>
      <w:pPr>
        <w:spacing w:after="0" w:line="148"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Products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and Sales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retail,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16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also direct markets certain products and those of other manufacturers by catalog sales, outbound telemarketing, and electronic access via the Internet in both domestic and international markets. Such products include industrial and facility identification products, safety and regulatory-compliance products and original equipment manufacturer component products, among others. Catalogs are distributed in the United States, Australia, Austria, Belgium, Brazil, Canada, China, France, Germany, Italy, the Netherlands, Portugal, Slovakia, Spain, Switzerland and the United Kingdom, and include foreign language catalogs.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Brands</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Company goes to market under a variety of brand names. The Brady brand includes high-performance labels, wire identification products, printers, software, safety and facility identification products, lock-out/tag-out products, people identification products, precision die-cut parts and specialty materials. Other die-cut materials are marketed as Balkhausen products. Safety and facility identification products are also marketed under the Safety Signs Service brand, with some lockout/tagout products offered under the Prinzing and Scafftag brands. In addition, identification products for the utility industry are marketed under the Electromark brand and spill-control products are marketed under the Sorbent Products Company and D.A.W.G. brands; poster printers and cutting systems for education and government markets are offered under the Varitronics brand; wire identification products are marketed under the Modernotecnica brand and the Carroll brand; and custom labels and nameplates under the Stickolor brand. Direct marketing safety and facility identification products are offered under the Seton, Emedco, Signals, Safetyshop, Clement and Personnel Concepts names; direct supplies under the Accidental Health and Safety, Trafalgar, and Securimed brands. Security and identification badges and systems are included in the Temtec, B.I.G., Identicard/Identicam, STOPware, J.A.M. Plastics, PromoVision, and Quo-Luck brands; hand-held regulatory documentation systems are available under the Tiscor name; automatic identification and bar-code software is offered under the Teklynx name.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20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 The compounding process involves the mixing of chemical batches 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127"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produces the majority of its pressure sensitive materials through vertically integrated manufacturing processes. These integrated manufacturing processes permit greater flexibility to meet customer needs in product design and manufacture, and an improved ability to provide specialized products designed to meet the needs of specific applications. Brady’s manufacturing processes and inventory controls are designed to attain profitability in small orders by emphasizing flexibility and the optimal utilization of assets through quick turnaround and delivery, balanced with optimization of lot sizes. Many of the Company’s manufacturing facilities have received ISO 9001, 9002, or 14001 certification.</w:t>
      </w:r>
    </w:p>
    <w:p>
      <w:pPr>
        <w:spacing w:after="0" w:line="124"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 or component, the financial impact could be significant.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Product Development</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15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conducts much of its research and development activities at the Frederic S. Tobey Research and Innovation Center (approximately 39,600 sq. ft.) in Milwaukee, Wisconsin and its research and development facilities in Singapore and Beijing, China. The Company spent approximately $42.6 million, $34.2 million, and $40.6 million during the fiscal years ended July 31, 2010, 2009, and 2008, respectively, on its research and development activities. In fiscal 2010, approximately 235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14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Operations</w:t>
      </w:r>
    </w:p>
    <w:p>
      <w:pPr>
        <w:spacing w:after="0" w:line="202"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In fiscal 2010, 2009, and 2008, sales from international operations accounted for 63.4%, 61.8%, and 62.9%, respectively, of the Company’s sales. Its global infrastructure includes subsidiaries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The Company also sells through subsidiaries or sales offices in these countries, with additional sales through a dedicated team of international sales representatives in New Zealand, Russia, Taiwan, Turkey, Vietnam and the United Arab Emirates. The Company further markets its products to parts of Eastern Europe, the Middle East, Africa and Russia</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markets for all of the Company’s products are competitive. Brady believes that it is one of the leading producers in its specific markets of wire markers, safety signs, pipe markers, label printing systems, die-cut products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As of July 31, 2010, the amount of the Company’s backlog orders believed to be firm was $35.3 million. This compares with $27.5 million and $32.0 million of backlog orders as of July 31, 2009 and 2008, respectively. The increase in the backlog is primarily due to an increase in the brand protection orders. Average delivery time for the Company’s orders varies from same day delivery to one month, depending on the type of product, customer request or demand, and whether the product is stock or custom-designed and manufactured. The Company’s backlog does not provide much visibility for future business.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w:t>
      </w:r>
    </w:p>
    <w:p>
      <w:pPr>
        <w:spacing w:after="0" w:line="20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systems and procedures to reduce atmospheric emissions and/or to recover solvents. Management believes the Company is substantially in compliance with all environmental regulations.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September 15, 2010, the Company employed approximately 6,600 individuals. Brady has never experienced a material work stoppage due to a labor dispute and considers its relations with employees to be good. The mix of employees is changing as the Company employs more people in developing countries where wage rates are lower and employee turnover tends to be higher than in developed countries.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Information about the Company’s acquisitions is provided in Note 2 of the Notes to Consolidated Financial Statements contained in Item 8 — Financial Statements and Supplementary Data.</w:t>
      </w:r>
    </w:p>
    <w:p>
      <w:pPr>
        <w:spacing w:after="0" w:line="130" w:lineRule="exact"/>
        <w:rPr>
          <w:sz w:val="20"/>
          <w:szCs w:val="20"/>
          <w:color w:val="auto"/>
        </w:rPr>
      </w:pPr>
    </w:p>
    <w:p>
      <w:pPr>
        <w:ind w:left="600" w:hanging="268"/>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Before making an investment decision with respect to the Company’s stock, you should carefully consider the risks set forth below and all other information contained in this report. If any of the events contemplated by the following risks actually occur, then the Company’s business, financial condition, results of operations, cash flow, or liquidity could be materially adversely affected.</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Company’s financial condition, results of operations, cash flows, or liquidity may be adversely affected by a prolonged economic downturn or economic uncertainty.</w:t>
      </w:r>
    </w:p>
    <w:p>
      <w:pPr>
        <w:spacing w:after="0" w:line="13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Company’s business and operating results have been and will continue to be affected by global economic conditions. As global economic conditions deteriorate or economic uncertainty increases, our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may have a material adverse effect on our financial condition, results of operations, cash flows, or liquidity.</w:t>
      </w:r>
    </w:p>
    <w:p>
      <w:pPr>
        <w:spacing w:after="0" w:line="11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may be susceptible to fluctuations in the major markets served that may cause volatility in its results of operations, cash flows, and liquidity.</w:t>
      </w:r>
    </w:p>
    <w:p>
      <w:pPr>
        <w:spacing w:after="0" w:line="14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Sales of the Company’s products may be susceptible to changes in market conditions. The Company’s business in the safety and facility identification and wire and cable identification product lines tends to vary with the nominal GDP of the local economies in which the Company manufactures and sells. As a result, in periods of economic contraction, the business is likely to decline. In the precision die-cut and high performance identification product lines, the Company may be adversely affected by reduced demand for products due to downturns in the global economy as this is a more volatile business. This can result in higher degrees of volatility in the Company’s net sales, results of operations, cash flows, and liquidity. These more volatile markets include, but are not limited to, mobile telecommunication devices, hard disk drives and electronics in personal computers and other electronic devices.</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financial position, cash flows, and liquidity.</w:t>
      </w:r>
    </w:p>
    <w:p>
      <w:pPr>
        <w:spacing w:after="0" w:line="13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June 2004, February 2006, March 2007 and May 2010 debt agreements require the Company to maintain a ratio of debt to the trailing twelve months earnings before interest, taxes, depreciation and amortization (“EBITDA”), as defined in the debt agreements, of not more than a 3.5 to 1.0 ratio (leverage ratio). The October 2006 revolving loan agreement requires the Company to maintain a ratio of debt to trailing twelve months EBITDA, as defined by the debt agreement, of not more than a 3.0 to 1.0 ratio. Additionally, the revolving loan agreement requires the trailing twelve months earnings before interest and taxes (“EBIT”) to interest expense of not less than a 3.0 to 1.0 ratio (interest expense coverage). The debt agreements also require that the aggregate net book value of the assets sold or otherwise disposed of by the Company and its subsidiaries, as defined in the agreement, in any fiscal year of the Company shall not exceed 15% of consolidated tangible net worth.</w:t>
      </w:r>
    </w:p>
    <w:p>
      <w:pPr>
        <w:spacing w:after="0" w:line="15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If we breach any of these restrictions or covenants and do not obtain a waiver from the lenders, then, subject to applicable cure periods, the outstanding indebtedness (and any other indebtedness with cross-default provisions) could be declared immediately due and payable, which would adversely affect our liquidity and financial condition.</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 increase in the Company’s level of debt could adversely affect our financial health.</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An increase in the Company’s level of debt, which historically has occurred to finance acquisitions and for other general corporate purposes, could adversely impact: obligations under existing debt agreements; ability to obtain additional financing for future growth; future interest rates; cash flows available to fund new product development; capital expenditures; working capital and other general corporate activities; and the Company’s flexibility in planning and reacting to changes in the business.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Company’s net earnings could be affected by changes in tax legislation or tax rates. Additionally, audits by taxing authorities could result in tax payments for prior periods.</w:t>
      </w:r>
    </w:p>
    <w:p>
      <w:pPr>
        <w:spacing w:after="0" w:line="14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is subject to income taxes in the U.S. and in many non-U.S. jurisdictions. As such the Company’s net earnings are subject to risk due to changing tax laws and tax rates around the world. In the U.S., as of July 31, 2010, there are a number of tax proposals at various stages of legislation as well as certain legislation that recently passed but has not yet been fully analyzed. Some of the proposals would eliminate provisions that historically benefited the Company’s effective tax rate. Additionally, certain tax provisions in the U.S. recently lapsed, including the Research and Development Tax Credit and the controlled foreign corporation look-through rule. If these provisions are not extended it could negatively impact the Company’s financial results. While it is impossible for us to predict whether some or all of these proposals will be enacted, it is likely they will have an impact on our net earnings.</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tax filings are subject to audit by U.S. federal, state and local tax authorities and by non-U.S. tax authorities. If these audits result in payments or assessments different from our reserves, our future net earnings may be adversely impacted.</w:t>
      </w:r>
    </w:p>
    <w:p>
      <w:pPr>
        <w:spacing w:after="0" w:line="141"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reviews the probability of the realization of its deferred tax assets on a quarterly basis based on forecasts of taxable income in both the U.S. and foreign jurisdictions. As part of this review, the Company utilizes historical results, projected future operating results, eligible carry-forward periods, tax planning opportunities, and other relevant considerations. Adverse changes in profitability and financial outlook in both the U.S. and foreign jurisdictions, or changes in its geographic footprint may require changes in the valuation allowances to reduce its deferred tax assets. Such changes could result in material non-cash expenses in the period in which the changes are made and could have a material adverse impact on the Company’s net earnings.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The Company may be adversely impacted by an inability to identify, complete and integrate acquisitions.</w:t>
      </w:r>
    </w:p>
    <w:p>
      <w:pPr>
        <w:spacing w:after="0" w:line="19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historical growth has included, and our future growth strategy includes, acquisitions. The Company may not be able to identify acquisition targets or successfully complete acquisitions in the future due to the absence of quality companies, economic conditions, or price expectations from sellers. If the Company is unable to complete additional acquisitions, its growth may be limited.</w:t>
      </w:r>
    </w:p>
    <w:p>
      <w:pPr>
        <w:spacing w:after="0" w:line="146"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Additionally, as the Company grows through acquisitions, it will continue to place significant demands on its management, operational and financial resources. Recent and future acquisitions will require integration of operations, sales and marketing, information technology, finance and administrative operations. The successful integration of acquisitions will require substantial attention from the Company’s management and the management of the acquired businesses, which could decrease the time management has to serve and attract customers. The Company cannot assure that it will be able to successfully integrate these recent or any future acquisitions, that these acquisitions will operate profitably or that it will be able to achieve the financial or operational success expected from the acquisitions. The Company’s financial condition, cash flows and operational results could be adversely affected if it does not successfully integrate the newly acquired businesses or if its other businesses suffer on account of the increased focus on the newly acquired businesses.</w:t>
      </w:r>
    </w:p>
    <w:p>
      <w:pPr>
        <w:spacing w:after="0" w:line="14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If the Company fails to develop new products or its customers do not accept the new products it develops, the Company’s business could be adversely affected.</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Development of proprietary products is key to the success of the Company’s core growth and high gross profit margins now and in the future. Therefore, the Company must continue to develop new and innovative products and acquire and retain the necessary intellectual property rights in these products on an ongoing basis. If it fails to make innovations, launches products with quality problems, or the market does not accept its new products, then the Company’s financial condition, results of operations, cash flows, and liquidity could be adversely affected. The Company continues to invest in the development and marketing of new products. These expenditures do not always result in products that will be accepted by the market. Failure to develop successful new products may also cause its customers to buy from a competitor or may cause the Company to lower its prices in order to compete. This could have an adverse impact on the Company’s profitability.</w:t>
      </w:r>
    </w:p>
    <w:p>
      <w:pPr>
        <w:spacing w:after="0" w:line="12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 operates in competitive markets and may be forced to cut its prices or incur additional costs to remain competitive, which may have a negative impact on its profitability.</w:t>
      </w:r>
    </w:p>
    <w:p>
      <w:pPr>
        <w:spacing w:after="0" w:line="143"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faces substantial competition throughout its entire business, but particularly in the precision die-cut business. Competition may force the Company to cut its prices or incur additional costs to remain competitive. The Company competes on the basis of production capabilities, engineering and R&amp;D capabilities, materials expertise, its global footprint, customer service and price. Present or future competitors may have greater financial, technical or other resources, lower production costs or other pricing advantages, any of which could put the Company at a disadvantage in the affected business by threatening its market share or reducing its profit margins. Additionally, in some of its other businesses, the Company’s distributors/customers may seek lower cost sourcing opportunities, which could cause a loss of business that may adversely impact the Company’s revenues.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global nature of our business exposes us to foreign currency fluctuations that could adversely affect the Company’s sales, profits, and cash balances.</w:t>
      </w:r>
    </w:p>
    <w:p>
      <w:pPr>
        <w:spacing w:after="0" w:line="143"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More than 60 percent of the Company’s revenues are derived outside the United States. As such, fluctuations in foreign currency exchange rates can have an adverse impact on its sales and profits as amounts that are measured in foreign currency are translated back to U.S. dollars. Any increase in the value of the U.S. dollar in relation to the value of the local currency will adversely affect operating results from the Company’s foreign operations when translated into U.S. dollars. Similarly, any decrease in the value of the U.S. dollar in relation to the value of the local currency will increase operating results in the Company’s foreign operations when translated into U.S. dollars. During fiscal 2010, the weakening U.S. dollar versus the majority of other currencies increased the Company’s sales by $32.3 million.</w:t>
      </w:r>
    </w:p>
    <w:p>
      <w:pPr>
        <w:spacing w:after="0" w:line="13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of July 31, 2010, approximately 54% of the Company’s cash and cash equivalents were held outside the United States. As a result, fluctuations in foreign currency can have an adverse impact on the Company’s cash balances. Any increase in the value of the U.S. dollar in relation to the value of various foreign currencies will have a negative impact on cash balances when translated into U.S. dollars. Weakening of the U.S. dollar against foreign currencies will have a positive impact on cash balances when foreign currencies are translated into U.S. dollars.</w:t>
      </w:r>
    </w:p>
    <w:p>
      <w:pPr>
        <w:spacing w:after="0" w:line="1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Company’s goodwill or other intangible assets may become impaired, which may negatively impact the Company’s profitability.</w:t>
      </w:r>
    </w:p>
    <w:p>
      <w:pPr>
        <w:spacing w:after="0" w:line="143"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Company has a substantial amount of goodwill and other intangible assets on its balance sheet as a result of its acquisitions. As of July 31, 2010, the Company had $768.6 million of goodwill on its balance sheet, representing the excess of the total purchase price for its acquisitions over the fair value of the net assets it acquired, and $103.5 million of other intangible assets, primarily representing the fair value of the customer relationships, patents and trademarks it acquired in its acquisitions. At July 31, 2010, goodwill and other intangible assets represented approximately 49.9% of the Company’s total assets. The Company evaluates goodwill at least annually for impairment based on the fair value of each operating segment. It assesses the impairment of other intangible assets at least annually based upon the expected future cash flows of the respective assets. These valuations include management’s estimates of sales, profitability, cash flow generation, capital structure, cost of debt, interest rates, capital expenditures, and other assumptions. A worldwide economic downturn, credit crisis, or uncertainty in the markets the Company serves can adversely impact the assumptions in these valuations. If the estimated fair value of the Company’s operating segments change in future periods, it may be required to record an impairment charge related to goodwill or other intangible assets, which would have the effect of decreasing its earnings in such period.</w:t>
      </w:r>
    </w:p>
    <w:p>
      <w:pPr>
        <w:spacing w:after="0" w:line="128"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b w:val="1"/>
          <w:bCs w:val="1"/>
          <w:i w:val="1"/>
          <w:iCs w:val="1"/>
          <w:color w:val="auto"/>
        </w:rPr>
        <w:t>The Company has a concentration of business with several large key customers and distributors and loss of one or more of these customers could significantly affect the Company’s results of operations, cash flows, and liquidity.</w:t>
      </w:r>
    </w:p>
    <w:p>
      <w:pPr>
        <w:spacing w:after="0" w:line="83"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Several of the Company’s large key customers in the precision die-cut business together comprise a significant portion of its revenues. The Company’s largest customer represents approximately 6% of its net sales. Additionally, the Company does business with several large distribution companies. The Company’s dependence on these large customers makes its relationships with these customers important to its business. The Company cannot guarantee that it will be able to maintain these relationships and retain this business in the future. Because these large customers account for a significant portion of the Company’s revenues, they possess relatively greater capacity to negotiate a reduction in the prices the Company charges for its products. If the Company is unable to provide products to its customers at the quality and prices acceptable to them or adapt to technological changes, some of its customers may in the future elect to shift some or all of this business to competitors or to substitute other manufacturer’s products. If one of the Company’s key customers consolidates, is acquired by another company or loses market share, the result of that event may have an adverse impact on the Company’s business. The loss of or reduction of business from one or more of these large key customers could have a material adverse impact on the Company’s financial condition, results of operations, cash flows, and liquidity.</w:t>
      </w:r>
    </w:p>
    <w:p>
      <w:pPr>
        <w:spacing w:after="0" w:line="15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 increasingly conducts a sizable amount of its manufacturing outside of the United States, which may present additional risks to its business.</w:t>
      </w:r>
    </w:p>
    <w:p>
      <w:pPr>
        <w:spacing w:after="0" w:line="13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As a result of its strong growth in developing economies, particularly in South America and Asia, a significant portion of the Company’s sales are attributable to products manufactured outside of the United States. More than half of the Company’s approximately 6,600 employees and more than half of its manufacturing locations are outside of the United States. The Company’s international operations are generally subject to various risks including political, economic and societal instability, the imposition of trade restrictions, local labor market conditions, the effects of income taxes, and differences in business practices. The Company may incur increased costs and experience delays or disruptions in product deliveries and payments in connection with international manufacturing and sales that could cause loss of revenue. Unfavorable changes in the political, regulatory and business climate in countries where the Company has operations could have a material adverse effect on its financial condition, results of operations, and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Environmental, health and safety laws and regulations could adversely affect the Company’s business.</w:t>
      </w:r>
    </w:p>
    <w:p>
      <w:pPr>
        <w:spacing w:after="0" w:line="198"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Company’s facilities and operations are subject to numerous laws and regulations relating to climate change, air emissions, wastewater discharges, the handling of hazardous materials and wastes, manufacturing and disposal of certain materials, and regulations otherwise relating to health, safety and the protection of the environment. The Company’s products may also be governed by regulations in the countries where they are sold. As a result, the Company may need to devote management time or expend significant resources on compliance, and has incurred and will continue to incur capital and other expenditures to comply with these regulations. Any significant costs may have a material adverse impact on the Company’s financial condition, results of operations or cash flows. Further, these laws and regulations are constantly evolving and it is impossible to predict accurately the effect they may have upon the Company’s financial condition, results of operations or cash flows.</w:t>
      </w:r>
    </w:p>
    <w:p>
      <w:pPr>
        <w:spacing w:after="0" w:line="15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The Company’s businesses are subject to regulation; failure to comply with those regulations could adversely affect its financial condition, results of operations, cash flows, and reputation.</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the environmental regulations noted above, the Company’s businesses are subject to extensive regulation by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U.S. and non-U.S. governmental and self-regulatory entities at the federal, state and local levels, including the following:</w:t>
      </w:r>
    </w:p>
    <w:p>
      <w:pPr>
        <w:spacing w:after="0" w:line="19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is required to comply with various import laws and export control and economic sanctions laws, which may affect its transactions with certain customers, business partners and other persons and dealings with or between its employees and subsidiaries. In certain circumstances, export control and economic sanctions regulations may prohibit the export of certain products, services and technologies, and in other circumstances the Company may be required to obtain an export license before exporting the controlled item.</w:t>
      </w:r>
    </w:p>
    <w:p>
      <w:pPr>
        <w:spacing w:after="0" w:line="14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also has agreements relating to the sale of products to government entities or supply products to companies who resell these products to government entities and are subject to various statutes and regulations that apply to companies doing business with the government. The laws governing government contracts differ from the laws governing private contracts. The Company is also subject to investigation and audit for compliance with the requirements of government contracts, including requirements related to procurement integrity, export control, employment practices, the accuracy of records and the recording of costs. A failure to comply with these requirements might result in suspension of these contracts and suspension or debarment from government contracting or subcontracting.</w:t>
      </w:r>
    </w:p>
    <w:p>
      <w:pPr>
        <w:spacing w:after="0" w:line="137"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b w:val="1"/>
          <w:bCs w:val="1"/>
          <w:i w:val="1"/>
          <w:iCs w:val="1"/>
          <w:color w:val="auto"/>
        </w:rPr>
        <w:t>The Company may be unable to successfully complete its restructuring plans to reduce costs and increase efficiencies in its businesses and, therefore, it may not achieve projected financial statement benefits.</w:t>
      </w:r>
    </w:p>
    <w:p>
      <w:pPr>
        <w:spacing w:after="0" w:line="12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continues to initiate several measures to address its cost structure and market requirements. Successful implementation of such initiatives is critical to the Company’s future competitiveness and its ability to improve profitability. Further actions to reduce the Company’s cost structure and the charges related to these actions may have a material adverse effect on the Company’s results of operations and financial condition.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currently operates 56 manufacturing or distribution facilities in the following regions: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Sixteen are located in the United States; three in Brazil, two in Mexico; and one in Canada.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Europe: </w:t>
      </w:r>
      <w:r>
        <w:rPr>
          <w:rFonts w:ascii="Arial" w:cs="Arial" w:eastAsia="Arial" w:hAnsi="Arial"/>
          <w:sz w:val="16"/>
          <w:szCs w:val="16"/>
          <w:color w:val="auto"/>
        </w:rPr>
        <w:t>Four each located in the United Kingdom and Germany; three each located in Belgium and France; two in Italy:</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one each in the Netherlands, Norway, Poland, and Sweden.</w:t>
      </w:r>
    </w:p>
    <w:p>
      <w:pPr>
        <w:spacing w:after="0" w:line="166" w:lineRule="exact"/>
        <w:rPr>
          <w:sz w:val="20"/>
          <w:szCs w:val="20"/>
          <w:color w:val="auto"/>
        </w:rPr>
      </w:pPr>
    </w:p>
    <w:p>
      <w:pPr>
        <w:jc w:val="both"/>
        <w:ind w:left="340" w:right="559" w:firstLine="373"/>
        <w:spacing w:after="0" w:line="282" w:lineRule="auto"/>
        <w:rPr>
          <w:sz w:val="20"/>
          <w:szCs w:val="20"/>
          <w:color w:val="auto"/>
        </w:rPr>
      </w:pPr>
      <w:r>
        <w:rPr>
          <w:rFonts w:ascii="Arial" w:cs="Arial" w:eastAsia="Arial" w:hAnsi="Arial"/>
          <w:sz w:val="18"/>
          <w:szCs w:val="18"/>
          <w:b w:val="1"/>
          <w:bCs w:val="1"/>
          <w:color w:val="auto"/>
        </w:rPr>
        <w:t xml:space="preserve">Asia-Pacific: </w:t>
      </w:r>
      <w:r>
        <w:rPr>
          <w:rFonts w:ascii="Arial" w:cs="Arial" w:eastAsia="Arial" w:hAnsi="Arial"/>
          <w:sz w:val="18"/>
          <w:szCs w:val="18"/>
          <w:color w:val="auto"/>
        </w:rPr>
        <w:t>Six are located in China; two in Australia; and one each in Japan, Thailand, Singapore, India, South Korea,</w:t>
      </w:r>
      <w:r>
        <w:rPr>
          <w:rFonts w:ascii="Arial" w:cs="Arial" w:eastAsia="Arial" w:hAnsi="Arial"/>
          <w:sz w:val="18"/>
          <w:szCs w:val="18"/>
          <w:b w:val="1"/>
          <w:bCs w:val="1"/>
          <w:color w:val="auto"/>
        </w:rPr>
        <w:t xml:space="preserve"> </w:t>
      </w:r>
      <w:r>
        <w:rPr>
          <w:rFonts w:ascii="Arial" w:cs="Arial" w:eastAsia="Arial" w:hAnsi="Arial"/>
          <w:sz w:val="18"/>
          <w:szCs w:val="18"/>
          <w:color w:val="auto"/>
        </w:rPr>
        <w:t>and Malaysia.</w:t>
      </w:r>
    </w:p>
    <w:p>
      <w:pPr>
        <w:spacing w:after="0" w:line="12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present operating facilities contain a total of approximately 3.3 million square feet of space, of which approximately 2.3 million square feet is leased. The Company believes that its equipment and facilities are modern, well maintained and adequate for present needs.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adverse effect on the Company’s consolidated financial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212"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2010</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High</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35.28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28.58</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29.44</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1st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39.68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43.78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34.04</w:t>
            </w:r>
          </w:p>
        </w:tc>
      </w:tr>
    </w:tbl>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85" w:lineRule="exact"/>
        <w:rPr>
          <w:sz w:val="20"/>
          <w:szCs w:val="20"/>
          <w:color w:val="auto"/>
        </w:rPr>
      </w:pPr>
    </w:p>
    <w:p>
      <w:pPr>
        <w:ind w:left="600" w:hanging="268"/>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8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As of September 15, 2010, there were 691 Class A Common Stock shareholders of record and approximately 4,100 beneficial shareholders. There are three Class B Common Stock shareholders.</w:t>
      </w:r>
    </w:p>
    <w:p>
      <w:pPr>
        <w:spacing w:after="0" w:line="143"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fiscal 2008 and fiscal 2009, the Company’s Board of Directors authorized share repurchase plans for the Company’s Class A Nonvoting Common Stock. The share repurchase plans were implemented by purchasing shares in the open market or privately negotiated transaction, with repurchased shares available for use in connection with the Company’s stock-based plans and for other corporate purposes. The Company reacquired approximately 1,345,000 and 1,349,000 shares of its Class A Common Stock for $40.3 million and $42.2 in fiscal 2009 and 2008, respectively, in connection with its stock repurchase plans. The Company reacquired 102,067 shares of its Class A Common Stock for $2.5 million in the fourth quarter of fiscal 2010. As of July 31, 2010, there remained 204,133 shares to purchase in connection with this share repurchase plan.</w:t>
      </w:r>
    </w:p>
    <w:p>
      <w:pPr>
        <w:spacing w:after="0" w:line="12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fourth quarter of fiscal 2010.</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Maximum Number</w:t>
            </w: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Shares Purchased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of Shares that May</w:t>
            </w: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Total Number of</w:t>
            </w: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Price Paid</w:t>
            </w: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as Part of Publicly</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Yet Be Purchased</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Shares Purchased</w:t>
            </w: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per Share</w:t>
            </w: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Announced Plans</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Under the Plans</w:t>
            </w:r>
          </w:p>
        </w:tc>
      </w:tr>
      <w:tr>
        <w:trPr>
          <w:trHeight w:val="20"/>
        </w:trPr>
        <w:tc>
          <w:tcPr>
            <w:tcW w:w="3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May 1, 2010 – May 31, 2010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306,200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June 1, 2010 – June 30, 2010</w:t>
            </w:r>
          </w:p>
        </w:tc>
        <w:tc>
          <w:tcPr>
            <w:tcW w:w="22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306,200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July 1, 2010 – July 31, 2010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24.86</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102,067</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204,133</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102,067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3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102,067</w:t>
            </w:r>
          </w:p>
        </w:tc>
        <w:tc>
          <w:tcPr>
            <w:tcW w:w="3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204,133</w:t>
            </w:r>
          </w:p>
        </w:tc>
        <w:tc>
          <w:tcPr>
            <w:tcW w:w="8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hanging="268"/>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excluding all extraordinary non-cash items for the prior fiscal year. The Company believes that based on its historic dividend practice, this restriction will not impede it in following a similar dividend practice in the future.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2011, the Company declared the following dividends per share on its Class A and Class B Common Stock for the years ended July 31: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2011</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1st Qtr</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1st Qtr</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2nd Qtr</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3rd Qtr</w:t>
            </w:r>
          </w:p>
        </w:tc>
        <w:tc>
          <w:tcPr>
            <w:tcW w:w="560" w:type="dxa"/>
            <w:vAlign w:val="bottom"/>
          </w:tcPr>
          <w:p>
            <w:pPr>
              <w:spacing w:after="0"/>
              <w:rPr>
                <w:sz w:val="20"/>
                <w:szCs w:val="20"/>
                <w:color w:val="auto"/>
              </w:rPr>
            </w:pPr>
            <w:r>
              <w:rPr>
                <w:rFonts w:ascii="Arial" w:cs="Arial" w:eastAsia="Arial" w:hAnsi="Arial"/>
                <w:sz w:val="18"/>
                <w:szCs w:val="18"/>
                <w:b w:val="1"/>
                <w:bCs w:val="1"/>
                <w:color w:val="auto"/>
                <w:w w:val="91"/>
              </w:rPr>
              <w:t>4th Qtr</w:t>
            </w:r>
          </w:p>
        </w:tc>
        <w:tc>
          <w:tcPr>
            <w:tcW w:w="2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1st Qtr</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2nd Qtr</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3rd Qtr</w:t>
            </w:r>
          </w:p>
        </w:tc>
        <w:tc>
          <w:tcPr>
            <w:tcW w:w="560" w:type="dxa"/>
            <w:vAlign w:val="bottom"/>
          </w:tcPr>
          <w:p>
            <w:pPr>
              <w:spacing w:after="0"/>
              <w:rPr>
                <w:sz w:val="20"/>
                <w:szCs w:val="20"/>
                <w:color w:val="auto"/>
              </w:rPr>
            </w:pPr>
            <w:r>
              <w:rPr>
                <w:rFonts w:ascii="Arial" w:cs="Arial" w:eastAsia="Arial" w:hAnsi="Arial"/>
                <w:sz w:val="18"/>
                <w:szCs w:val="18"/>
                <w:b w:val="1"/>
                <w:bCs w:val="1"/>
                <w:color w:val="auto"/>
                <w:w w:val="91"/>
              </w:rPr>
              <w:t>4th Qtr</w:t>
            </w:r>
          </w:p>
        </w:tc>
        <w:tc>
          <w:tcPr>
            <w:tcW w:w="8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$ 0.175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$ 0.175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$ 0.175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0.17</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0.17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  0.17</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0.16335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0.15835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0.175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0.175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0.175</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0.15335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r>
    </w:tbl>
    <w:p>
      <w:pPr>
        <w:spacing w:after="0" w:line="160"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2005, in each of Brady Corporation Class A Common Stock, The Standard &amp; Poor’s (S&amp;P) 500 index, the Standard and Poor’s SmallCap 600 index, and the Russell 2000 index.</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125730</wp:posOffset>
            </wp:positionV>
            <wp:extent cx="5702935" cy="3430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293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invested on 7/31/05 in stock or index — including reinvestment of dividends. Fiscal year ended July 31.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9"/>
              </w:rPr>
              <w:t>7/31/2005</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7/31/2006</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9"/>
              </w:rPr>
              <w:t>7/31/2007</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9"/>
              </w:rPr>
              <w:t>7/31/2008</w:t>
            </w:r>
          </w:p>
        </w:tc>
        <w:tc>
          <w:tcPr>
            <w:tcW w:w="3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7/31/2009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7/31/2010</w:t>
            </w:r>
          </w:p>
        </w:tc>
      </w:tr>
      <w:tr>
        <w:trPr>
          <w:trHeight w:val="20"/>
        </w:trPr>
        <w:tc>
          <w:tcPr>
            <w:tcW w:w="2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100.23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92.77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S&amp;P 500 Index</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105.38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122.38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108.81</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87.09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99.14</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S&amp;P SmallCap 600 Index</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118.40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108.60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87.67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104.48</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Russell 2000 Index</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104.24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116.88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109.03</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86.44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102.29</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Copyright (C) 2010, Standard &amp; Poor’s, a division of The McGraw-Hill Companies, Inc. All rights reserved.</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July 31, 2006 through 2010</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 (1)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1,259,096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1,208,702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1,523,016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1,362,631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1,018,436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623,297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577,583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744,195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657,044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525,755</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40,607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30,443</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435,906</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397,180</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495,904</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449,103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338,796</w:t>
            </w: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493,841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369,239</w:t>
            </w:r>
          </w:p>
        </w:tc>
        <w:tc>
          <w:tcPr>
            <w:tcW w:w="8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129,456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120,373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207,684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171,987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156,516</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2,403</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(21,222)</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(24,901)</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(26,385)</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(22,934)</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(14,231)</w:t>
            </w:r>
          </w:p>
        </w:tc>
      </w:tr>
      <w:tr>
        <w:trPr>
          <w:trHeight w:val="27"/>
        </w:trPr>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(21,497)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(11,828)</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144,688</w:t>
            </w:r>
          </w:p>
        </w:tc>
        <w:tc>
          <w:tcPr>
            <w:tcW w:w="80" w:type="dxa"/>
            <w:vAlign w:val="bottom"/>
          </w:tcPr>
          <w:p>
            <w:pPr>
              <w:spacing w:after="0"/>
              <w:rPr>
                <w:sz w:val="19"/>
                <w:szCs w:val="19"/>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42,540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40,513</w:t>
            </w: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30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Income Per Common Share —</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375,184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286,955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390,524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303,359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240,537</w:t>
            </w: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1,746,231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1,583,267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1,850,513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1,698,857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1,365,186</w:t>
            </w:r>
          </w:p>
        </w:tc>
      </w:tr>
      <w:tr>
        <w:trPr>
          <w:trHeight w:val="202"/>
        </w:trPr>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Long-term obligations, less current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maturities</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382,940</w:t>
            </w: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346,457</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457,143</w:t>
            </w: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478,575</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350,018</w:t>
            </w: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investment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1,005,027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951,092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1,021,808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891,012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746,046</w:t>
            </w:r>
          </w:p>
        </w:tc>
      </w:t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operating</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165,238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126,645</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225,554</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136,018</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114,896</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53,022</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54,851</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60,587</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53,856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35,144</w:t>
            </w: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(26,407)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(51,940)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(39,410)</w:t>
            </w:r>
          </w:p>
        </w:tc>
      </w:tr>
    </w:tbl>
    <w:p>
      <w:pPr>
        <w:spacing w:after="0" w:line="107" w:lineRule="exact"/>
        <w:rPr>
          <w:sz w:val="20"/>
          <w:szCs w:val="20"/>
          <w:color w:val="auto"/>
        </w:rPr>
      </w:pPr>
    </w:p>
    <w:p>
      <w:pPr>
        <w:jc w:val="both"/>
        <w:ind w:left="680" w:right="559" w:hanging="348"/>
        <w:spacing w:after="0" w:line="286"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data has been impacted by the acquisitive nature of the Company as three, two, seven, and eleven acquisitions were completed in fiscal years ended July 31, 2010, 2008, 2007, and 2006, respectively. There were no acquisitions in fiscal 2009. See Note 2 in Item 8 for further information on the acquisitions that were completed.</w:t>
      </w:r>
    </w:p>
    <w:p>
      <w:pPr>
        <w:spacing w:after="0" w:line="16" w:lineRule="exact"/>
        <w:rPr>
          <w:rFonts w:ascii="Arial" w:cs="Arial" w:eastAsia="Arial" w:hAnsi="Arial"/>
          <w:sz w:val="17"/>
          <w:szCs w:val="17"/>
          <w:color w:val="auto"/>
        </w:rPr>
      </w:pPr>
    </w:p>
    <w:p>
      <w:pPr>
        <w:jc w:val="both"/>
        <w:ind w:left="680" w:right="559" w:hanging="348"/>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The Company continued such measures during fiscal 2010.</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fiscal 2010, the Company posted sales of $1,259.1 million and net income of $82.0 million, an increase of 4.2% and 16.9%, respectively, from fiscal 2009. Of the 4.2% increase in sales, organic sales increased 0.2%, the effects of fluctuations in the exchange rates used to translate financial results into the United States dollar increased sales by 2.7%, and fiscal 2010 acquisitions increased sales 1.3%. Regionally, fiscal 2010 sales in the Americas, Europe, and Asia-Pacific increased 3.1%, 3.5%, and 6.7%, respectively, as compared to fiscal 2009.</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Net income for fiscal 2010 increased 16.9% to $82.0 million or $1.55 per diluted share of Class A Common Stock, compared to $70.1 million, or $1.32 per diluted share of Class A Common Stock in fiscal 2009. Fiscal 2010 net income before restructuring related expenses was $93.4 million, or $1.76 per diluted share of Class A Common Stock compared to 2009 net income before restructuring related expenses of $90.2 million, or $1.71 per diluted share of Class A Common Stock.</w:t>
      </w:r>
    </w:p>
    <w:p>
      <w:pPr>
        <w:spacing w:after="0" w:line="127"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In fiscal 2010, the Company generated $165.2 million of cash from operations, an increase of $38.6 million from the prior fiscal year. The increase was primarily due to the Company’s improvements in working capital and net income.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July 31, 2010, Compared to Year Ended July 31, 2009</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2010 to July 31, 2009, has been impacted by the following acquisitions completed in fiscal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280" w:type="dxa"/>
            <w:vAlign w:val="bottom"/>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Segment</w:t>
            </w:r>
          </w:p>
        </w:tc>
        <w:tc>
          <w:tcPr>
            <w:tcW w:w="280" w:type="dxa"/>
            <w:vAlign w:val="bottom"/>
          </w:tcPr>
          <w:p>
            <w:pPr>
              <w:spacing w:after="0"/>
              <w:rPr>
                <w:sz w:val="20"/>
                <w:szCs w:val="20"/>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Date Completed</w:t>
            </w:r>
          </w:p>
        </w:tc>
        <w:tc>
          <w:tcPr>
            <w:tcW w:w="80" w:type="dxa"/>
            <w:vAlign w:val="bottom"/>
          </w:tcPr>
          <w:p>
            <w:pPr>
              <w:spacing w:after="0"/>
              <w:rPr>
                <w:sz w:val="20"/>
                <w:szCs w:val="20"/>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Welconstruct Group Limited (“Welco”)</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Stickolor Industria e Comerciao de Auto Adesivos Ltd (“Stickolor”)</w:t>
            </w:r>
          </w:p>
        </w:tc>
        <w:tc>
          <w:tcPr>
            <w:tcW w:w="2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December</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2009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Securimed SAS (“Securimed”)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2010</w:t>
            </w:r>
          </w:p>
        </w:tc>
      </w:tr>
    </w:tbl>
    <w:p>
      <w:pPr>
        <w:spacing w:after="0" w:line="16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Fiscal 2010 sales increased $50.4 million, or 4.2% from fiscal 2009. The 4.2% increase consisted of 0.2% growth in organic sales, 1.3% growth due to acquisitions, and 2.7% growth resulting from the effects of foreign currency translation.</w:t>
      </w:r>
    </w:p>
    <w:p>
      <w:pPr>
        <w:spacing w:after="0" w:line="10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Organic sales, defined as sales in the Company’s existing core businesses and regions (exclusive of acquisitions owned less than one year and foreign currency translation effects), were up 0.2% compared to fiscal 2009. The annual organic sales growth of 0.2% varied significantly by quarter. In the first quarter of the year the Company experienced a 15.9% decline in organic sales as the prior year quarter had not yet been impacted by the economic recession. Subsequent to the first quarter the Company experienced sequential growth over the prior period each quarter.</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acquisitions listed above increased sales by $16.2 million or 1.3% in fiscal 2010. The currency growth reflects fluctuations in the exchange rates used to translate financial results into the United States Dollar which increased sales by $32.3 million or 2.7% for the year.</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gross margin as a percentage of sales increased to 49.5% in fiscal 2010 from 47.8% in fiscal 2009. The increase in gross margin as a percentage of sales was primarily due to the cost savings generated from restructuring activities as well as lean and continuous improvement activities in fiscal 2010 and 2009.</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Research and development expenses increased to $42.6 million in fiscal 2010 from $34.2 million in fiscal 2009, and increased as a percentage of sales in fiscal 2010 to 3.4% compared to 2.8% in fiscal 2009. The increase was due to the Company’s continued commitment to investing in new product development as well as the increased incentive compensation expenses during fiscal 2010.</w:t>
      </w:r>
    </w:p>
    <w:p>
      <w:pPr>
        <w:spacing w:after="0" w:line="16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Selling, general, and administrative (“SG&amp;A”) expenses increased to $435.9 million in fiscal 2010 as compared to $397.2 million in fiscal 2009. The increase in SG&amp;A expenses was primarily due to the resumption of payment of certain incentive compensation expenses during fiscal 2010, as well as the effects of the fluctuations in the exchange rates used to translate financial results into the United States dollar. In fiscal 2009, the Company experienced a reduction in SG&amp;A due to the elimination of certain incentive compensation plans during the year. As a percentage of sales, SG&amp;A increased to 34.6% in fiscal 2010 from 32.9% in fiscal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Restructuring charges were $15.3 and $25.8 million during fiscal 2010 and 2009, respectively. In fiscal 2009, $1.6 million of income tax expense was also incurred related to the anticipated repayment of certain tax holidays due to site consolidation actions. In response to the global economic downturn, the Company implemented a plan to reduce its cost structure. During fiscal 2009 and 2010, the Company incurred costs related to the reduction of its workforce and facility consolidations. Restructuring costs related primarily to employee separation costs, consisting of severance pay, outplacement services, medical, and other related benefits for the Company’s work force.</w:t>
      </w:r>
    </w:p>
    <w:p>
      <w:pPr>
        <w:spacing w:after="0" w:line="16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Interest expense decreased to $21.2 million from $24.9 million for fiscal 2010 compared to fiscal 2009. In fiscal 2010, the Company repaid approximately $44.9 million of debt. Interest expense decreased due to the Company’s lower principal balance under the previously outstanding debt agreements. The decrease was partially offset by additional interest on the May 2010 private placement, as compared to the prior year.</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income and expense decreased $0.6 million in fiscal 2010 to $1.2 million from $1.8 million in the prior year. The decrease was primarily due to a decrease in foreign exchange gains, offset by gains on securities held in executive deferred compensation plans.</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effective tax rate was 25.1% for fiscal 2010 compared to 27.9% for fiscal 2009. The decrease in the Company’s effective tax rate during fiscal 2010 was primarily due to the mix of profits in low and high tax countries as well as positive impacts from foreign and U.S. income tax audits. The Company anticipates that its fiscal 2011 tax rate will approximate 26%, subject to potential effects of pending and proposed U.S. tax legislation.</w:t>
      </w:r>
    </w:p>
    <w:p>
      <w:pPr>
        <w:spacing w:after="0" w:line="16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 xml:space="preserve">On August 10, 2010, the </w:t>
      </w:r>
      <w:r>
        <w:rPr>
          <w:rFonts w:ascii="Arial" w:cs="Arial" w:eastAsia="Arial" w:hAnsi="Arial"/>
          <w:sz w:val="17"/>
          <w:szCs w:val="17"/>
          <w:i w:val="1"/>
          <w:iCs w:val="1"/>
          <w:color w:val="auto"/>
        </w:rPr>
        <w:t>Education Jobs and Medicaid Assistance Act</w:t>
      </w:r>
      <w:r>
        <w:rPr>
          <w:rFonts w:ascii="Arial" w:cs="Arial" w:eastAsia="Arial" w:hAnsi="Arial"/>
          <w:sz w:val="17"/>
          <w:szCs w:val="17"/>
          <w:color w:val="auto"/>
        </w:rPr>
        <w:t xml:space="preserve"> of 2010 was passed in the United States. This law included certain international tax provisions that could increase the Company’s tax rate. However, the Company has not yet completed analyzing the impact that this legislation may have on its earnings or financial position.</w:t>
      </w:r>
    </w:p>
    <w:p>
      <w:pPr>
        <w:spacing w:after="0" w:line="12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Net income for the fiscal year ended July 31, 2010, increased 16.9% to $82.0 million, compared to $70.1 million for the fiscal year ended July 31, 2009, as a result of the factors noted above. Net income as a percentage of sales increased to 6.5% from 5.8% for the fiscal year ended July 31, 2010 compared the same period in the prior year. Diluted net income per share increased 17.4% to $1.55 per share for fiscal 2010 compared to $1.32 per share for the fiscal year ended July 31, 2009. Fiscal 2010 and 2009 net income before restructuring related expenses was $93.4 million, or $1.76 per diluted share of Class A Common Stock, and $90.2 million, or $1.71 per diluted share of Class A Common Stock, respectively.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July 31, 2009, Compared to Year Ended July 31, 2008</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2009 to July 31, 2008, has been impacted by the annualized impact of the following acquisitions completed in fiscal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2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Completed</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Transposafe Systems B.V. and Holland Mounting Systems B.V. (collectively “Transposafe”)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2007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DAWG, Inc. (“DAWG”)</w:t>
            </w:r>
          </w:p>
        </w:tc>
        <w:tc>
          <w:tcPr>
            <w:tcW w:w="2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14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Fiscal 2009 sales decreased $314.3 million, or 20.6% from fiscal 2008. Organic sales, defined as sales in the Company’s existing core businesses and regions (exclusive of acquisitions owned less than one year and foreign currency translation effects), were down 16.4% compared to fiscal 2008. The decrease in organic sales was primarily due to the effects of the economic downturn in fiscal 2009. The acquisitions listed above increased sales by $9.0 million or 0.6% in fiscal 2009. Fluctuations in the exchange rates used to translate financial results into the United States Dollar decreased sales by $73.2 million or 4.8% for the year.</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gross margin as a percentage of sales decreased to 47.8% in fiscal 2009 from 48.9% in fiscal 2008. The decrease in gross margin as a percentage of sales was primarily due to the sales decline, partially offset by the result of cost reduction actions taken during fiscal 2008 and fiscal 2009.</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Research and development expenses decreased to $34.2 million in fiscal 2009 from $40.6 million in fiscal 2008, and increased slightly as a percentage of sales in fiscal 2009 to 2.8% compared to 2.7% in fiscal 2008, reflecting the reduced discretionary spending and the Company’s continued commitment to investing in new product development.</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Selling, general, and administrative (“SG&amp;A”) expenses decreased to $397.2 million in fiscal 2009 as compared to $495.9 million in fiscal 2008. The decrease in SG&amp;A expenses was primarily related to the savings resulting from restructuring activities that took place during fiscal 2009, a decline in discretionary spending, and reduced incentive compensation expense compared to the prior year. As a percentage of sales, SG&amp;A increased to 32.9% in fiscal 2009 from 32.6% in fiscal 2008.</w:t>
      </w:r>
    </w:p>
    <w:p>
      <w:pPr>
        <w:spacing w:after="0" w:line="12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Restructuring charges were $25.8 million during fiscal 2009. Additionally, $1.6 million of income tax expense was also incurred related to the anticipated repayment of certain tax holidays due to site consolidation actions. In response to the global economic downturn, the Company implemented a plan to reduce its cost structure. During fiscal 2009, the Company incurred costs related to the reduction of its workforce and facility consolidations. Restructuring costs related primarily to employee separation costs, consisting of severance pay, outplacement services, medical, and other related benefits for approximately 25 percent of the Company’s work force.</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Other income decreased $3.1 million in fiscal 2009 to $1.8 million from $4.9 million in the prior year. The income recorded in fiscal 2009 and fiscal 2008 was primarily due to interest income earned on cash and marketable securities investments. The $1.8 million of other income recorded in fiscal 2009 consisted of $2.5 million of interest income and $0.9 million in foreign exchange gains, partially offset by the $1.6 million loss of securities held in executive deferred compensation plans. The decrease in interest income in fiscal 2009 was the result of both lower interest rates and decreased cash generated from the operating activities and lower average cash balances.</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Interest expense decreased to $24.9 million from $26.4 million for fiscal 2009 compared to fiscal 2008. In fiscal 2009, the Company repaid approximately $87.2 million of debt. As a result of the lower principal balance under the related debt agreement, the Company’s interest expense decreased as compared to the prior year.</w:t>
      </w:r>
    </w:p>
    <w:p>
      <w:pPr>
        <w:spacing w:after="0" w:line="15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Company’s effective tax rate was 27.9% for fiscal 2009 compared to 29.0% for fiscal 2008. The decreased tax rate in fiscal 2009 was primarily due to decreased profits in higher tax countries.</w:t>
      </w:r>
    </w:p>
    <w:p>
      <w:pPr>
        <w:spacing w:after="0" w:line="13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Net income for the fiscal year ended July 31, 2009, decreased 47% to $70.1 million, compared to $132.2 million for the fiscal year ended July 31, 2008, as a result of the factors noted above. Net income as a percentage of sales decreased to 5.8% from 8.7% for the fiscal year ended July 31, 2009 compared the same period in the prior year. Diluted net income per share decreased 45.2% to $1.32 per share for fiscal 2009 compared to $2.41 per share for the fiscal year ended July 31, 2008. Fiscal 2009 net income before restructuring related expenses was $90.2 million, or $1.71 per diluted share of Class A Common Stock.</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Segment Operating Results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 Segment results are as follows: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Asia-</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Corporate and</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Americas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Europe</w:t>
            </w:r>
          </w:p>
        </w:tc>
        <w:tc>
          <w:tcPr>
            <w:tcW w:w="1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6"/>
              </w:rPr>
              <w:t>Pacific</w:t>
            </w: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4"/>
              </w:rPr>
              <w:t>Regions</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Eliminations</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Company</w:t>
            </w:r>
          </w:p>
        </w:tc>
      </w:tr>
      <w:tr>
        <w:trPr>
          <w:trHeight w:val="191"/>
        </w:trPr>
        <w:tc>
          <w:tcPr>
            <w:tcW w:w="21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1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4"/>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Years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$ 551,185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$ 380,121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327,790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1,259,096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1,259,096</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July 31, 2009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534,440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367,156</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307,106</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1,208,702</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1,208,702</w:t>
            </w: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2008</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667,106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496,715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359,195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1,523,016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1,523,016</w:t>
            </w:r>
          </w:p>
        </w:tc>
      </w:tr>
      <w:tr>
        <w:trPr>
          <w:trHeight w:val="198"/>
        </w:trPr>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1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Organic</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Year ended July 31, 2009: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Organic</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2140" w:type="dxa"/>
            <w:vAlign w:val="bottom"/>
          </w:tcPr>
          <w:p>
            <w:pPr>
              <w:ind w:left="400"/>
              <w:spacing w:after="0"/>
              <w:rPr>
                <w:sz w:val="20"/>
                <w:szCs w:val="20"/>
                <w:color w:val="auto"/>
              </w:rPr>
            </w:pPr>
            <w:r>
              <w:rPr>
                <w:rFonts w:ascii="Arial" w:cs="Arial" w:eastAsia="Arial" w:hAnsi="Arial"/>
                <w:sz w:val="18"/>
                <w:szCs w:val="18"/>
                <w:color w:val="auto"/>
              </w:rPr>
              <w:t>Total</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(19.9)%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Years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$ 125,169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$ 103,316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280,590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266,459</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July 31, 2009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114,404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99,875</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42,575</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256,854</w:t>
            </w: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248,902</w:t>
            </w: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2008</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157,523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135,426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351,183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342,135</w:t>
            </w:r>
          </w:p>
        </w:tc>
      </w:tr>
      <w:tr>
        <w:trPr>
          <w:trHeight w:val="392"/>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NET INCOME RECONCILIATION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7"/>
              </w:rPr>
              <w:t>Years ended:</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w w:val="96"/>
              </w:rPr>
              <w:t>July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3"/>
              </w:rPr>
              <w:t>July 31,</w:t>
            </w:r>
          </w:p>
        </w:tc>
        <w:tc>
          <w:tcPr>
            <w:tcW w:w="120" w:type="dxa"/>
            <w:vAlign w:val="bottom"/>
          </w:tcPr>
          <w:p>
            <w:pPr>
              <w:spacing w:after="0"/>
              <w:rPr>
                <w:sz w:val="16"/>
                <w:szCs w:val="16"/>
                <w:color w:val="auto"/>
              </w:rPr>
            </w:pPr>
          </w:p>
        </w:tc>
        <w:tc>
          <w:tcPr>
            <w:tcW w:w="8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July 31,</w:t>
            </w:r>
          </w:p>
        </w:tc>
        <w:tc>
          <w:tcPr>
            <w:tcW w:w="80" w:type="dxa"/>
            <w:vAlign w:val="bottom"/>
          </w:tcPr>
          <w:p>
            <w:pPr>
              <w:spacing w:after="0"/>
              <w:rPr>
                <w:sz w:val="16"/>
                <w:szCs w:val="16"/>
                <w:color w:val="auto"/>
              </w:rPr>
            </w:pPr>
          </w:p>
        </w:tc>
      </w:tr>
      <w:tr>
        <w:trPr>
          <w:trHeight w:val="23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280,590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256,854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351,183</w:t>
            </w: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(14,131)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(7,952)</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(9,048)</w:t>
            </w: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Unallocated amounts: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(121,689)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(102,680)</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(134,451)</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4,888</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(26,385)</w:t>
            </w:r>
          </w:p>
        </w:tc>
      </w:tr>
      <w:tr>
        <w:trPr>
          <w:trHeight w:val="223"/>
        </w:trPr>
        <w:tc>
          <w:tcPr>
            <w:tcW w:w="5700" w:type="dxa"/>
            <w:vAlign w:val="bottom"/>
            <w:gridSpan w:val="2"/>
          </w:tcPr>
          <w:p>
            <w:pPr>
              <w:ind w:left="60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80" w:type="dxa"/>
            <w:vAlign w:val="bottom"/>
          </w:tcPr>
          <w:p>
            <w:pPr>
              <w:spacing w:after="0"/>
              <w:rPr>
                <w:sz w:val="19"/>
                <w:szCs w:val="19"/>
                <w:color w:val="auto"/>
              </w:rPr>
            </w:pPr>
          </w:p>
        </w:tc>
      </w:tr>
      <w:tr>
        <w:trPr>
          <w:trHeight w:val="216"/>
        </w:trPr>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(53,999)</w:t>
            </w:r>
          </w:p>
        </w:tc>
      </w:tr>
      <w:tr>
        <w:trPr>
          <w:trHeight w:val="223"/>
        </w:trPr>
        <w:tc>
          <w:tcPr>
            <w:tcW w:w="5700" w:type="dxa"/>
            <w:vAlign w:val="bottom"/>
            <w:gridSpan w:val="2"/>
          </w:tcPr>
          <w:p>
            <w:pPr>
              <w:ind w:left="8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segment performance.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Americas</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Sales in the Americas region increased 3.1% from fiscal 2009 to fiscal 2010, and decreased 19.9% from fiscal 2008 to fiscal 2009. Organic sales grew 0.1% in 2010 and declined 18.5% in 2009. The annual organic sales growth of 0.1% in fiscal 2010 varied significantly during the year. In the first quarter the Americas experienced a 15.2% decline in organic sales as the prior year quarter had not yet been impacted by the economic recession. In the second quarter the Americas experienced a 4.3% decline in organic sales as the economic recession began in the prior year quarter. Subsequent to the first half of the year, Americas experienced sequential growth over the prior period each quarter due to modest improvements in the cable and wire ID, industrial identification, and safety and facility identification markets. The Company’s sales volumes of sorbent products increase in the fourth quarter of fiscal 2010 as a result of the clean-up of the Gulf of Mexico oil spill. The acquisition of Stickolor increased sales of the segment by 1.4% and the fluctuations of the exchange rates used to translate financial results into U.S. dollars increased sales by 1.6% in fiscal 2010. The segment experienced declines in organic sales in fiscal 2009 due to the global economic downturn. The decrease in sales also resulted from the declining volumes of the manufacturing and construction sectors, as well as the impact of declining inventories of the Company’s distribution partners and other customers. Fluctuations in the exchange rates used to translate financial results into U.S. dollars decreased sales by 1.7% in fiscal 2009 when compared to the prior fiscal year.</w:t>
      </w:r>
    </w:p>
    <w:p>
      <w:pPr>
        <w:spacing w:after="0" w:line="14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the Americas region, segment profit increased 9.4% to $125.2 million in fiscal 2010 from $114.4 million in fiscal 2009. Segment profit as a percentage of sales increased to 22.7% in 2010 from 21.4% in 2009. This increase was primarily due to the segment’s commitment to its productivity initiatives including lean manufacturing and strategic sourcing initiatives. Comparing fiscal 2009 to 2008, segment profit decreased 27.4% to $114.4 million in fiscal 2009 from $157.5 million in fiscal 2008. Segment profit as a percentage of sales decreased to 21.4% in 2009 from 23.6% in 2008. This decrease was primarily due to the decrease in sales volume, impacting the segment’s ability to absorb fixed costs. Cost savings partially offset this decrease. Costs savings came from the restructuring activities in addition to reductions in discretionary spending.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Europe</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Sales in the European region increased 3.5% from fiscal 2009 to fiscal 2010, and decreased 26.1% in fiscal 2009 from fiscal 2008. Organic sales declined 0.3% in fiscal 2010 and 18.1% in fiscal 2009 as compared to prior years. The annual organic sales decline of 0.3% varied significantly during the year. In the first quarter Europe experienced a 12.3% decline in organic sales as the prior year quarter had not yet been impacted by the economic recession. In the second quarter Europe experienced a 1.6% decline in organic sales as the economic recession began in the prior year quarter. Subsequent to the first half of the year, Europe experienced sequential growth over the prior period each quarter. The segment’s organic sales volumes in direct marketing businesses and electronic industries improved modestly. The increase was offset by the decline in sales to governmental and public utilities. The acquisitions of Welco and Securimed in fiscal 2010 increased sales by 2.4%. Sales were positively affected by fluctuations in the exchange rates used to translate financial results into the United States dollar, which increased sales within the segment by 1.4% in fiscal 2010. In fiscal 2009 the segment was negatively affected by the fluctuations in the exchange rates, reducing sales by 9.4% as compared to prior periods. Organic sales declined 18.1% in fiscal 2009 as compared to the prior year. The segment’s organic sales continued to be adversely impacted by the global economic downturn in fiscal 2009. Organic sales in the private sector to the automotive and electronics markets declined in the Europe segment, with sales to governments and public utilities partially offsetting these declines.</w:t>
      </w:r>
    </w:p>
    <w:p>
      <w:pPr>
        <w:spacing w:after="0" w:line="13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the Europe region, segment profit increased 3.4% to $103.3 million in fiscal 2010 from $99.9 million in fiscal 2009. Segment profit as a percentage of sales remained constant at 27.2% in fiscal 2010 and 2009. The segment maintained its segment profit percent in fiscal 2010 and was able to offset the increased expenses with cost savings initiatives put in place in fiscal 2009 and 2010. Comparing fiscal 2009 to 2008, segment profit as a percentage of sales decreased slightly to 27.2% in 2009 from 27.3% in 2008. The decline in segment profit in fiscal 2009 was attributable to the declining sales volumes and the impact of foreign currency translation. In response to the sales downturn, the segment implemented various cost saving measures during fiscal year 2009 that have generated savings to partially offset the impact of lower sales volumes.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Asia-Pacific</w:t>
      </w:r>
    </w:p>
    <w:p>
      <w:pPr>
        <w:spacing w:after="0" w:line="20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Asia-Pacific sales increased 6.7% from fiscal 2009 to fiscal 2010, and decreased 14.5% in fiscal 2009 from fiscal 2008. Organic sales increased 0.8% in fiscal 2010 and declined 10.3% in fiscal 2009 as compared to prior years. The annual organic sales growth of 0.8% varied significantly during the year. In the first quarter Asia experienced a 20.4% decline in organic sales as the prior year quarter had not yet been impacted by the economic recession. In the second quarter Asia experienced a 25.7% growth in organic sales as the impact of the economic recession in the prior quarter was offset by a heightened focus on high end mobile electronics and strong growth in the data storage market. In the third and fourth quarters Asia experienced growth of 9.4% and 5.2%, respectively. The increase in organic sales in fiscal 2010 was primarily due to the success in higher-end solutions in both the mobile electronics and computer and storage markets. The decline in organic sales in fiscal 2009 was primarily due to the overall decline in the electronics and mobile handset markets and aggressive pricing demands from customers, slightly offset by increased demand for MRO products to support infrastructure development sponsored by government stimulus spending in the region. Foreign currency translation positively impacted the segment’s sales by 5.9% in 2010 whereas in fiscal 2009 the segment’s sales were negatively impacted by 4.2%, as compared to prior years.</w:t>
      </w:r>
    </w:p>
    <w:p>
      <w:pPr>
        <w:sectPr>
          <w:pgSz w:w="11900" w:h="16838" w:orient="portrait"/>
          <w:cols w:equalWidth="0" w:num="1">
            <w:col w:w="10219"/>
          </w:cols>
          <w:pgMar w:left="240" w:top="419" w:right="1440" w:bottom="100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0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Asia-Pacific region, segment profit increased 22.4% to $52.1 million in fiscal 2010 from $42.6 million in fiscal 2009. Segment profit as a percentage of sales increased to 15.9% in fiscal 2010 from 13.9% in fiscal 2009. The increase in the segment’s profit was primarily due to the commitment to lean manufacturing at all of the segment’s facilities. Comparing fiscal 2009 to 2008, segment profit as a percentage of sales declined to 13.9% in 2009 from 16.2% in 2008. The decline in the profit in fiscal 2009 was primarily the result of decreased sales, offset by savings generated from restructuring activities, shortened work weeks, and reduced discretionary spending.</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Cash and cash equivalents were $314.8 million at July 31, 2010, compared to $188.2 million at July 31, 2009. The increase of $126.6 million was the result of cash provided by operations of $165.2 million, offset by cash used in investing activities of $48.7 million, and cash provided by financing activities of $15.3 million. The financing activities included $94.9 million in proceeds from debt issuance, $44.9 million debt principal payments, $2.5 million related to the repurchase of treasury stock, and $36.8 million in dividend payments. The effects on the fluctuations of the U.S. dollar against other currencies negatively impacted cash by $5.1 million during fiscal 2010.</w:t>
      </w:r>
    </w:p>
    <w:p>
      <w:pPr>
        <w:spacing w:after="0" w:line="153"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Company’s working capital excluding cash as a percentage of sales decreased to 5% in fiscal 2010 from 8% in fiscal 2009. Accounts receivable balances increased $30.4 million from July 31, 2009 to July 31, 2010. The increase in accounts receivable was due primarily to the impact of foreign currency translation as well as the increase in sales volumes. Inventories increased $0.9 million from July 31, 2009 to July 31, 2010 due to increased business activity, partially offset by focused inventory reduction initiatives, and the impact of foreign currency translation. Current liabilities increased $71.3 million over the same period due to the return of the annual incentive compensation plans in fiscal 2010 as well as the impact of foreign currency translation. Annual incentive compensation plans were cancelled for fiscal 2009 due to the Company’s financial performance resulting from the economic downturn and as such, no payouts for incentive compensation were made during the first quarter of fiscal 2010. The current maturities of long-term debt also increased to $61.3 million during fiscal 2010 as principal payments on outstanding debt become due in the next twelve months.</w:t>
      </w:r>
    </w:p>
    <w:p>
      <w:pPr>
        <w:spacing w:after="0" w:line="15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fiscal 2010, the Company generated $165.2 million of cash from operations, an increase of $38.6 million from the prior fiscal year. The increase was primarily due to improvements in the Company’s net income and working capital, as discussed above.</w:t>
      </w:r>
    </w:p>
    <w:p>
      <w:pPr>
        <w:spacing w:after="0" w:line="141"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Cash used for investing activities totaled $48.7 million and $19.0 million in fiscal 2010 and 2009, respectively. Cash used for acquisitions totaled $30.4 million during fiscal 2010, as compared to $0.0 and $29.3 million of cash used for acquisitions in fiscal 2009 and 2008, respectively. The Company did not complete any acquisitions in fiscal 2009. The cash paid in fiscal 2010 for Welco, Stickolor, and Securimed was $1.8 million, $18.5 million, and $10.1 million, respectively. The investing activities also include the settlement of the net investment foreign exchange contract resulting in proceeds of $6.2 million which is accounted for as component of other comprehensive income (“OCI”) on the Consolidated Balance Sheet. In fiscal 2009 the Company reached a settlement with the former owners of Tradex related to the purchase price of the Tradex acquisition. The Company received approximately $3.5 million as the result of the settlement during fiscal 2009. Payments of $0.7 million and $0.7 million were made during fiscal 2009 to satisfy the earnout and holdback liabilities of the Transposafe and Asterisco acquisitions,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Capital expenditures were $26.3 million in fiscal 2010, $24.0 million in fiscal 2009, and $26.4 million in fiscal 2008.</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in fiscal 2010 were similar to fiscal 2009 reflecting a normalized spend rate.</w:t>
      </w:r>
    </w:p>
    <w:p>
      <w:pPr>
        <w:spacing w:after="0" w:line="18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Financing activities provided $15.3 million in fiscal 2010, and used $160.3 million and $76.9 million in fiscal 2009 and fiscal 2008, respectively. Cash used for dividends to shareholders was $36.8 million in fiscal 2010, $35.8 million in fiscal 2009, and $32.5 million in fiscal 2008. Cash received from the exercise of stock options was $3.7 million in fiscal 2010, $1.7 million in fiscal 2009, and $14.5 million in fiscal 2008. The Company purchased treasury stock of $2.5 million in fiscal 2010, $40.3 million in fiscal 2009 and $42.2 million in fiscal 2008. The Company received proceeds of $94.9 million from the May 2010 private placement as discussed below.</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May 13, 2010, the Company completed a private placement of €75.0 million (approximately $95.0 million USD)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 The note purchase agreement requires the Company to maintain a ratio of debt to the trailing twelve months EBITDA, as defined by the agreement, of not more than a 3.5 to 1.0 ratio.</w:t>
      </w:r>
    </w:p>
    <w:p>
      <w:pPr>
        <w:spacing w:after="0" w:line="156"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$44.9 million, $21.4 million, and $21.4 million, during the years ended July 31, 2010, 2009, and 2008, respectively. In June 2009, the Company also completed a cash tender offer to purchase approximately $65.8 million of its outstanding notes at par without penalty.</w:t>
      </w:r>
    </w:p>
    <w:p>
      <w:pPr>
        <w:spacing w:after="0" w:line="12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2010, there were no outstanding borrowings under the credit facility.</w:t>
      </w:r>
    </w:p>
    <w:p>
      <w:pPr>
        <w:spacing w:after="0" w:line="128"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2010, the Company was in compliance with the financial covenant of these debt agreements, with the ratio of debt to EBITDA, as defined by the agreements, equal to 2.2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July 31, 2010, the Company was in compliance with the financial covenants of the revolving loan agreement, with the ratio of debt to EBITDA, as defined by the agreement, equal to 2.3 to 1.0 and the interest expense coverage ratio equal to 6.6 to 1.0.</w:t>
      </w:r>
    </w:p>
    <w:p>
      <w:pPr>
        <w:spacing w:after="0" w:line="14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Long-term obligations as a percentage of long-term obligations plus stockholders’ investment were 27.6% at July 31, 2010 and 26.7% at July 31, 2009. Long-term obligations increased by $36.5 million from July 31, 2009 to July 31, 2010 due to the private placement completed in fiscal 2010 offset by the debt repayments made during the year. The debt repayments consisted of the scheduled installment of $26.1 million on the 2004 private placement and an installment of $18.8 million on the 2006 private placement. An additional $16.4 million was reclassified to current maturities on long-term obligations during fiscal 2010. The decrease in debt was partially offset by the negative impact of foreign currency translation on our euro denominated debt.</w:t>
      </w:r>
    </w:p>
    <w:p>
      <w:pPr>
        <w:spacing w:after="0" w:line="12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Stockholders’ investment increased $53.9 million during fiscal 2010 due to net income of $82.0 million offset by the dividends paid on Class A and Class B Common Stock of $34.4 million and $2.4 million, respectively. The decrease in the accumulated other comprehensive income of $2.1 million was primarily due to foreign currency translation.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While the Company strives to maximize investment income on its cash, preservation of principal is the first priority. Especially in volatile markets, as the Company has recently experienced, the Company’s investment policy is intended to preserve principal as its primary goal, resulting in investment yields lower than those historically achieved.</w:t>
      </w:r>
    </w:p>
    <w:p>
      <w:pPr>
        <w:spacing w:after="0" w:line="13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Company’s growth has historically been funded by a combination of cash provided by operating activities and debt financing. The Company believes that its cash from operations, in addition to its borrowing capacity and ability to obtain additional financing, are sufficient to fund its anticipated requirements for working capital, capital expenditures, restructuring activities, acquisitions, common stock repurchases, scheduled debt repayments, and dividend payments. As of the date of this Form 10-K, the credit and financial markets are in a period of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On September 9, 2010, the Company announced an increase in the annual dividend to shareholders of the Company’s Class A Common Stock, from $0.70 to $0.72 per share. A quarterly dividend of $0.18 will be paid on October 29, 2010, to shareholders of record at the close of business on October 8, 2010. This dividend represents an increase of 2.9% and is the 25th consecutive annual increase in dividends.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warehouses and office space, computer equipment and Company vehicles.</w:t>
      </w:r>
    </w:p>
    <w:p>
      <w:pPr>
        <w:spacing w:after="0" w:line="14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that are reasonably likely to adversely affect liquidity other than those discussed below under “Payments Due Under Contractual Obligations.”</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evaluated its affiliated party transactions for the period ended July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evaluation the Company does not have material related party transactions that affect the results of operations, cash flow or financial condition.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Company’s future commitments at July 31, 2010, for long-term debt, operating lease obligations, purchase obligations, interest obligations and other obligations are as follows (dollars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2"/>
              </w:rPr>
              <w:t>Payments Due by Period</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Less than</w:t>
            </w:r>
          </w:p>
        </w:tc>
        <w:tc>
          <w:tcPr>
            <w:tcW w:w="7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6"/>
                <w:szCs w:val="16"/>
                <w:color w:val="auto"/>
              </w:rPr>
            </w:pPr>
          </w:p>
        </w:tc>
        <w:tc>
          <w:tcPr>
            <w:tcW w:w="7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6"/>
                <w:szCs w:val="16"/>
                <w:color w:val="auto"/>
              </w:rPr>
            </w:pP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More than</w:t>
            </w:r>
          </w:p>
        </w:tc>
        <w:tc>
          <w:tcPr>
            <w:tcW w:w="8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96"/>
              </w:rPr>
              <w:t>Uncertain</w:t>
            </w:r>
          </w:p>
        </w:tc>
        <w:tc>
          <w:tcPr>
            <w:tcW w:w="80" w:type="dxa"/>
            <w:vAlign w:val="bottom"/>
          </w:tcPr>
          <w:p>
            <w:pPr>
              <w:spacing w:after="0"/>
              <w:rPr>
                <w:sz w:val="16"/>
                <w:szCs w:val="16"/>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1 Year</w:t>
            </w:r>
          </w:p>
        </w:tc>
        <w:tc>
          <w:tcPr>
            <w:tcW w:w="34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rPr>
              <w:t>5 Years</w:t>
            </w:r>
          </w:p>
        </w:tc>
        <w:tc>
          <w:tcPr>
            <w:tcW w:w="3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Timeframe</w:t>
            </w:r>
          </w:p>
        </w:tc>
      </w:tr>
      <w:tr>
        <w:trPr>
          <w:trHeight w:val="20"/>
        </w:trPr>
        <w:tc>
          <w:tcPr>
            <w:tcW w:w="2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$ 444,204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61,264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$ 122,528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$ 103,778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156,634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64,086</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21,258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27,874</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4,984</w:t>
            </w: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46,490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11,093</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Interest Obligations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103,664</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22,909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36,153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22,047</w:t>
            </w: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17,668</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Other Obligations (2)</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13,763</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1,060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2,361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$ 716,558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152,981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$ 200,009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$ 151,349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194,551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17,668</w:t>
            </w:r>
          </w:p>
        </w:tc>
      </w:tr>
      <w:tr>
        <w:trPr>
          <w:trHeight w:val="20"/>
        </w:trPr>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hanging="348"/>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2010.</w:t>
      </w:r>
    </w:p>
    <w:p>
      <w:pPr>
        <w:spacing w:after="0" w:line="76"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plans as disclosed in Note 3 to the consolidated financial statements, under Item 8 of this report.</w:t>
      </w:r>
    </w:p>
    <w:p>
      <w:pPr>
        <w:sectPr>
          <w:pgSz w:w="11900" w:h="16838" w:orient="portrait"/>
          <w:cols w:equalWidth="0" w:num="1">
            <w:col w:w="10219"/>
          </w:cols>
          <w:pgMar w:left="240" w:top="419" w:right="1440" w:bottom="649"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49"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 and Changing Prices</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adopted the accounting guidance related to the accounting for uncertainty in income taxes on August 1, 2007. The Company establishes liabilities when it is not more likely than not that the Company will realize the full tax benefit of the position. The Company adjusts these liabilities in light of changing facts and circumstances.</w:t>
      </w:r>
    </w:p>
    <w:p>
      <w:pPr>
        <w:spacing w:after="0" w:line="153"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a purchase price above $5 million require the use of external valuations.</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has identified five reporting units within its three reportable segments. The Company’s methodologies for valuing goodwill are applied consistently on a year-over-year basis; the assumptions used in performing the 2010 impairment calculations were evaluated in light of market and business conditions.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performing the Company’s annual impairment assessment the Company performed a sensitivity analysis on the material assumptions used in the discounted cash flow valuation models for each of its reporting units. Based on the Company’s fiscal 2010 impairment testing and assuming a hypothetical 10% decrease in the estimated fair values of each of its reporting units, the hypothetical fair value of each of the Company’s reporting units would have been greater than the carrying value. See Note 1 of the Notes to Consolidated Financial Statements contained in Item 8 — Financial Statements and Supplementary Data for further information about goodwill and intangible assets.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recorded reserves or allowances for inventory obsolescence, uncollectible accounts receivable, credit memos, and uncertain tax positions. These accounts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Accounting Standards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see the information contained in Item 1A — Risk Factors.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European operations. To achieve this objective, the Company hedges a portion of known exposures using forward contracts. Main exposures are related to transactions denominated in the British Pound, the Euro, Canadian Dollar, Australian Dollar, Singapore Dollar, Swedish Krona, Danish Krone, Japanese Yen, Swiss Franc, and the Korean Won currency. As of July 31, 2010, the notional amount of outstanding forward contacts designated as cash flow hedges was $45.3 million. Beginning in the third quarter of fiscal 2010, the Company also used forward foreign exchange currency contracts and euro-denominated debt of €75.0 million (approximately $95.0 million USD) designated as a hedge instrument to hedge portions of the Company’s net investments in its European foreign operations.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Such activities require approval of the Board of Directors. As of July 31, 2010, the Company had no interest rate derivatives.</w:t>
      </w:r>
    </w:p>
    <w:p>
      <w:pPr>
        <w:spacing w:after="0" w:line="131"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changes between the U.S. dollar and the Canadian dollar, changes between the U.S dollar and the Singapore dollar, and changes between the U.S. dollar and the Chinese Yuan. Changes in foreign currency exchange rates for the Company’s foreign subsidiaries reporting in local currencies are generally reported as a component of stockholders’ investment. The Company’s unfavorable currency translation adjustment recorded in fiscal 2010 and 2009 as a separate component of stockholders’ investment was ($5.0) million and ($75.5) million, respectively. As of July 31, 2010 and 2009, the Company’s foreign subsidiaries had net current assets (defined as current assets less current liabilities) subject to foreign currency translation risk of $141.4 million and $242.9 million, respectively. The potential decrease in the net current assets as of July 31, 2010 from a hypothetical 10 percent adverse change in quoted foreign currency exchange rates would be approximately $14.1 million. This sensitivity analysis assumes a parallel shift in all major foreign currency exchange rates versus the U.S. dollar. Exchange rates rarely move in the same direction relative to the U.S. dollar considering the offset of the euro-denominated debt designated as a net investment hedge of the Company’s European foreign operations. This assumption may overstate the impact of changing exchange rates on individual assets and liabilities denominated in a foreign currency.</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200" w:type="dxa"/>
            <w:vAlign w:val="bottom"/>
            <w:gridSpan w:val="7"/>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560" w:type="dxa"/>
            <w:vAlign w:val="bottom"/>
            <w:gridSpan w:val="10"/>
          </w:tcPr>
          <w:p>
            <w:pPr>
              <w:ind w:left="3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gridSpan w:val="7"/>
          </w:tcPr>
          <w:p>
            <w:pPr>
              <w:jc w:val="center"/>
              <w:spacing w:after="0"/>
              <w:rPr>
                <w:sz w:val="20"/>
                <w:szCs w:val="20"/>
                <w:color w:val="auto"/>
              </w:rPr>
            </w:pPr>
            <w:r>
              <w:rPr>
                <w:rFonts w:ascii="Arial" w:cs="Arial" w:eastAsia="Arial" w:hAnsi="Arial"/>
                <w:sz w:val="18"/>
                <w:szCs w:val="18"/>
                <w:b w:val="1"/>
                <w:bCs w:val="1"/>
                <w:color w:val="auto"/>
              </w:rPr>
              <w:t>BRADY CORPORATION &amp; SUBSIDIARIES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gridSpan w:val="7"/>
          </w:tcPr>
          <w:p>
            <w:pPr>
              <w:jc w:val="center"/>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220" w:type="dxa"/>
            <w:vAlign w:val="bottom"/>
            <w:gridSpan w:val="9"/>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2860" w:type="dxa"/>
            <w:vAlign w:val="bottom"/>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8220" w:type="dxa"/>
            <w:vAlign w:val="bottom"/>
            <w:gridSpan w:val="9"/>
            <w:vMerge w:val="continue"/>
          </w:tcPr>
          <w:p>
            <w:pPr>
              <w:spacing w:after="0"/>
              <w:rPr>
                <w:sz w:val="14"/>
                <w:szCs w:val="14"/>
                <w:color w:val="auto"/>
              </w:rPr>
            </w:pPr>
          </w:p>
        </w:tc>
        <w:tc>
          <w:tcPr>
            <w:tcW w:w="1000" w:type="dxa"/>
            <w:vAlign w:val="bottom"/>
            <w:tcBorders>
              <w:top w:val="single" w:sz="8" w:color="auto"/>
            </w:tcBorders>
          </w:tcPr>
          <w:p>
            <w:pPr>
              <w:ind w:left="840"/>
              <w:spacing w:after="0" w:line="169" w:lineRule="exact"/>
              <w:rPr>
                <w:sz w:val="20"/>
                <w:szCs w:val="20"/>
                <w:color w:val="auto"/>
              </w:rPr>
            </w:pPr>
            <w:r>
              <w:rPr>
                <w:rFonts w:ascii="Arial" w:cs="Arial" w:eastAsia="Arial" w:hAnsi="Arial"/>
                <w:sz w:val="17"/>
                <w:szCs w:val="17"/>
                <w:color w:val="auto"/>
                <w:w w:val="73"/>
              </w:rPr>
              <w:t>30</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22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Balance Sheets — July 31, 2010 and 2009</w:t>
              </w:r>
            </w:hyperlink>
          </w:p>
        </w:tc>
        <w:tc>
          <w:tcPr>
            <w:tcW w:w="4180" w:type="dxa"/>
            <w:vAlign w:val="bottom"/>
            <w:gridSpan w:val="6"/>
          </w:tcPr>
          <w:p>
            <w:pPr>
              <w:spacing w:after="0"/>
              <w:rPr>
                <w:sz w:val="24"/>
                <w:szCs w:val="24"/>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Income — Years Ended July 31, 2010, 2009, and 2008</w:t>
              </w:r>
            </w:hyperlink>
          </w:p>
        </w:tc>
        <w:tc>
          <w:tcPr>
            <w:tcW w:w="2260" w:type="dxa"/>
            <w:vAlign w:val="bottom"/>
            <w:gridSpan w:val="4"/>
          </w:tcPr>
          <w:p>
            <w:pPr>
              <w:spacing w:after="0"/>
              <w:rPr>
                <w:sz w:val="24"/>
                <w:szCs w:val="24"/>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822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Stockholders’ Investment — Years Ended July 31, 2010, 2009, and 2008</w:t>
              </w:r>
            </w:hyperlink>
          </w:p>
        </w:tc>
        <w:tc>
          <w:tcPr>
            <w:tcW w:w="2860" w:type="dxa"/>
            <w:vAlign w:val="bottom"/>
            <w:gridSpan w:val="2"/>
          </w:tcPr>
          <w:p>
            <w:pPr>
              <w:ind w:left="8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260" w:type="dxa"/>
            <w:vAlign w:val="bottom"/>
            <w:tcBorders>
              <w:top w:val="single" w:sz="8" w:color="0000EE"/>
            </w:tcBorders>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Cash Flows — Years Ended July 31, 2010, 2009, and 2008</w:t>
              </w:r>
            </w:hyperlink>
          </w:p>
        </w:tc>
        <w:tc>
          <w:tcPr>
            <w:tcW w:w="960" w:type="dxa"/>
            <w:vAlign w:val="bottom"/>
          </w:tcPr>
          <w:p>
            <w:pPr>
              <w:spacing w:after="0"/>
              <w:rPr>
                <w:sz w:val="24"/>
                <w:szCs w:val="24"/>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22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 — Years Ended July 31, 2010, 2009, and 2008</w:t>
              </w:r>
            </w:hyperlink>
          </w:p>
        </w:tc>
        <w:tc>
          <w:tcPr>
            <w:tcW w:w="2860" w:type="dxa"/>
            <w:vAlign w:val="bottom"/>
            <w:gridSpan w:val="2"/>
          </w:tcPr>
          <w:p>
            <w:pPr>
              <w:ind w:left="8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817"/>
        </w:trPr>
        <w:tc>
          <w:tcPr>
            <w:tcW w:w="360" w:type="dxa"/>
            <w:vAlign w:val="bottom"/>
            <w:gridSpan w:val="2"/>
          </w:tcPr>
          <w:p>
            <w:pPr>
              <w:spacing w:after="0"/>
              <w:rPr>
                <w:sz w:val="24"/>
                <w:szCs w:val="24"/>
                <w:color w:val="auto"/>
              </w:rPr>
            </w:pPr>
          </w:p>
        </w:tc>
        <w:tc>
          <w:tcPr>
            <w:tcW w:w="5940" w:type="dxa"/>
            <w:vAlign w:val="bottom"/>
            <w:tcBorders>
              <w:top w:val="single" w:sz="8" w:color="0000EE"/>
            </w:tcBorders>
            <w:gridSpan w:val="4"/>
          </w:tcPr>
          <w:p>
            <w:pPr>
              <w:jc w:val="center"/>
              <w:ind w:left="3230"/>
              <w:spacing w:after="0"/>
              <w:rPr>
                <w:sz w:val="20"/>
                <w:szCs w:val="20"/>
                <w:color w:val="auto"/>
              </w:rPr>
            </w:pPr>
            <w:r>
              <w:rPr>
                <w:rFonts w:ascii="Arial" w:cs="Arial" w:eastAsia="Arial" w:hAnsi="Arial"/>
                <w:sz w:val="18"/>
                <w:szCs w:val="18"/>
                <w:color w:val="auto"/>
                <w:w w:val="89"/>
              </w:rPr>
              <w:t>29</w:t>
            </w: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17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2010 and 2009, and the related consolidated statements of income, stockholders’ investment, and cash flows for each of the three years in the period ended July 31, 2010.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53"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consolidated financial position of the Company at July 31, 2010 and 2009, and the results of their operations and their cash flows for each of the three years in the period ended July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Company’s internal control over financial reporting as of July 31, 2010, based on the criteria established in Internal Control— Integrated Framework issued by the Committee of Sponsoring Organizations of the Treadway Commission and our report dated September 21, 2010, expressed an unqualified opinion on the Company’s internal control over financial reporting.</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21, 2010</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BRADY CORPORATION AND SUBSIDIARIES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July 31, 2010 and 2009</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4"/>
              </w:rPr>
              <w:t>in</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4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314,840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221,621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191,189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52,906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13,146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28,620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94,672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37,839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668,972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768,600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intangibles assets</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103,546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39,103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20,808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101,138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96,968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407,003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261,501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242,485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151,988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1,746,531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4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rPr>
              <w:t>LIABILITIES AND STOCKHOLDERS’ INVESTMENT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96,702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67,285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10,138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50,862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8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61,264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Long-term obligations, less current maturities</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382,940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346,457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64,776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741,504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Stockholders’ investment: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Class A Nonvoting — Issued 51,261,487 and 51,261,487 shares, respectively;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w w:val="99"/>
              </w:rPr>
              <w:t>(aggregate liquidation preference of $42,628 and $42,628 at July 31, 2010 and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2009, respectively)</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Class B Voting — Issued and outstanding 3,538,628 shares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304,205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298,466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718,512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673,342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Treasury stock — 2,175,771 and 2,270,927 shares, respectively of Class A nonvoting</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1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(66,314)</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50,905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stockholders’ investment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1,005,027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1,746,531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014"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14"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2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w w:val="99"/>
              </w:rPr>
              <w:t>BRADY CORPORATION AND SUBSIDIARIES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9"/>
              </w:rPr>
              <w:t>Years Ended July 31, 2010, 2009 and 2008</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1,259,096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1,208,702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1,523,016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Cost of products sold</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635,799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631,119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778,821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577,583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744,195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w w:val="98"/>
              </w:rPr>
              <w:t>Selling, general and administrative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435,906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397,180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495,904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493,841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129,456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207,684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Investment and other income — net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(21,222)</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(24,901)</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(26,385)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53,999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Class A Nonvoting:</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ind w:left="200"/>
              <w:spacing w:after="0"/>
              <w:rPr>
                <w:sz w:val="20"/>
                <w:szCs w:val="20"/>
                <w:color w:val="auto"/>
              </w:rPr>
            </w:pPr>
            <w:r>
              <w:rPr>
                <w:rFonts w:ascii="Arial" w:cs="Arial" w:eastAsia="Arial" w:hAnsi="Arial"/>
                <w:sz w:val="18"/>
                <w:szCs w:val="18"/>
                <w:color w:val="auto"/>
              </w:rPr>
              <w:t>Class B Voting:</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Weighted average Class A and Class B common shares outstanding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52,866</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740"/>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STOCKHOLDERS’ INVESTMENT Years Ended July 31, 2010, 2009 and 2008</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3"/>
            <w:vMerge w:val="continue"/>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Retained</w:t>
            </w: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w:t>
            </w:r>
          </w:p>
        </w:tc>
        <w:tc>
          <w:tcPr>
            <w:tcW w:w="78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60" w:type="dxa"/>
            <w:vAlign w:val="bottom"/>
            <w:vMerge w:val="restart"/>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8"/>
          </w:tcPr>
          <w:p>
            <w:pPr>
              <w:jc w:val="right"/>
              <w:ind w:right="40"/>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540,238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132,188</w:t>
            </w:r>
          </w:p>
        </w:tc>
        <w:tc>
          <w:tcPr>
            <w:tcW w:w="0" w:type="dxa"/>
            <w:vAlign w:val="bottom"/>
          </w:tcPr>
          <w:p>
            <w:pPr>
              <w:spacing w:after="0" w:line="20" w:lineRule="exact"/>
              <w:rPr>
                <w:sz w:val="1"/>
                <w:szCs w:val="1"/>
                <w:color w:val="auto"/>
              </w:rPr>
            </w:pPr>
          </w:p>
        </w:tc>
      </w:tr>
      <w:tr>
        <w:trPr>
          <w:trHeight w:val="143"/>
        </w:trPr>
        <w:tc>
          <w:tcPr>
            <w:tcW w:w="3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80"/>
              <w:spacing w:after="0" w:line="143"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w w:val="98"/>
              </w:rPr>
              <w:t>132,188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currency translation adjustment and other</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44,785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44,785</w:t>
            </w:r>
          </w:p>
        </w:tc>
        <w:tc>
          <w:tcPr>
            <w:tcW w:w="0" w:type="dxa"/>
            <w:vAlign w:val="bottom"/>
          </w:tcPr>
          <w:p>
            <w:pPr>
              <w:spacing w:after="0"/>
              <w:rPr>
                <w:sz w:val="1"/>
                <w:szCs w:val="1"/>
                <w:color w:val="auto"/>
              </w:rPr>
            </w:pPr>
          </w:p>
        </w:tc>
      </w:tr>
      <w:tr>
        <w:trPr>
          <w:trHeight w:val="156"/>
        </w:trPr>
        <w:tc>
          <w:tcPr>
            <w:tcW w:w="3200" w:type="dxa"/>
            <w:vAlign w:val="bottom"/>
          </w:tcPr>
          <w:p>
            <w:pPr>
              <w:ind w:left="400"/>
              <w:spacing w:after="0" w:line="155"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176,973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00" w:type="dxa"/>
            <w:vAlign w:val="bottom"/>
            <w:shd w:val="clear" w:color="auto" w:fill="CCEEFF"/>
          </w:tcPr>
          <w:p>
            <w:pPr>
              <w:ind w:left="200"/>
              <w:spacing w:after="0" w:line="124" w:lineRule="exact"/>
              <w:rPr>
                <w:sz w:val="20"/>
                <w:szCs w:val="20"/>
                <w:color w:val="auto"/>
              </w:rPr>
            </w:pPr>
            <w:r>
              <w:rPr>
                <w:rFonts w:ascii="Arial" w:cs="Arial" w:eastAsia="Arial" w:hAnsi="Arial"/>
                <w:sz w:val="14"/>
                <w:szCs w:val="14"/>
                <w:color w:val="auto"/>
                <w:w w:val="99"/>
              </w:rPr>
              <w:t>Issuance of 464,963 shares of Class A Common</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under stock option plan</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5,553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8,941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6,147</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(6,149)</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impact of adoption of FIN 48</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ind w:left="200"/>
              <w:spacing w:after="0" w:line="130" w:lineRule="exact"/>
              <w:rPr>
                <w:sz w:val="20"/>
                <w:szCs w:val="20"/>
                <w:color w:val="auto"/>
              </w:rPr>
            </w:pPr>
            <w:r>
              <w:rPr>
                <w:rFonts w:ascii="Arial" w:cs="Arial" w:eastAsia="Arial" w:hAnsi="Arial"/>
                <w:sz w:val="14"/>
                <w:szCs w:val="14"/>
                <w:color w:val="auto"/>
              </w:rPr>
              <w:t>Tax benefit from exercise of stock options and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00"/>
              <w:spacing w:after="0"/>
              <w:rPr>
                <w:sz w:val="20"/>
                <w:szCs w:val="20"/>
                <w:color w:val="auto"/>
              </w:rPr>
            </w:pPr>
            <w:r>
              <w:rPr>
                <w:rFonts w:ascii="Arial" w:cs="Arial" w:eastAsia="Arial" w:hAnsi="Arial"/>
                <w:sz w:val="14"/>
                <w:szCs w:val="14"/>
                <w:color w:val="auto"/>
              </w:rPr>
              <w:t>deferred compensation distributions</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4,638</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ind w:left="200"/>
              <w:spacing w:after="0" w:line="130" w:lineRule="exact"/>
              <w:rPr>
                <w:sz w:val="20"/>
                <w:szCs w:val="20"/>
                <w:color w:val="auto"/>
              </w:rPr>
            </w:pPr>
            <w:r>
              <w:rPr>
                <w:rFonts w:ascii="Arial" w:cs="Arial" w:eastAsia="Arial" w:hAnsi="Arial"/>
                <w:sz w:val="14"/>
                <w:szCs w:val="14"/>
                <w:color w:val="auto"/>
                <w:w w:val="94"/>
              </w:rPr>
              <w:t>Purchase of 1,349,136 shares of Class A Common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(42,175)</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0"/>
              <w:spacing w:after="0" w:line="149" w:lineRule="exact"/>
              <w:rPr>
                <w:sz w:val="20"/>
                <w:szCs w:val="20"/>
                <w:color w:val="auto"/>
              </w:rPr>
            </w:pPr>
            <w:r>
              <w:rPr>
                <w:rFonts w:ascii="Arial" w:cs="Arial" w:eastAsia="Arial" w:hAnsi="Arial"/>
                <w:sz w:val="14"/>
                <w:szCs w:val="14"/>
                <w:color w:val="auto"/>
              </w:rPr>
              <w:t>Class A — $.60 per share</w:t>
            </w:r>
          </w:p>
        </w:tc>
        <w:tc>
          <w:tcPr>
            <w:tcW w:w="100" w:type="dxa"/>
            <w:vAlign w:val="bottom"/>
          </w:tcPr>
          <w:p>
            <w:pPr>
              <w:spacing w:after="0"/>
              <w:rPr>
                <w:sz w:val="12"/>
                <w:szCs w:val="12"/>
                <w:color w:val="auto"/>
              </w:rPr>
            </w:pPr>
          </w:p>
        </w:tc>
        <w:tc>
          <w:tcPr>
            <w:tcW w:w="6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(30,400)</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B — $.58 per share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Balances at July 31,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14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292,769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639,059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(33,234)</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128,161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(5,495)</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70,122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70,122</w:t>
            </w:r>
          </w:p>
        </w:tc>
        <w:tc>
          <w:tcPr>
            <w:tcW w:w="0" w:type="dxa"/>
            <w:vAlign w:val="bottom"/>
          </w:tcPr>
          <w:p>
            <w:pPr>
              <w:spacing w:after="0"/>
              <w:rPr>
                <w:sz w:val="1"/>
                <w:szCs w:val="1"/>
                <w:color w:val="auto"/>
              </w:rPr>
            </w:pPr>
          </w:p>
        </w:tc>
      </w:tr>
      <w:tr>
        <w:trPr>
          <w:trHeight w:val="149"/>
        </w:trPr>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Net currency translation adjustment and other</w:t>
            </w:r>
          </w:p>
        </w:tc>
        <w:tc>
          <w:tcPr>
            <w:tcW w:w="100" w:type="dxa"/>
            <w:vAlign w:val="bottom"/>
          </w:tcPr>
          <w:p>
            <w:pPr>
              <w:spacing w:after="0"/>
              <w:rPr>
                <w:sz w:val="12"/>
                <w:szCs w:val="12"/>
                <w:color w:val="auto"/>
              </w:rPr>
            </w:pPr>
          </w:p>
        </w:tc>
        <w:tc>
          <w:tcPr>
            <w:tcW w:w="6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(75,110)</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(75,110)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0"/>
              <w:spacing w:after="0"/>
              <w:rPr>
                <w:sz w:val="20"/>
                <w:szCs w:val="20"/>
                <w:color w:val="auto"/>
              </w:rPr>
            </w:pPr>
            <w:r>
              <w:rPr>
                <w:rFonts w:ascii="Arial" w:cs="Arial" w:eastAsia="Arial" w:hAnsi="Arial"/>
                <w:sz w:val="14"/>
                <w:szCs w:val="14"/>
                <w:color w:val="auto"/>
                <w:w w:val="99"/>
              </w:rPr>
              <w:t>Issuance of 138,934 shares of Class A Common</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00"/>
              <w:spacing w:after="0"/>
              <w:rPr>
                <w:sz w:val="20"/>
                <w:szCs w:val="20"/>
                <w:color w:val="auto"/>
              </w:rPr>
            </w:pPr>
            <w:r>
              <w:rPr>
                <w:rFonts w:ascii="Arial" w:cs="Arial" w:eastAsia="Arial" w:hAnsi="Arial"/>
                <w:sz w:val="14"/>
                <w:szCs w:val="14"/>
                <w:color w:val="auto"/>
              </w:rPr>
              <w:t>Stock under stock option plan</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3,678</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ind w:left="200"/>
              <w:spacing w:after="0" w:line="130" w:lineRule="exact"/>
              <w:rPr>
                <w:sz w:val="20"/>
                <w:szCs w:val="20"/>
                <w:color w:val="auto"/>
              </w:rPr>
            </w:pPr>
            <w:r>
              <w:rPr>
                <w:rFonts w:ascii="Arial" w:cs="Arial" w:eastAsia="Arial" w:hAnsi="Arial"/>
                <w:sz w:val="14"/>
                <w:szCs w:val="14"/>
                <w:color w:val="auto"/>
              </w:rPr>
              <w:t>Tax benefit from exercise of stock options and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00"/>
              <w:spacing w:after="0"/>
              <w:rPr>
                <w:sz w:val="20"/>
                <w:szCs w:val="20"/>
                <w:color w:val="auto"/>
              </w:rPr>
            </w:pPr>
            <w:r>
              <w:rPr>
                <w:rFonts w:ascii="Arial" w:cs="Arial" w:eastAsia="Arial" w:hAnsi="Arial"/>
                <w:sz w:val="14"/>
                <w:szCs w:val="14"/>
                <w:color w:val="auto"/>
              </w:rPr>
              <w:t>deferred compensation distributions</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 (Note 1)</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8,099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ind w:left="200"/>
              <w:spacing w:after="0" w:line="130" w:lineRule="exact"/>
              <w:rPr>
                <w:sz w:val="20"/>
                <w:szCs w:val="20"/>
                <w:color w:val="auto"/>
              </w:rPr>
            </w:pPr>
            <w:r>
              <w:rPr>
                <w:rFonts w:ascii="Arial" w:cs="Arial" w:eastAsia="Arial" w:hAnsi="Arial"/>
                <w:sz w:val="14"/>
                <w:szCs w:val="14"/>
                <w:color w:val="auto"/>
                <w:w w:val="94"/>
              </w:rPr>
              <w:t>Purchase of 1,344,664 shares of Class A Common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(40,267)</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0"/>
              <w:spacing w:after="0" w:line="149" w:lineRule="exact"/>
              <w:rPr>
                <w:sz w:val="20"/>
                <w:szCs w:val="20"/>
                <w:color w:val="auto"/>
              </w:rPr>
            </w:pPr>
            <w:r>
              <w:rPr>
                <w:rFonts w:ascii="Arial" w:cs="Arial" w:eastAsia="Arial" w:hAnsi="Arial"/>
                <w:sz w:val="14"/>
                <w:szCs w:val="14"/>
                <w:color w:val="auto"/>
              </w:rPr>
              <w:t>Class A — $.68 per share</w:t>
            </w:r>
          </w:p>
        </w:tc>
        <w:tc>
          <w:tcPr>
            <w:tcW w:w="100" w:type="dxa"/>
            <w:vAlign w:val="bottom"/>
          </w:tcPr>
          <w:p>
            <w:pPr>
              <w:spacing w:after="0"/>
              <w:rPr>
                <w:sz w:val="12"/>
                <w:szCs w:val="12"/>
                <w:color w:val="auto"/>
              </w:rPr>
            </w:pPr>
          </w:p>
        </w:tc>
        <w:tc>
          <w:tcPr>
            <w:tcW w:w="6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(33,492)</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B — $.66 per share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Balances at July 31,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14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298,466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673,342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(69,823)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(4,492)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81,956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81,956</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currency translation adjustment and other</w:t>
            </w:r>
          </w:p>
        </w:tc>
        <w:tc>
          <w:tcPr>
            <w:tcW w:w="100" w:type="dxa"/>
            <w:vAlign w:val="bottom"/>
          </w:tcPr>
          <w:p>
            <w:pPr>
              <w:spacing w:after="0"/>
              <w:rPr>
                <w:sz w:val="12"/>
                <w:szCs w:val="12"/>
                <w:color w:val="auto"/>
              </w:rPr>
            </w:pPr>
          </w:p>
        </w:tc>
        <w:tc>
          <w:tcPr>
            <w:tcW w:w="6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(2,146)</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79,810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Issuance of 215,447 shares of Class A Common</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00"/>
              <w:spacing w:after="0"/>
              <w:rPr>
                <w:sz w:val="20"/>
                <w:szCs w:val="20"/>
                <w:color w:val="auto"/>
              </w:rPr>
            </w:pPr>
            <w:r>
              <w:rPr>
                <w:rFonts w:ascii="Arial" w:cs="Arial" w:eastAsia="Arial" w:hAnsi="Arial"/>
                <w:sz w:val="14"/>
                <w:szCs w:val="14"/>
                <w:color w:val="auto"/>
              </w:rPr>
              <w:t>Stock under stock option plan</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6,505</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line="130" w:lineRule="exact"/>
              <w:rPr>
                <w:sz w:val="20"/>
                <w:szCs w:val="20"/>
                <w:color w:val="auto"/>
              </w:rPr>
            </w:pPr>
            <w:r>
              <w:rPr>
                <w:rFonts w:ascii="Arial" w:cs="Arial" w:eastAsia="Arial" w:hAnsi="Arial"/>
                <w:sz w:val="14"/>
                <w:szCs w:val="14"/>
                <w:color w:val="auto"/>
              </w:rPr>
              <w:t>Tax benefit from exercise of stock options and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00"/>
              <w:spacing w:after="0"/>
              <w:rPr>
                <w:sz w:val="20"/>
                <w:szCs w:val="20"/>
                <w:color w:val="auto"/>
              </w:rPr>
            </w:pPr>
            <w:r>
              <w:rPr>
                <w:rFonts w:ascii="Arial" w:cs="Arial" w:eastAsia="Arial" w:hAnsi="Arial"/>
                <w:sz w:val="14"/>
                <w:szCs w:val="14"/>
                <w:color w:val="auto"/>
              </w:rPr>
              <w:t>deferred compensation distributions</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 (Note 1)</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9,721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line="130" w:lineRule="exact"/>
              <w:rPr>
                <w:sz w:val="20"/>
                <w:szCs w:val="20"/>
                <w:color w:val="auto"/>
              </w:rPr>
            </w:pPr>
            <w:r>
              <w:rPr>
                <w:rFonts w:ascii="Arial" w:cs="Arial" w:eastAsia="Arial" w:hAnsi="Arial"/>
                <w:sz w:val="14"/>
                <w:szCs w:val="14"/>
                <w:color w:val="auto"/>
              </w:rPr>
              <w:t>Purchase of 102,067 shares of Class A Common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(2,537)</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Class A — $.70 per share</w:t>
            </w:r>
          </w:p>
        </w:tc>
        <w:tc>
          <w:tcPr>
            <w:tcW w:w="100" w:type="dxa"/>
            <w:vAlign w:val="bottom"/>
          </w:tcPr>
          <w:p>
            <w:pPr>
              <w:spacing w:after="0"/>
              <w:rPr>
                <w:sz w:val="12"/>
                <w:szCs w:val="12"/>
                <w:color w:val="auto"/>
              </w:rPr>
            </w:pPr>
          </w:p>
        </w:tc>
        <w:tc>
          <w:tcPr>
            <w:tcW w:w="68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(34,368)</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B — $.68 per share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Balances at July 31, 2010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14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304,205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718,512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(66,314)</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50,905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(2,829)</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9"/>
              </w:rPr>
              <w:t>BRADY CORPORATION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89"/>
              </w:rPr>
              <w:t>Years Ended July 31, 2010, 2009 and 2008</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gridSpan w:val="6"/>
          </w:tcPr>
          <w:p>
            <w:pPr>
              <w:jc w:val="right"/>
              <w:ind w:right="105"/>
              <w:spacing w:after="0"/>
              <w:rPr>
                <w:sz w:val="20"/>
                <w:szCs w:val="20"/>
                <w:color w:val="auto"/>
              </w:rPr>
            </w:pPr>
            <w:r>
              <w:rPr>
                <w:rFonts w:ascii="Arial" w:cs="Arial" w:eastAsia="Arial" w:hAnsi="Arial"/>
                <w:sz w:val="18"/>
                <w:szCs w:val="18"/>
                <w:b w:val="1"/>
                <w:bCs w:val="1"/>
                <w:color w:val="auto"/>
                <w:w w:val="86"/>
              </w:rPr>
              <w:t>(Dollars in thousands)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81,956</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70,122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53,022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54,851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(6,834)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Loss on sale of property, plant and equipment</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Non-cash portion of restructuring</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Changes in operating assets and liabilities (net of effects of business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(29,479)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53,389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(3,502)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(2,423)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5,258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(9,673)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165,238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126,645</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(30,431)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Payments of contingent consideration</w:t>
            </w: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Sales of short-term investments</w:t>
            </w: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(26,296)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Proceeds from net investment hedge</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6,248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(19,044)</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(36,786)</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(35,839)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Principal payments on debt</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(44,893)</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(87,224)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(39,443)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(40,267)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(42,175)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tax benefit from the exercise of stock options and deferred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compensation distributions</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(160,311)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(76,944)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(17,489)</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188,156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258,355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142,846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188,156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Interest, net of capitalized 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26,047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26,308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(5,201)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Net cash paid for acquisitions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July 31, 2010, 2009 and 2008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9"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Brady Corporation (“Brady” or the “Company”) is an international manufacturer and marketer of</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solutions and specialty products which 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Brady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its subsidiaries (the “Company”), all of which are wholly-owned. All intercompany accounts and transactions have been eliminated in consolidation.</w:t>
      </w:r>
    </w:p>
    <w:p>
      <w:pPr>
        <w:spacing w:after="0" w:line="154"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The Company has reclassified certain prior year financial statement amounts to conform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year presentation. The Company reclassified the “Proceeds from sale of property, plant, and equipment” line item to the “Other” Investing activities line item on the Consolidated Statements of Cash Flows for the years ended July 31, 2009 and 2008. This reclassification had no effect on total assets, net income, or earnings per share.</w:t>
      </w:r>
    </w:p>
    <w:p>
      <w:pPr>
        <w:spacing w:after="0" w:line="131"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conformity with accounting principles generally accepted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On September 9, 2010, the Company announced an increase in the annual dividend to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Class A Common Stock, from $0.70 to $0.72 per share. A quarterly dividend of $0.18 will be paid on October 29, 2010, to shareholders of record at the close of business on October 8, 2010. This dividend represents an increase of 2.9% and is the 25th consecutive annual increase in dividends.</w:t>
      </w:r>
    </w:p>
    <w:p>
      <w:pPr>
        <w:spacing w:after="0" w:line="16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believes the carrying amount of its financial instruments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accounts receivable and accounts payable) is a reasonable estimate of the fair value of these instruments due to their short-term nature. The Company adopted guidance related to fair value measurements on August 1, 2008 as it relates to financial assets and liabilities. The Company adopted the new accounting guidance on fair value measurements for its nonfinancial assets and liabilities on August 1, 2009. See Note 5 for more information regarding the fair value of long-term debt and Note 10 for fair value measurements.</w:t>
      </w:r>
    </w:p>
    <w:p>
      <w:pPr>
        <w:spacing w:after="0" w:line="15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 considers all highly liquid investments with original maturities of three months or less</w:t>
      </w:r>
      <w:r>
        <w:rPr>
          <w:rFonts w:ascii="Arial" w:cs="Arial" w:eastAsia="Arial" w:hAnsi="Arial"/>
          <w:sz w:val="17"/>
          <w:szCs w:val="17"/>
          <w:i w:val="1"/>
          <w:iCs w:val="1"/>
          <w:color w:val="auto"/>
        </w:rPr>
        <w:t xml:space="preserve"> </w:t>
      </w:r>
      <w:r>
        <w:rPr>
          <w:rFonts w:ascii="Arial" w:cs="Arial" w:eastAsia="Arial" w:hAnsi="Arial"/>
          <w:sz w:val="17"/>
          <w:szCs w:val="17"/>
          <w:color w:val="auto"/>
        </w:rPr>
        <w:t>when acquired to be cash equivalents, which are recorded at cost. The Company’s cash equivalents include variable rate demand note (“VRDN”) securities issued by various agencies that include a put feature to the original issuer or the issuer’s agent. The Company’s VRDN investments are generally federal tax-exempt instruments of high credit quality, secured by direct-pay letters of credit from major financial institutions. These investments have variable rates tied to short-term interest rates. Interest rates are reset weekly and these VRDN investments can be tendered for sale upon notice (generally no longer than seven days). Although the Company’s VRDN securities are issued and rated as long-term securities (with maturities through 2029), they are priced and traded as short-term investments.</w:t>
      </w:r>
    </w:p>
    <w:p>
      <w:pPr>
        <w:spacing w:after="0" w:line="13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classifies the variable rate demand note securities with put features, where the issuer holds the obligation, as cash equivalents. The investments are carried at cost or par value, which approximates the fair value. As of July 31, 2010, the recorded value of the VRDNs held by the Company was $66.1 million and there were no realized or unrealized gains or losses related to the Company’s securities. As of July 31, 2010, all VRDNs held by the Company were classified as “cash and cash equivalents” on the Consolidated Balance Sheets. The Company did not hold any VRDNs as of July 31, 2009.</w:t>
      </w:r>
    </w:p>
    <w:p>
      <w:pPr>
        <w:spacing w:after="0" w:line="13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i w:val="1"/>
          <w:iCs w:val="1"/>
          <w:color w:val="auto"/>
        </w:rPr>
        <w:t xml:space="preserve">Accounts Receivables </w:t>
      </w:r>
      <w:r>
        <w:rPr>
          <w:rFonts w:ascii="Arial" w:cs="Arial" w:eastAsia="Arial" w:hAnsi="Arial"/>
          <w:sz w:val="17"/>
          <w:szCs w:val="17"/>
          <w:color w:val="auto"/>
        </w:rPr>
        <w:t>— Accounts receivables are stated net of allowances for doubtful accounts of $7,137 and $7,931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July 31, 2010 and 2009, respectively. No single customer comprises more than 10% of the Company’s consolidated net sales in 2010, 2009, or 2008, or 10% of the Company’s consolidated accounts receivable as of July 31, 2010 or 2009. Specific customer provisions are made when a review of significant outstanding amounts, utilizing information about customer creditworthiness and current economic trends, indicates that collection is doubtful. In addition, provisions are made at different rates, based upon the age of the receivable and the Company’s historical collection experience.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Cost has been determined using the last-in, first-out</w:t>
      </w:r>
      <w:r>
        <w:rPr>
          <w:rFonts w:ascii="Arial" w:cs="Arial" w:eastAsia="Arial" w:hAnsi="Arial"/>
          <w:sz w:val="18"/>
          <w:szCs w:val="18"/>
          <w:i w:val="1"/>
          <w:iCs w:val="1"/>
          <w:color w:val="auto"/>
        </w:rPr>
        <w:t xml:space="preserve"> </w:t>
      </w:r>
      <w:r>
        <w:rPr>
          <w:rFonts w:ascii="Arial" w:cs="Arial" w:eastAsia="Arial" w:hAnsi="Arial"/>
          <w:sz w:val="18"/>
          <w:szCs w:val="18"/>
          <w:color w:val="auto"/>
        </w:rPr>
        <w:t>(“LIFO”) method for certain domestic inventories (approximately 20% of total inventories at July 31, 2010 and approximately 19% of total inventories at July 31, 2009) and the first-in, first-out (“FIFO”) or average cost methods for other inventories. Had all domestic inventories been accounted for on a FIFO basis instead of on a LIFO basis, the carrying value would have increased by $9,178 and $9,348 at July 31, 2010 and 2009, respectively.</w:t>
      </w:r>
    </w:p>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cost of buildings and improvements and machinery and equipment is being depreciated over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lives using primarily the straight-line method for financial reporting purposes. The estimated useful lives range from 3 to 33 years as shown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26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Range of Useful Lives</w:t>
            </w:r>
          </w:p>
        </w:tc>
      </w:tr>
      <w:tr>
        <w:trPr>
          <w:trHeight w:val="20"/>
        </w:trPr>
        <w:tc>
          <w:tcPr>
            <w:tcW w:w="7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33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Years</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Computer systems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Years</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Years</w:t>
            </w:r>
          </w:p>
        </w:tc>
      </w:tr>
    </w:tbl>
    <w:p>
      <w:pPr>
        <w:spacing w:after="0" w:line="16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Leasehold improvements are depreciated over the shorter of the lease term or the estimated useful life of the respective asset.</w:t>
      </w:r>
    </w:p>
    <w:p>
      <w:pPr>
        <w:spacing w:after="0" w:line="13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 The cost of intangible assets with determinable useful lives is amortized to reflect</w:t>
      </w:r>
      <w:r>
        <w:rPr>
          <w:rFonts w:ascii="Arial" w:cs="Arial" w:eastAsia="Arial" w:hAnsi="Arial"/>
          <w:sz w:val="16"/>
          <w:szCs w:val="16"/>
          <w:i w:val="1"/>
          <w:iCs w:val="1"/>
          <w:color w:val="auto"/>
        </w:rPr>
        <w:t xml:space="preserve"> </w:t>
      </w:r>
      <w:r>
        <w:rPr>
          <w:rFonts w:ascii="Arial" w:cs="Arial" w:eastAsia="Arial" w:hAnsi="Arial"/>
          <w:sz w:val="16"/>
          <w:szCs w:val="16"/>
          <w:color w:val="auto"/>
        </w:rPr>
        <w:t>the pattern of economic benefits consumed on a straight-line basis, over the estimated periods benefited. Intangible assets with indefinite useful lives and goodwill are not subjected to amortization. These assets are assessed for impairment annually and when deemed necessary. Goodwill at July 31, 2010 and 2009 did not include any accumulated impairment losses.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for the years ended July 31, 2010 and 2009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Asia-</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Americas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Europe</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Pacific</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186,480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789,107</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(35,444)</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July 31, 2009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410,135</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166,251</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174,787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acquisitions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20,266</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Translation adjustments and other</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(9,958)</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5,606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180,393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Goodwill increased $17,427 during fiscal 2010 due to the recent acquisition activity and the net effects of foreign currency translation. Of the $17,427 increase in goodwill, $778 resulted from the acquisition of certain assets of Welco, a division of Welconstruct Group Limited (“Welco”) in the first quarter of fiscal 2010, $13,370 resulted from the acquisition of Stickolor Industria e Comerciao de Auto Adesivos Ltda. (“Stickolor”) in the second quarter of fiscal 2010, and $6,118 resulted from the acquisition of Securimed SAS (“Securimed”) in the third quarter of fiscal 2010. The increase in goodwill was offset by the negative net effect of foreign currency translation of $2,839 during fiscal 2010.</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November 2008, the Company reached a settlement of the original purchase price with the former owners of Tradex Converting AB (“Tradex”), which the Company acquired in May 2006, resulting in a purchase price decrease of $3,514, which decreased goodwill in Europe and Asia Pacific, accordingly. Goodwill increased $1,024 during fiscal 2009 as a result of the $749 payment of an earnout to the former owners of Transposafe Systems B.V. and Holland Mounting Systems B.V. (collectively, “Transposafe”), and the $275 final tax adjustments for Sorbent Products Company (“SPC”). Goodwill decreased $35,444 during fiscal 2009 due to the effects of foreign currency translation.</w:t>
      </w:r>
    </w:p>
    <w:p>
      <w:pPr>
        <w:spacing w:after="0" w:line="16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Adjustments to the preliminary allocation of purchase price for the acquisitions completed in fiscal 2007 were made in fiscal 2008, of which the largest adjustment related to the final purchase price adjustments for Comprehensive Identification Products, Inc (“CIPI”), which added $3,948. Of the $3,948 increase in goodwill attributed to the allocation of the purchase price for CIPI, $1,246 related to the accounting for uncertainty in income taxes, $1,250 related to an accrual for employee termination costs, $809 related to various exit costs associated with the closure of a facility, and the remaining $643 related to tax and other liabilities existing at the time of acquisition. As of July 31, 2010 and 2009, the remaining liability from these charges was approximately $374 and $612,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6"/>
                <w:szCs w:val="16"/>
                <w:b w:val="1"/>
                <w:bCs w:val="1"/>
                <w:color w:val="auto"/>
              </w:rPr>
              <w:t>July 31, 2010</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6"/>
                <w:szCs w:val="16"/>
                <w:b w:val="1"/>
                <w:bCs w:val="1"/>
                <w:color w:val="auto"/>
              </w:rPr>
              <w:t>July 31, 2009</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5"/>
        </w:trPr>
        <w:tc>
          <w:tcPr>
            <w:tcW w:w="20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0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rPr>
              <w:t>Carrying</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rPr>
              <w:t>Net Book</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760" w:type="dxa"/>
            <w:vAlign w:val="bottom"/>
            <w:gridSpan w:val="3"/>
          </w:tcPr>
          <w:p>
            <w:pPr>
              <w:ind w:left="20"/>
              <w:spacing w:after="0"/>
              <w:rPr>
                <w:sz w:val="20"/>
                <w:szCs w:val="20"/>
                <w:color w:val="auto"/>
              </w:rPr>
            </w:pPr>
            <w:r>
              <w:rPr>
                <w:rFonts w:ascii="Arial" w:cs="Arial" w:eastAsia="Arial" w:hAnsi="Arial"/>
                <w:sz w:val="16"/>
                <w:szCs w:val="16"/>
                <w:b w:val="1"/>
                <w:bCs w:val="1"/>
                <w:color w:val="auto"/>
              </w:rPr>
              <w:t>Carrying</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700" w:type="dxa"/>
            <w:vAlign w:val="bottom"/>
            <w:gridSpan w:val="3"/>
          </w:tcPr>
          <w:p>
            <w:pPr>
              <w:spacing w:after="0"/>
              <w:rPr>
                <w:sz w:val="20"/>
                <w:szCs w:val="20"/>
                <w:color w:val="auto"/>
              </w:rPr>
            </w:pPr>
            <w:r>
              <w:rPr>
                <w:rFonts w:ascii="Arial" w:cs="Arial" w:eastAsia="Arial" w:hAnsi="Arial"/>
                <w:sz w:val="16"/>
                <w:szCs w:val="16"/>
                <w:b w:val="1"/>
                <w:bCs w:val="1"/>
                <w:color w:val="auto"/>
                <w:w w:val="96"/>
              </w:rPr>
              <w:t>Net Book</w:t>
            </w:r>
          </w:p>
        </w:tc>
      </w:tr>
      <w:tr>
        <w:trPr>
          <w:trHeight w:val="213"/>
        </w:trPr>
        <w:tc>
          <w:tcPr>
            <w:tcW w:w="20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 (Years)</w:t>
            </w:r>
          </w:p>
        </w:tc>
        <w:tc>
          <w:tcPr>
            <w:tcW w:w="7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5"/>
              </w:rPr>
              <w:t>Amount</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Value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Period (Years)</w:t>
            </w: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Amount</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w:t>
            </w:r>
          </w:p>
        </w:tc>
      </w:tr>
      <w:tr>
        <w:trPr>
          <w:trHeight w:val="189"/>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Amortized other intangible</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2080" w:type="dxa"/>
            <w:vAlign w:val="bottom"/>
          </w:tcPr>
          <w:p>
            <w:pPr>
              <w:ind w:left="200"/>
              <w:spacing w:after="0"/>
              <w:rPr>
                <w:sz w:val="20"/>
                <w:szCs w:val="20"/>
                <w:color w:val="auto"/>
              </w:rPr>
            </w:pPr>
            <w:r>
              <w:rPr>
                <w:rFonts w:ascii="Arial" w:cs="Arial" w:eastAsia="Arial" w:hAnsi="Arial"/>
                <w:sz w:val="16"/>
                <w:szCs w:val="16"/>
                <w:color w:val="auto"/>
              </w:rPr>
              <w:t>Patents</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9,314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(7,855)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1,459</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8,976</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(7,165)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1,811</w:t>
            </w:r>
          </w:p>
        </w:tc>
      </w:tr>
      <w:tr>
        <w:trPr>
          <w:trHeight w:val="203"/>
        </w:trPr>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Trademarks and other</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8,823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(5,685)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3,138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7,703</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(5,121)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2,582</w:t>
            </w:r>
          </w:p>
        </w:tc>
      </w:tr>
      <w:tr>
        <w:trPr>
          <w:trHeight w:val="203"/>
        </w:trPr>
        <w:tc>
          <w:tcPr>
            <w:tcW w:w="2080" w:type="dxa"/>
            <w:vAlign w:val="bottom"/>
          </w:tcPr>
          <w:p>
            <w:pPr>
              <w:ind w:left="400"/>
              <w:spacing w:after="0"/>
              <w:rPr>
                <w:sz w:val="20"/>
                <w:szCs w:val="20"/>
                <w:color w:val="auto"/>
              </w:rPr>
            </w:pPr>
            <w:r>
              <w:rPr>
                <w:rFonts w:ascii="Arial" w:cs="Arial" w:eastAsia="Arial" w:hAnsi="Arial"/>
                <w:sz w:val="16"/>
                <w:szCs w:val="16"/>
                <w:color w:val="auto"/>
              </w:rPr>
              <w:t>Customer relationships</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152,720</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(95,996)</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56,724</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144,625</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(76,912)</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67,713</w:t>
            </w:r>
          </w:p>
        </w:tc>
      </w:tr>
      <w:tr>
        <w:trPr>
          <w:trHeight w:val="203"/>
        </w:trPr>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Non-compete agreements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11,930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(11,059)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11,502</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(9,656)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1,846</w:t>
            </w:r>
          </w:p>
        </w:tc>
      </w:tr>
      <w:tr>
        <w:trPr>
          <w:trHeight w:val="203"/>
        </w:trPr>
        <w:tc>
          <w:tcPr>
            <w:tcW w:w="2080" w:type="dxa"/>
            <w:vAlign w:val="bottom"/>
          </w:tcPr>
          <w:p>
            <w:pPr>
              <w:ind w:left="200"/>
              <w:spacing w:after="0"/>
              <w:rPr>
                <w:sz w:val="20"/>
                <w:szCs w:val="20"/>
                <w:color w:val="auto"/>
              </w:rPr>
            </w:pPr>
            <w:r>
              <w:rPr>
                <w:rFonts w:ascii="Arial" w:cs="Arial" w:eastAsia="Arial" w:hAnsi="Arial"/>
                <w:sz w:val="16"/>
                <w:szCs w:val="16"/>
                <w:color w:val="auto"/>
              </w:rPr>
              <w:t>Other</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3,309</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3,311</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Unamortized other intangible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208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41,342</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41,342</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41,787</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41,787</w:t>
            </w:r>
          </w:p>
        </w:tc>
      </w:tr>
      <w:tr>
        <w:trPr>
          <w:trHeight w:val="27"/>
        </w:trPr>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227,438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(123,892)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103,546</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217,904</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(102,150)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115,754</w:t>
            </w:r>
          </w:p>
        </w:tc>
      </w:tr>
      <w:tr>
        <w:trPr>
          <w:trHeight w:val="20"/>
        </w:trPr>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value of other intangible assets in the Consolidated Balance Sheet at July 31, 2010, differs from the value assigned to them in the allocation of purchase price due to the effect of fluctuations in the exchange rates used to translate financial statements into the United States dollar between the date of acquisition and July 31, 2010.</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Amortization expense of intangible assets during fiscal 2010, 2009, and 2008 was $21,462, $22,828, and $25,422, respectively. The amortization over each of the next five fiscal years is projected to be $20,194; $13,128; $9,894; $5,137; and $4,532 for the years ending July 31, 2011, 2012, 2013, 2014 and 2015, respectively.</w:t>
      </w:r>
    </w:p>
    <w:p>
      <w:pPr>
        <w:spacing w:after="0" w:line="14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Impairment of Long-Lived and Other Intangible Assets </w:t>
      </w:r>
      <w:r>
        <w:rPr>
          <w:rFonts w:ascii="Arial" w:cs="Arial" w:eastAsia="Arial" w:hAnsi="Arial"/>
          <w:sz w:val="17"/>
          <w:szCs w:val="17"/>
          <w:color w:val="auto"/>
        </w:rPr>
        <w:t>— The Company evaluates whether events and circumstances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that indicate the 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 Based on the assessments completed in fiscal 2010, there has been no impairment of the Company’s long-lived and other intangible assets.</w:t>
      </w:r>
    </w:p>
    <w:p>
      <w:pPr>
        <w:spacing w:after="0" w:line="15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Impairment of Goodwill and Indefinite-lived Intangible Assets</w:t>
      </w:r>
      <w:r>
        <w:rPr>
          <w:rFonts w:ascii="Arial" w:cs="Arial" w:eastAsia="Arial" w:hAnsi="Arial"/>
          <w:sz w:val="18"/>
          <w:szCs w:val="18"/>
          <w:color w:val="auto"/>
        </w:rPr>
        <w:t>— Goodwill and other indefinite-lived intangible assets are</w:t>
      </w:r>
      <w:r>
        <w:rPr>
          <w:rFonts w:ascii="Arial" w:cs="Arial" w:eastAsia="Arial" w:hAnsi="Arial"/>
          <w:sz w:val="18"/>
          <w:szCs w:val="18"/>
          <w:i w:val="1"/>
          <w:iCs w:val="1"/>
          <w:color w:val="auto"/>
        </w:rPr>
        <w:t xml:space="preserve"> </w:t>
      </w:r>
      <w:r>
        <w:rPr>
          <w:rFonts w:ascii="Arial" w:cs="Arial" w:eastAsia="Arial" w:hAnsi="Arial"/>
          <w:sz w:val="18"/>
          <w:szCs w:val="18"/>
          <w:color w:val="auto"/>
        </w:rPr>
        <w:t>tested for impairment annually or more frequently if events or changes in circumstances indicate that the assets might be impaired. Annual impairment tests are performed by the Company in the fourth quarter of each year.</w:t>
      </w:r>
    </w:p>
    <w:p>
      <w:pPr>
        <w:spacing w:after="0" w:line="14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During the fourth quarter of fiscal 2010, the Company conducted a goodwill impairment assessment. The assessment included comparing the carrying amount of net assets, including goodwill, of each reporting unit to its respective fair value as of May 1, 2010, the Company’s assessment date. Fair value was determined using the weighted average of a discounted cash flow and market participant analysis for each reporting unit. As the estimated fair value of each of the Company’s reporting units exceeded its carrying amount, management concluded that no impairment existed as of May 1, 2010. The Company’s methodologies for valuing goodwill are applied consistently on a year-over-year basis. No indications of impairment have been identified between the date of the interim assessments and July 31, 2010.</w:t>
      </w:r>
    </w:p>
    <w:p>
      <w:pPr>
        <w:spacing w:after="0" w:line="137"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the fourth quarter of fiscal 2010, the Company conducted an indefinite-lived intangible asset impairment assessment. The assessment included comparing the carry amount of the indefinite-lived intangible asset to the fair value of those assets as of May 1, 2010, the Company’s assessment date. Fair value was determined using the weighted average discounted revenue stream analysis for each indefinite-lived intangible. Because the estimated fair value of each of the Company’s indefinite-lived intangibles exceeded its carrying amount, management concluded that no impairment existed as of May 1, 2010. The Company’s methodologies for valuing indefinite-lived intangible assets are applied consistently on a year-over-year basis. No indications of impairment have been identified between the date of the interim assessments and July 31, 2010.</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i w:val="1"/>
          <w:iCs w:val="1"/>
          <w:color w:val="auto"/>
        </w:rPr>
        <w:t xml:space="preserve">Catalog Costs and Related Amortization </w:t>
      </w:r>
      <w:r>
        <w:rPr>
          <w:rFonts w:ascii="Arial" w:cs="Arial" w:eastAsia="Arial" w:hAnsi="Arial"/>
          <w:sz w:val="16"/>
          <w:szCs w:val="16"/>
          <w:color w:val="auto"/>
        </w:rPr>
        <w:t>— The Company accumulates all direct costs incurred, net of vendor cooperative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payments, in the development, production, and circulation of its catalogs on its balance sheet until such time as the related catalog is mailed. The catalogs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2010 and 2009, $11,496 and $13,511, respectively, of prepaid catalog costs were included in prepaid expenses and other current assets.</w:t>
      </w:r>
    </w:p>
    <w:p>
      <w:pPr>
        <w:spacing w:after="0" w:line="14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Revenue is recognized when it is both earned and realized or realizable. The Company’s policy is</w:t>
      </w:r>
      <w:r>
        <w:rPr>
          <w:rFonts w:ascii="Arial" w:cs="Arial" w:eastAsia="Arial" w:hAnsi="Arial"/>
          <w:sz w:val="16"/>
          <w:szCs w:val="16"/>
          <w:i w:val="1"/>
          <w:iCs w:val="1"/>
          <w:color w:val="auto"/>
        </w:rPr>
        <w:t xml:space="preserve"> </w:t>
      </w:r>
      <w:r>
        <w:rPr>
          <w:rFonts w:ascii="Arial" w:cs="Arial" w:eastAsia="Arial" w:hAnsi="Arial"/>
          <w:sz w:val="16"/>
          <w:szCs w:val="16"/>
          <w:color w:val="auto"/>
        </w:rPr>
        <w:t>to recognize revenue when title to the product, ownership and risk of loss have transferred to the customer, persuasive evidence of an arrangement exits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2010 and 2009, the Company had a reserve of $3,963 and $6,208, respectively.</w:t>
      </w:r>
    </w:p>
    <w:p>
      <w:pPr>
        <w:spacing w:after="0" w:line="12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 The Company accounts for cash consideration (such as sales incentives and cash discounts) given to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or resellers as a reduction of revenue rather than an operating expense.</w:t>
      </w:r>
    </w:p>
    <w:p>
      <w:pPr>
        <w:spacing w:after="0" w:line="130"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i w:val="1"/>
          <w:iCs w:val="1"/>
          <w:color w:val="auto"/>
        </w:rPr>
        <w:t xml:space="preserve">Shipping and Handling Fees and Costs </w:t>
      </w:r>
      <w:r>
        <w:rPr>
          <w:rFonts w:ascii="Arial" w:cs="Arial" w:eastAsia="Arial" w:hAnsi="Arial"/>
          <w:sz w:val="16"/>
          <w:szCs w:val="16"/>
          <w:color w:val="auto"/>
        </w:rPr>
        <w:t>—Amounts billed to a customer in a sale transaction related to shipping and</w:t>
      </w:r>
      <w:r>
        <w:rPr>
          <w:rFonts w:ascii="Arial" w:cs="Arial" w:eastAsia="Arial" w:hAnsi="Arial"/>
          <w:sz w:val="16"/>
          <w:szCs w:val="16"/>
          <w:i w:val="1"/>
          <w:iCs w:val="1"/>
          <w:color w:val="auto"/>
        </w:rPr>
        <w:t xml:space="preserve"> </w:t>
      </w:r>
      <w:r>
        <w:rPr>
          <w:rFonts w:ascii="Arial" w:cs="Arial" w:eastAsia="Arial" w:hAnsi="Arial"/>
          <w:sz w:val="16"/>
          <w:szCs w:val="16"/>
          <w:color w:val="auto"/>
        </w:rPr>
        <w:t>handling fees are reported as net sales and the related costs incurred for shipping and handling are reported as cost of goods sold.</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Advertising Costs </w:t>
      </w:r>
      <w:r>
        <w:rPr>
          <w:rFonts w:ascii="Arial" w:cs="Arial" w:eastAsia="Arial" w:hAnsi="Arial"/>
          <w:sz w:val="17"/>
          <w:szCs w:val="17"/>
          <w:color w:val="auto"/>
        </w:rPr>
        <w:t>— Advertising costs are expensed as incurred, except catalog and mailer costs as outlined above.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Advertising expense for the years ended July 31, 2010, 2009, and 2008 were $72,000, $77,395, and $85,908, respectively.</w:t>
      </w:r>
    </w:p>
    <w:p>
      <w:pPr>
        <w:spacing w:after="0" w:line="18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has an incentive stock plan under which the Board of Directors may grant</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expire 10 years from the date of grant. Restricted shares have an issuance price equal to the fair market value of the underlying stock at the date of grant. The Company also granted restricted shares in fiscal 2008 that have an issuance price equal to the fair market value of the underlying stock at the date of grant. The restricted shares vest at the end of a five-year period and upon meeting certain financial performance conditions; these shares are referred to herein as “performance-based restricted shares.”</w:t>
      </w:r>
    </w:p>
    <w:p>
      <w:pPr>
        <w:spacing w:after="0" w:line="13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July 31, 2010, the Company has reserved 5,108,736 shares of Class A Nonvoting Common Stock for outstanding stock options and restricted shares and 2,210,000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16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years ended July 31, 2010, 2009, and 2008 was $9,721 ($5,930 net of taxes), $7,731 ($4,716 net of taxes), and $10,228 ($6,239 net of taxes), respectively. As of July 31, 2010, total unrecognized compensation cost related to share-based compensation awards was $12,941 pre-tax, net of estimated forfeitures, which the Company expects to recognize over a weighted-average period of 2.0 years.</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w:t>
            </w: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Performance-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Performance-</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Service-Based</w:t>
            </w: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1040" w:type="dxa"/>
            <w:vAlign w:val="bottom"/>
            <w:gridSpan w:val="3"/>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Based</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5.94</w:t>
            </w:r>
          </w:p>
        </w:tc>
        <w:tc>
          <w:tcPr>
            <w:tcW w:w="980" w:type="dxa"/>
            <w:vAlign w:val="bottom"/>
            <w:gridSpan w:val="2"/>
            <w:shd w:val="clear" w:color="auto" w:fill="CCEEFF"/>
          </w:tcPr>
          <w:p>
            <w:pPr>
              <w:ind w:left="600"/>
              <w:spacing w:after="0" w:line="142"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Expected volatility</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38.72%</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w:t>
            </w: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36.07%</w:t>
            </w: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33.68%</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w:t>
            </w: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Risk-free interest rate</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w:t>
            </w: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4.66%</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30"/>
        </w:trPr>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Weighted-average market value of underlying stock at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grant date</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28.73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28.68</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21.26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35.35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Weighted-average exercise price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29.78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28.68</w:t>
            </w: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21.26</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35.35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of options granted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153"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Effective February 17, 2010, the Compensation Committee of the Board of Directors of the Company approved an amendment to the performance-based stock options issued on August 1, 2005. Pursuant to the amendment, the term of the performance-based stock options has been extended to ten years from five years resulting in an incremental expense of $354 ($216 net of taxes), which was recorded in the quarter ended April 30, 2010. Also, the amendment provides that during the extension period, executives may exercise the performance-based stock options following a termination only if the termination is as a result of the executive’s death or disability or qualifies as a retirement. The Company’s Chief Executive Officer, Chief Financial Officer, and its three named executive officers currently have the following exercisable performance-based stock options affected by this amendment: Frank M. Jaehnert, 60,000 options; Thomas J. Felmer, 20,000 options; Allan J. Klotsche, 30,000 shares; Peter C. Sephton, 30,000 options; and Matthew O. Williamson, 30,000 options.</w:t>
      </w:r>
    </w:p>
    <w:p>
      <w:pPr>
        <w:spacing w:after="0" w:line="12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Company granted 525,000 performance-based options during fiscal 2010, with a weighted average exercise price of $29.78 and a weighted average fair value of $8.70. The Company also granted 921,500 service-based options during fiscal 2010, with a weighted average exercise price of $28.68 and a weighted average fair value of $8.77.</w:t>
      </w:r>
    </w:p>
    <w:p>
      <w:pPr>
        <w:spacing w:after="0" w:line="13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The Company did not grant any performance-based restricted shares during fiscal 2010 or 2009. As of July 31, 2010, all of the performance-based restricted shares granted in fiscal 2008 remain outstanding.</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from cash flow hedges and net investment hedges, the unamortized gain on the post-retirement medical, dental and vision plans and their related tax effects. The components of accumulated other comprehensive income were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July 31, 2010</w:t>
            </w:r>
          </w:p>
        </w:tc>
        <w:tc>
          <w:tcPr>
            <w:tcW w:w="360" w:type="dxa"/>
            <w:vAlign w:val="bottom"/>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July 31, 2009</w:t>
            </w:r>
          </w:p>
        </w:tc>
        <w:tc>
          <w:tcPr>
            <w:tcW w:w="100" w:type="dxa"/>
            <w:vAlign w:val="bottom"/>
          </w:tcPr>
          <w:p>
            <w:pPr>
              <w:spacing w:after="0"/>
              <w:rPr>
                <w:sz w:val="20"/>
                <w:szCs w:val="20"/>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cash flow hedges, net of tax of $172 and $17, respectively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Proceeds from net investment hedge, net of tax of $2,437 and $0, respectively</w:t>
            </w:r>
          </w:p>
        </w:tc>
        <w:tc>
          <w:tcPr>
            <w:tcW w:w="3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3,811</w:t>
            </w: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Unamortized gain on post-retirement medical, dental and vision plan, net of tax of $1,480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$1,964, respectively</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1,357</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46,058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51,162</w:t>
            </w:r>
          </w:p>
        </w:tc>
      </w:tr>
      <w:tr>
        <w:trPr>
          <w:trHeight w:val="27"/>
        </w:trPr>
        <w:tc>
          <w:tcPr>
            <w:tcW w:w="6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r>
      <w:tr>
        <w:trPr>
          <w:trHeight w:val="20"/>
        </w:trPr>
        <w:tc>
          <w:tcPr>
            <w:tcW w:w="6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rates of exchange, and income and expense accounts are translated at the weighted average rates of exchange for the period. Resulting translation adjustments are included in other comprehensive income.</w:t>
      </w:r>
    </w:p>
    <w:p>
      <w:pPr>
        <w:spacing w:after="0" w:line="141"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accounts for income taxes in accordance with accounting guidance, which requires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liability 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ectPr>
          <w:pgSz w:w="11900" w:h="16838" w:orient="portrait"/>
          <w:cols w:equalWidth="0" w:num="1">
            <w:col w:w="10219"/>
          </w:cols>
          <w:pgMar w:left="240" w:top="419" w:right="1440" w:bottom="487"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87"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The Company does not hold or issue derivative financial instruments for trading purposes.</w:t>
      </w:r>
    </w:p>
    <w:p>
      <w:pPr>
        <w:spacing w:after="0" w:line="143"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i w:val="1"/>
          <w:iCs w:val="1"/>
          <w:color w:val="auto"/>
        </w:rPr>
        <w:t>Foreign Currency Hedging —</w:t>
      </w:r>
      <w:r>
        <w:rPr>
          <w:rFonts w:ascii="Arial" w:cs="Arial" w:eastAsia="Arial" w:hAnsi="Arial"/>
          <w:sz w:val="16"/>
          <w:szCs w:val="16"/>
          <w:color w:val="auto"/>
        </w:rPr>
        <w:t>The objective of the Company’s foreign currency exchange risk management is to minimize</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currency movements on non-functional currency transactions and minimize the foreign currency translation impact on the Company’s European operations. While the Company’s risk management objectives and strategies are driven from an economic perspective, the Company attempts,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products purchased in a currency differing from the selling unit’s currency.</w:t>
      </w:r>
    </w:p>
    <w:p>
      <w:pPr>
        <w:spacing w:after="0" w:line="126"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The fair value of these instruments at July 31, 2010 and 2009 was a liability of $(673) and $(248), respectively. As of July 31, 2010, the notional amount of outstanding forward exchange contracts was $45.3 million. See Note 12 for more information regarding the Company’s derivative instruments and hedging activities.</w:t>
      </w:r>
    </w:p>
    <w:p>
      <w:pPr>
        <w:spacing w:after="0" w:line="126"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2010 and July 31, 2009, unrealized losses of $493 and $35 have been included in OCI, respectively. All balances are expected to be reclassified from OCI to earnings during the next twelve months when the hedged transactions impact earnings.</w:t>
      </w:r>
    </w:p>
    <w:p>
      <w:pPr>
        <w:spacing w:after="0" w:line="15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also utilizes foreign currency denominated debt designated as hedge instruments to hedge portions of the Company’s net investments in European foreign operations. As of July 31, 2010, the Company had €75.0 million foreign denominated debt outstanding designated as a net investment hedge of the Company’s net investment in its European foreign operations. See Note 12 for more information regarding the Company’s derivative instruments and hedging activities. For net investment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also enters into forward exchange contracts to create economic hedges to manage foreign exchange risk exposure. The fair value of these instruments at July 31, 2010 and 2009 was $40 and $130, respectively. The Company has not designated these derivative contracts as hedge transactions, and accordingly, the mark-to-market impact of these derivatives is recorded each period in current earnings.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2010, 2009, and 2008, respectively.</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 In October 2009, the Financial Accounting Standards Board (“FASB”) issued new</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guidance that provides amendments to the criteria for separating consideration in multiple-deliverable revenue arrangements. As a result of these amendments, multiple-deliverable revenue arrangements will be separated in more circumstances than under existing GAAP. Expanded disclosures of qualitative and quantitative information regarding application of the multiple-deliverable revenue arrangement guidance are also required under the guidance. The Company adopted the guidance on August 1, 2010. Based on the Company’s evaluation, the new guidance will not have a material impact on the Company’s consolidated results of operations and financial condition.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March 2010, the FASB ratified a consensus of the FASB Emerging Issues Task Force that recognizes the milestone method as an acceptable revenue recognition method for substantive milestones in research or development arrangements. This consensus would require its provisions be met in order for an entity to recognize consideration that is contingent upon achievement of a substantive milestone as revenue in its entirety in the period in which the milestone is achieved. In addition, this consensus would require disclosure of certain information with respect to arrangements that contain milestones. The Company adopted the guidance on August 1, 2010. Based on the Company’s evaluation, the new guidance will not have an impact on the Company’s consolidated results of operations and financial condition.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 of Businesses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completed three business acquisitions during the fiscal year ended July 31, 2010 and did not complete any business acquisitions during the fiscal year ended July 31, 2009. The Company also completed two business acquisitions during the fiscal year ended July 31, 2008. All of these transactions were accounted for using the purchase method of accounting; therefore, the results of operations are included in the accompanying consolidated financial statements only since their acquisition dates.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March 2010, the Company acquired Securimed SAS (“Securimed”), based in Coudekerque, France for $10,132. Securimed is a leading French supplier and distributor of customized first-aid kits and supplies, and related healthcare products including personal protection, disinfection and hygiene products, diagnosis materials, and products for emergency response. The Securimed business is included in the Company’s Europe segment.</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December 2009, the Company acquired Stickolor Industria e Comercio de Auto Adesivos Ltda. (“Stickolor”), based in Saõ Paulo, Brazil for $18,459. Stickolor manufactures screen-printed custom labels, overlays and nameplates for automobiles, tractors, motorcycles, electronics, white goods and general industrial markets. The Stickolor business is included in the Company’s Americas segment.</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In October 2009, the Company acquired certain assets of the Welco division of Welconstruct Group Limited, based in the United Kingdom for $1,840. The Welco division conducts a direct marketing business consisting of sales of storage, handling, office and workplace products, and equipment via catalog and the internet to industrial and commercial markets under the name and title “Welco.” The Welco business is included in the Company’s Europe segment.</w:t>
      </w:r>
    </w:p>
    <w:p>
      <w:pPr>
        <w:spacing w:after="0" w:line="14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combined estimated fair values of the assets acquired and liabilities assumed at the date of the acquisitions.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assets acquired net of cash</w:t>
            </w: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80" w:type="dxa"/>
            <w:vAlign w:val="bottom"/>
            <w:shd w:val="clear" w:color="auto" w:fill="CCEE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59" w:firstLine="373"/>
        <w:spacing w:after="0" w:line="308" w:lineRule="auto"/>
        <w:rPr>
          <w:sz w:val="20"/>
          <w:szCs w:val="20"/>
          <w:color w:val="auto"/>
        </w:rPr>
      </w:pPr>
      <w:r>
        <w:rPr>
          <w:rFonts w:ascii="Arial" w:cs="Arial" w:eastAsia="Arial" w:hAnsi="Arial"/>
          <w:sz w:val="17"/>
          <w:szCs w:val="17"/>
          <w:color w:val="auto"/>
        </w:rPr>
        <w:t>Purchased identifiable intangible assets for the three business acquisitions closed during the twelve months ended July 31, 2010 totaled $9,310 and will be amortized on a straight-line basis over lives ranging from three to ten years.</w:t>
      </w:r>
    </w:p>
    <w:p>
      <w:pPr>
        <w:spacing w:after="0" w:line="10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results of the operations of the acquired businesses have been included since the respective dates of acquisition in the accompanying consolidated financial statements. The Company has evaluated the initial purchase price allocations for the acquisitions completed within the past 12 months as additional information relative to the fair value of assets and liabilities of the acquired businesses becomes known. As a result of the review no significant changes have resulted to the initial purchase price allocations. Pro forma information related to the acquisitions during the twelve months ended July 31, 2010 is not included because the impact on the Company’s consolidated results of operations is considered to be immaterial.</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complete any business acquisitions in fiscal 2009.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November 2007 the Company acquired Tranposafe, based near Amsterdam, the Netherlands with operations in Belgium, Germany, and Poland for $24,778. Transposafe specializes in security sealing and identification solutions for protecting assets during transport. The Transposafe business is included in the Company’s Europe segment.</w:t>
      </w:r>
    </w:p>
    <w:p>
      <w:pPr>
        <w:spacing w:after="0" w:line="13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purchase agreement for Transposafe included a provision for contingent payments based upon meeting certain performance conditions over a two-year period of time subsequent to the acquisition. The total maximum contingent payment of approximately $3,000 was placed in an escrow account for the acquisition of Transposafe. During fiscal 2009, $700 was paid out of the escrow account to satisfy the earnout and holdback liabilities of the Transposafe acquisition. During fiscal 2010, the remainder of the earnout was returned to Brady, and the holdback was released to the previous owners.</w:t>
      </w:r>
    </w:p>
    <w:p>
      <w:pPr>
        <w:spacing w:after="0" w:line="11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March 2008, the Company acquired DAWG, based in Terryville, Connecticut for $4,568. DAWG is an Internet marketer of sorbents, spill containment products, safety-storage cabinets, first aid kits, and other products that help keep facilities safe and clean. The DAWG business is included in the Company’s Americas segment.</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combined estimated fair values of the assets acquired and liabilities assumed at the date of the acquisitions.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16,876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10,008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 net of cash</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38,384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9,038</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29,346</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Purchased identifiable intangible assets for the two business acquisitions closed during the twelve months ended July 31, 2008 totaled $12,787. This included $12,637 of identifiable intangible assets that will be amortized on a straight-line basis over lives ranging from five to nine years and $150 of indefinite-lived assets related to the DAWG trademark.</w:t>
      </w:r>
    </w:p>
    <w:p>
      <w:pPr>
        <w:spacing w:after="0" w:line="12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results of the operations of the acquired businesses have been included since the respective dates of acquisition in the accompanying consolidated financial statements. Pro forma information related to the acquisitions during the twelve months ended July 31, 2008 is not included because the impact on the Company’s consolidated results of operations is considered to be immaterial.</w:t>
      </w:r>
    </w:p>
    <w:p>
      <w:pPr>
        <w:spacing w:after="0" w:line="146"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 the fiscal year ended July 31, 2007, the Company acquired Scafftag and Asterisco, amongst five other businesses. The purchase agreements for Scafftag and Asterisco each included provisions for contingent payments based upon meeting certain performance conditions over a period of time subsequent to the acquisition. The total maximum contingent payments of $5,200 have not been accrued as liabilities on the accompanying consolidated financial statements as the payments are based on attaining certain financial results. Approximately $4,900 of the contingency related to the Asterisco acquisition had been placed in an escrow account in compliance with the terms of the purchase agreement. During fiscal 2008, the Company paid the former owners of Astersico $200 to satisfy the terms of the earnout agreement, while the remaining $4,700 was returned to Brady due to the acquired business not meeting certain performance criteria. The purchase agreement of Asterisco also included a holdback provision of approximately $2,300 that was recorded as a liability in the accompanying consolidated financial statements at July 31, 2008. A payment of $700 was paid during fiscal 2009 to satisfy the holdback liabilities of the Asterisco acquisition. The remainder of the holdback liabilities shall be released in accordance with the terms of the agreement.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Employee Benefit Plans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provides postretirement medical, dental and vision benefits (the “Plan”)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49"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accounting guidance on defined benefit pension and other postretirement plans requires full recognition of the funded status of defined benefit and other postretirement plans on the balance sheet as an asset or a liability. The guidance also continues to require that unrecognized prior service costs/credits, gains/losses, and transition obligations/assets be recorded in Accumulated Other Comprehensive Income, thus not changing the income statement recognition rules for such plans.</w:t>
      </w:r>
    </w:p>
    <w:p>
      <w:pPr>
        <w:sectPr>
          <w:pgSz w:w="11900" w:h="16838" w:orient="portrait"/>
          <w:cols w:equalWidth="0" w:num="1">
            <w:col w:w="10219"/>
          </w:cols>
          <w:pgMar w:left="240" w:top="419" w:right="1440" w:bottom="204"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04"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2010 and 2009. The following table provides a reconciliation of the changes in the Plan’s accumulated benefit obligations during the years ended July 31: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Actuarial loss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Plan amendments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Separation benefits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Curtailments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Obligation at end of fiscal year</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voluntary retiree medical savings account plan was terminated effective December 31, 2009. Employer match account balances were prorated and paid to participants through a settlement of $455, and the remaining reduction in the liability resulted in a plan amendment of $169 as of July 31, 2010.</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discussed in Note 11, the fiscal 2009 restructuring charges included employee separation costs. Employee separation costs of $1,178 have been included in the separation benefits above as the costs directly relate to the postretirement medical, dental and vision benefits. In addition, the reduction in workforce during fiscal 2009 resulted in a partial plan curtailment, reducing the accumulated benefit obligation by $679 as of July 31, 2009.</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July 31, 2010 and 2009, amounts recognized as liabilities in the accompanying consolidated balance sheets consist of:</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Noncurrent liability</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14,217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13,486</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14,311</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July 31, 2010 and 2009, pre-tax amounts recognized in accumulated other comprehensive income in the accompanying consolidated balance sheets consist of:</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3,906</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periodic benefit cost for the Plan for fiscal years 2010, 2009, and 2008 includes the following components: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Years Ended July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 included the following components: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Service cost — benefits attributed to service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919</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cost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Interest cost on accumulated postretirement benefit obligation</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unrecognized gain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Curtailment loss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Periodic postretirement benefit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estimated actuarial gain and prior service credit that will be amortized from accumulated other comprehensive income into net periodic postretirement benefit cost over the next fiscal year are $76 and $82, respectively. The termination of the voluntary retiree medical savings account plan resulted in a reduction in the liability for the one-time settlement of $455 and the one-time plan amendment of $169 as of July 31, 2010. The reduction in workforce resulted in a one-time curtailment gain of $679 and the accelerated recognition of the previously unrecognized prior service cost of $106, offset by a one-time separation benefit charge of $1,178, resulting in a net curtailment loss of $393 as of July 31,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The following assumptions were used in accounting for the Plan:</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55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 average discount rate used in determining accumulated</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postretirement benefit obligation liability</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2"/>
        </w:trPr>
        <w:tc>
          <w:tcPr>
            <w:tcW w:w="340" w:type="dxa"/>
            <w:vAlign w:val="bottom"/>
          </w:tcPr>
          <w:p>
            <w:pPr>
              <w:spacing w:after="0"/>
              <w:rPr>
                <w:sz w:val="17"/>
                <w:szCs w:val="17"/>
                <w:color w:val="auto"/>
              </w:rPr>
            </w:pPr>
          </w:p>
        </w:tc>
        <w:tc>
          <w:tcPr>
            <w:tcW w:w="5540" w:type="dxa"/>
            <w:vAlign w:val="bottom"/>
            <w:gridSpan w:val="2"/>
          </w:tcPr>
          <w:p>
            <w:pPr>
              <w:spacing w:after="0" w:line="201" w:lineRule="exact"/>
              <w:rPr>
                <w:sz w:val="20"/>
                <w:szCs w:val="20"/>
                <w:color w:val="auto"/>
              </w:rPr>
            </w:pPr>
            <w:r>
              <w:rPr>
                <w:rFonts w:ascii="Arial" w:cs="Arial" w:eastAsia="Arial" w:hAnsi="Arial"/>
                <w:sz w:val="18"/>
                <w:szCs w:val="18"/>
                <w:color w:val="auto"/>
                <w:w w:val="96"/>
              </w:rPr>
              <w:t>Weighted average discount rate used in determining net periodic benefit</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4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2"/>
        </w:trPr>
        <w:tc>
          <w:tcPr>
            <w:tcW w:w="340" w:type="dxa"/>
            <w:vAlign w:val="bottom"/>
          </w:tcPr>
          <w:p>
            <w:pPr>
              <w:spacing w:after="0"/>
              <w:rPr>
                <w:sz w:val="17"/>
                <w:szCs w:val="17"/>
                <w:color w:val="auto"/>
              </w:rPr>
            </w:pPr>
          </w:p>
        </w:tc>
        <w:tc>
          <w:tcPr>
            <w:tcW w:w="5540" w:type="dxa"/>
            <w:vAlign w:val="bottom"/>
            <w:gridSpan w:val="2"/>
          </w:tcPr>
          <w:p>
            <w:pPr>
              <w:spacing w:after="0" w:line="201" w:lineRule="exact"/>
              <w:rPr>
                <w:sz w:val="20"/>
                <w:szCs w:val="20"/>
                <w:color w:val="auto"/>
              </w:rPr>
            </w:pPr>
            <w:r>
              <w:rPr>
                <w:rFonts w:ascii="Arial" w:cs="Arial" w:eastAsia="Arial" w:hAnsi="Arial"/>
                <w:sz w:val="18"/>
                <w:szCs w:val="18"/>
                <w:color w:val="auto"/>
                <w:w w:val="99"/>
              </w:rPr>
              <w:t>Rate to which cost trend rate is assumed to decline (the ultimate trend</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rate)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4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One-Percentage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2"/>
              </w:rPr>
              <w:t>One-Percentage</w:t>
            </w:r>
          </w:p>
        </w:tc>
      </w:tr>
      <w:tr>
        <w:trPr>
          <w:trHeight w:val="234"/>
        </w:trPr>
        <w:tc>
          <w:tcPr>
            <w:tcW w:w="6440" w:type="dxa"/>
            <w:vAlign w:val="bottom"/>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Point Increase</w:t>
            </w:r>
          </w:p>
        </w:tc>
        <w:tc>
          <w:tcPr>
            <w:tcW w:w="360" w:type="dxa"/>
            <w:vAlign w:val="bottom"/>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7"/>
              </w:rPr>
              <w:t>Point Decrease</w:t>
            </w:r>
          </w:p>
        </w:tc>
        <w:tc>
          <w:tcPr>
            <w:tcW w:w="100" w:type="dxa"/>
            <w:vAlign w:val="bottom"/>
          </w:tcPr>
          <w:p>
            <w:pPr>
              <w:spacing w:after="0"/>
              <w:rPr>
                <w:sz w:val="20"/>
                <w:szCs w:val="20"/>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Effect on future service and interest cost</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2010</w:t>
            </w:r>
          </w:p>
        </w:tc>
        <w:tc>
          <w:tcPr>
            <w:tcW w:w="5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bl>
    <w:p>
      <w:pPr>
        <w:spacing w:after="0" w:line="14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years ending July 31:</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2012</w:t>
            </w:r>
          </w:p>
        </w:tc>
        <w:tc>
          <w:tcPr>
            <w:tcW w:w="3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2014</w:t>
            </w:r>
          </w:p>
        </w:tc>
        <w:tc>
          <w:tcPr>
            <w:tcW w:w="3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2016 through 2020</w:t>
            </w:r>
          </w:p>
        </w:tc>
        <w:tc>
          <w:tcPr>
            <w:tcW w:w="3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7,676</w:t>
            </w:r>
          </w:p>
        </w:tc>
      </w:tr>
    </w:tbl>
    <w:p>
      <w:pPr>
        <w:spacing w:after="0" w:line="14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2010 and 2009, $7,540 and $5,512, respectively, of accrued profit-sharing contributions were included in other current liabilities and other long-term liabilities on the accompanying consolidated balance sheets.</w:t>
      </w:r>
    </w:p>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also has deferred compensation plans for directors, officers and key executives which are discussed below. At July 31, 2010 and 2009, $10,398 and $10,175, respectively, of deferred compensation was included in current and other long-term liabilities in the accompanying consolidated balance sheets.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53"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6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amounts charged to expense for the retirement and profit sharing described above were $12,547, $11,765, and $17,275 during the years ended July 31, 2010, 2009, and 2008, respectively.</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4. Income Taxes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70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rPr>
              <w:t>Income (loss) before income taxes consists of the following:</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8"/>
              </w:rPr>
              <w:t>Years Ended July 31,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Nations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104,979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97,655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139,799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2"/>
            <w:vMerge w:val="restart"/>
          </w:tcPr>
          <w:p>
            <w:pPr>
              <w:ind w:left="360"/>
              <w:spacing w:after="0"/>
              <w:rPr>
                <w:sz w:val="20"/>
                <w:szCs w:val="20"/>
                <w:color w:val="auto"/>
              </w:rPr>
            </w:pPr>
            <w:r>
              <w:rPr>
                <w:rFonts w:ascii="Arial" w:cs="Arial" w:eastAsia="Arial" w:hAnsi="Arial"/>
                <w:sz w:val="18"/>
                <w:szCs w:val="18"/>
                <w:b w:val="1"/>
                <w:bCs w:val="1"/>
                <w:i w:val="1"/>
                <w:iCs w:val="1"/>
                <w:color w:val="auto"/>
              </w:rPr>
              <w:t>Income taxes consist of the following: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8"/>
              </w:rPr>
              <w:t>Years Ended July 31,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474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3,486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Nations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32,800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States (U.S.)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56,758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Deferred income tax (benefit) expense:</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(4,929)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Other Nations</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States (U.S.)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27,446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53,999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Deferred income taxes result from temporary differences in the recognition of revenues and expenses for financial statement and income tax purposes.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w w:val="98"/>
              </w:rPr>
              <w:t>The approximate tax effects of temporary differences are as follows: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July 31, 2010</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Prepaid catalog costs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(2,283)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2,033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4,993</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13,326</w:t>
            </w:r>
          </w:p>
        </w:tc>
        <w:tc>
          <w:tcPr>
            <w:tcW w:w="8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(26,969)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(24,999)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48,140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48,140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(6,429)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(6,230)</w:t>
            </w:r>
          </w:p>
        </w:tc>
      </w:tr>
      <w:tr>
        <w:trPr>
          <w:trHeight w:val="27"/>
        </w:trPr>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19,491</w:t>
            </w:r>
          </w:p>
        </w:tc>
      </w:tr>
      <w:tr>
        <w:trPr>
          <w:trHeight w:val="223"/>
        </w:trPr>
        <w:tc>
          <w:tcPr>
            <w:tcW w:w="570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32,817</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July 31, 2009</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Prepaid catalog costs</w:t>
            </w:r>
          </w:p>
        </w:tc>
        <w:tc>
          <w:tcPr>
            <w:tcW w:w="16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(3,363)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1,924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5,082</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8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(21,026)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(18,892)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18,934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18,934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45,057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45,057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(25,670)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(3,676)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(3,426)</w:t>
            </w:r>
          </w:p>
        </w:tc>
      </w:tr>
      <w:tr>
        <w:trPr>
          <w:trHeight w:val="27"/>
        </w:trPr>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17,008</w:t>
            </w:r>
          </w:p>
        </w:tc>
      </w:tr>
      <w:tr>
        <w:trPr>
          <w:trHeight w:val="223"/>
        </w:trPr>
        <w:tc>
          <w:tcPr>
            <w:tcW w:w="570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(39,384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29,562</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219"/>
          </w:cols>
          <w:pgMar w:left="240" w:top="405" w:right="1440" w:bottom="103" w:gutter="0" w:footer="0" w:header="0"/>
        </w:sectPr>
      </w:pPr>
    </w:p>
    <w:bookmarkStart w:id="48" w:name="page49"/>
    <w:bookmarkEnd w:id="48"/>
    <w:p>
      <w:pPr>
        <w:ind w:left="370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loss carry-forwards at July 31, 2010 are comprised of:</w:t>
      </w:r>
    </w:p>
    <w:p>
      <w:pPr>
        <w:spacing w:after="0" w:line="198" w:lineRule="exact"/>
        <w:rPr>
          <w:sz w:val="20"/>
          <w:szCs w:val="20"/>
          <w:color w:val="auto"/>
        </w:rPr>
      </w:pPr>
    </w:p>
    <w:p>
      <w:pPr>
        <w:ind w:left="1040" w:right="559" w:hanging="343"/>
        <w:spacing w:after="0" w:line="277" w:lineRule="auto"/>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Foreign net operating loss carry-forwards of $84,092, of which $68,285 have no expiration date and the remainder of which expire within the next 5 years.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State net operating loss carry-forwards of $68,464, which expire from 2014 to 2030.</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Foreign tax credit carry-forwards of $16,598, which expire from 2018 to 2020.</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State research and development credit carry-forwards of $2,198, which expire from 2017 to 2024.</w:t>
      </w:r>
    </w:p>
    <w:p>
      <w:pPr>
        <w:spacing w:after="0" w:line="185"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The valuation allowance increased by $1,840 and $176 for the fiscal years ended July 31, 2010 and 2009, respectively. If realized or reversed in future periods, substantially all of the valuation allowance would impact the income tax rate.</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6"/>
              </w:rPr>
              <w:t>Years Ended July 31,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14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00" w:type="dxa"/>
            <w:vAlign w:val="bottom"/>
            <w:gridSpan w:val="2"/>
          </w:tcPr>
          <w:p>
            <w:pPr>
              <w:jc w:val="right"/>
              <w:ind w:right="25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Non-creditable withholding taxes</w:t>
            </w:r>
          </w:p>
        </w:tc>
        <w:tc>
          <w:tcPr>
            <w:tcW w:w="1400" w:type="dxa"/>
            <w:vAlign w:val="bottom"/>
            <w:gridSpan w:val="2"/>
          </w:tcPr>
          <w:p>
            <w:pPr>
              <w:jc w:val="right"/>
              <w:ind w:right="25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Adjustments to tax accruals and reserves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250"/>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25.1%</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0"/>
        </w:trPr>
        <w:tc>
          <w:tcPr>
            <w:tcW w:w="5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 is eligible for tax holidays on the earnings of certain subsidiaries in Asia, including China, India, Thailand, and the Philippines. The benefits realized as a result of these tax holidays reduced the consolidated effective tax rate by approximately 2.3%, 3.3%, and 1.9% during the years ended July 31, 2010, 2009, and 2008, respectively. These tax holidays are in the process of expiring and are anticipated to be fully exhausted by December 31, 2012.</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8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On August 1, 2007, the Company adopted guidance regarding uncertain tax positions. The guidance requires application of a “more likely than not” threshold to the recognition and derecognition of tax positions. The adoption resulted in a $903 reduction to earnings retained in the business as of August 1, 2007. Upon adoption, the Company also reclassified $15,907 from accrued income taxes to other liabilities in the Company’s consolidated balance sheets.</w:t>
      </w:r>
    </w:p>
    <w:p>
      <w:pPr>
        <w:sectPr>
          <w:pgSz w:w="11900" w:h="16838" w:orient="portrait"/>
          <w:cols w:equalWidth="0" w:num="1">
            <w:col w:w="10219"/>
          </w:cols>
          <w:pgMar w:left="240" w:top="419" w:right="1440" w:bottom="28" w:gutter="0" w:footer="0" w:header="0"/>
        </w:sectPr>
      </w:pP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reconciliation of unrecognized tax benefits (excluding interest and penalties) is as follows: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at August 1, 2007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59258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 (1)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 of prior years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b w:val="1"/>
          <w:bCs w:val="1"/>
          <w:color w:val="auto"/>
        </w:rPr>
        <w:t>Balance at July 31, 2008</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Additions for tax positions of prior years (1)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at July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59258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b w:val="1"/>
          <w:bCs w:val="1"/>
          <w:color w:val="auto"/>
        </w:rPr>
        <w:t>Balance at July 31, 2010</w:t>
      </w:r>
    </w:p>
    <w:p>
      <w:pPr>
        <w:spacing w:after="0" w:line="13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540" w:hanging="535"/>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13,731</w:t>
      </w:r>
    </w:p>
    <w:p>
      <w:pPr>
        <w:spacing w:after="0" w:line="2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3,003</w:t>
      </w:r>
    </w:p>
    <w:p>
      <w:pPr>
        <w:spacing w:after="0" w:line="9"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580</w:t>
      </w:r>
    </w:p>
    <w:p>
      <w:pPr>
        <w:spacing w:after="0" w:line="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(579)</w:t>
      </w:r>
    </w:p>
    <w:p>
      <w:pPr>
        <w:spacing w:after="0" w:line="21"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(1,435)</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40" w:hanging="535"/>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16,017</w:t>
      </w:r>
    </w:p>
    <w:p>
      <w:pPr>
        <w:spacing w:after="0" w:line="2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2,526</w:t>
      </w:r>
    </w:p>
    <w:p>
      <w:pPr>
        <w:spacing w:after="0" w:line="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4,056</w:t>
      </w:r>
    </w:p>
    <w:p>
      <w:pPr>
        <w:spacing w:after="0" w:line="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(934)</w:t>
      </w:r>
    </w:p>
    <w:p>
      <w:pPr>
        <w:spacing w:after="0" w:line="2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(944)</w:t>
      </w:r>
    </w:p>
    <w:p>
      <w:pPr>
        <w:spacing w:after="0" w:line="20"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60</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40" w:hanging="535"/>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19,462</w:t>
      </w:r>
    </w:p>
    <w:p>
      <w:pPr>
        <w:spacing w:after="0" w:line="2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1,989</w:t>
      </w:r>
    </w:p>
    <w:p>
      <w:pPr>
        <w:spacing w:after="0" w:line="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3,934</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(6,672)</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(1,054)</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40" w:hanging="535"/>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17,668</w:t>
      </w:r>
    </w:p>
    <w:p>
      <w:pPr>
        <w:spacing w:after="0" w:line="541" w:lineRule="exact"/>
        <w:rPr>
          <w:sz w:val="20"/>
          <w:szCs w:val="20"/>
          <w:color w:val="auto"/>
        </w:rPr>
      </w:pPr>
    </w:p>
    <w:p>
      <w:pPr>
        <w:sectPr>
          <w:pgSz w:w="11900" w:h="16838" w:orient="portrait"/>
          <w:cols w:equalWidth="0" w:num="2">
            <w:col w:w="7820" w:space="720"/>
            <w:col w:w="1679"/>
          </w:cols>
          <w:pgMar w:left="240" w:top="419" w:right="1440" w:bottom="28" w:gutter="0" w:footer="0" w:header="0"/>
          <w:type w:val="continuous"/>
        </w:sect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8"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Included in the balance of total unrecognized tax benefits (excluding interest and penalties) at July 31, 2010 and 2009 are potential benefits of approximately $17,668 and $19,117, respectively, that if recognized, would lower the Company’s effective income tax rate.</w:t>
      </w:r>
    </w:p>
    <w:p>
      <w:pPr>
        <w:spacing w:after="0" w:line="15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recognized interest and penalties related to unrecognized tax benefits within the provision for income taxes on the consolidated statements of income.</w:t>
      </w:r>
    </w:p>
    <w:p>
      <w:pPr>
        <w:spacing w:after="0" w:line="130"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2010, 2009, and 2008 the Company recognized $33, $427, and $96 of interest expense, respectively, and $780, $414, and $208 of penalties, respectively, related to the reserve for uncertain tax positions, net of amounts reversing due to reductions for tax positions of prior years, statute of limitations, and settlements. At July 31, 2010, 2009, and 2008 the Company had $2,473, $2,551, and $2,146, respectively, accrued for interest on unrecognized tax benefits. Penalties are accrued if the tax position does not meet the minimum statutory threshold to avoid the payment of a penalty. At July 31, 2010, 2009, and 2008, the Company had $1,592, $776, and $384, respectively, accrued for penalties on unrecognized tax benefits.</w:t>
      </w:r>
    </w:p>
    <w:p>
      <w:pPr>
        <w:spacing w:after="0" w:line="157"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estimates that it is reasonably possible that the unrecognized tax benefits may be reduced by $3,000 within twelve months as a result of the resolution of worldwide tax matters, tax audit settlements, and/or statue expirations.</w:t>
      </w:r>
    </w:p>
    <w:p>
      <w:pPr>
        <w:spacing w:after="0" w:line="12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year ended July 31, 2010, the Company recognized tax benefits associated with certain international and domestic tax positions being resolved and the lapse of statutes of limitations, including the conclusion of the U.S. Internal Revenue Service audit of the Company’s fiscal year ended July 31, 2006, 2007, and 2008.</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2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Open Tax Years</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F’09 – F’10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F’06 – F’10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F’03 – F’10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F’08 – F’10</w:t>
            </w: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2010, were approximately $442,815. These earnings have been reinvested in non-U.S. business operations and the Company does not intend to repatriate these earnings to fund U.S.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Long-Term Obligations</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May 13, 2010, the Company completed a private placement of €75.0 million (approximately $95.0 million USD)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 These unsecured notes were issued pursuant to a note purchase agreement, dated May 13, 2010. The note purchase agreement requires the Company to maintain a ratio of debt to the trailing twelve months EBITDA, as defined by the agreement, of not more than a 3.5 to 1.0 ratio.</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$21.4 million, $21.4 million, and $44.9 million during the years ended July 31, 2008, 2009, and 2010, respectively. In June 2009, the Company also completed a cash tender offer to purchase approximately $65.8 million of its outstanding notes at par without penalty.</w:t>
      </w:r>
    </w:p>
    <w:p>
      <w:pPr>
        <w:spacing w:after="0" w:line="14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2010, there were no outstanding borrowings under the credit facility.</w:t>
      </w:r>
    </w:p>
    <w:p>
      <w:pPr>
        <w:spacing w:after="0" w:line="128"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2010, the Company was in compliance with the financial covenant of these debt agreements, with the ratio of debt to EBITDA, as defined by the agreements, equal to 2.2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July 31, 2010, the Company was in compliance with the financial covenants of the revolving loan agreement, with the ratio of debt to EBITDA, as defined by the agreement, equal to 2.3 to 1.0 and the interest expense coverage ratio equal to 6.6 to 1.0.</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Long-term obligations consist of the following as of July 31:</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Euro-denominated notes payable in 2017 at a fixed rate of 3.71%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45,615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Euro-denominated notes payable in 2020 at a fixed rate of 4.24%</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52,132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USD-denominated notes payable through 2017 at a fixed rate of 5.33%</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USD-denominated notes payable through 2016 at a fixed rate of 5.30%</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156,857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183,000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USD-denominated notes payable through 2014 at a fixed rate of 5.14%</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114,600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114,600</w:t>
            </w:r>
          </w:p>
        </w:tc>
      </w:tr>
      <w:tr>
        <w:trPr>
          <w:trHeight w:val="20"/>
        </w:trPr>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444,204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391,350</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(61,264)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(44,893)</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382,940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346,457</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estimated fair value of the Company’s long-term obligations, based on the quoted market prices for similar issues and on the current rates offered for debt of similar maturities, was $467,479 and $412,678 at July 31, 2010 and July 31, 2009, respectively, as compared to the carrying value of $444,204 and $391,350 at July 31, 2010 and July 31, 2009, respectively.</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Maturities on long-term debt are as follows: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July 31,</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61,264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61,264</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61,264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61,264</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42,514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156,634</w:t>
            </w:r>
          </w:p>
        </w:tc>
      </w:tr>
      <w:tr>
        <w:trPr>
          <w:trHeight w:val="27"/>
        </w:trPr>
        <w:tc>
          <w:tcPr>
            <w:tcW w:w="8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444,204</w:t>
            </w:r>
          </w:p>
        </w:tc>
      </w:tr>
      <w:tr>
        <w:trPr>
          <w:trHeight w:val="20"/>
        </w:trPr>
        <w:tc>
          <w:tcPr>
            <w:tcW w:w="8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outstanding letters of credit of $1,564, and $1,674 at July 31, 2010 and 2009, respectively.</w:t>
      </w:r>
    </w:p>
    <w:p>
      <w:pPr>
        <w:sectPr>
          <w:pgSz w:w="11900" w:h="16838" w:orient="portrait"/>
          <w:cols w:equalWidth="0" w:num="1">
            <w:col w:w="10219"/>
          </w:cols>
          <w:pgMar w:left="240" w:top="419" w:right="1440" w:bottom="69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90" w:gutter="0" w:footer="0" w:header="0"/>
          <w:type w:val="continuous"/>
        </w:sectPr>
      </w:pPr>
    </w:p>
    <w:bookmarkStart w:id="52" w:name="page53"/>
    <w:bookmarkEnd w:id="52"/>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Stockholders’ Investment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as to the Company’s capital stock at July 31, 2010 and 2009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7"/>
              </w:rPr>
              <w:t>July 31, 2010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July 31, 2009</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260" w:type="dxa"/>
            <w:vAlign w:val="bottom"/>
          </w:tcPr>
          <w:p>
            <w:pPr>
              <w:spacing w:after="0"/>
              <w:rPr>
                <w:sz w:val="16"/>
                <w:szCs w:val="16"/>
                <w:color w:val="auto"/>
              </w:rPr>
            </w:pPr>
          </w:p>
        </w:tc>
        <w:tc>
          <w:tcPr>
            <w:tcW w:w="10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6"/>
                <w:szCs w:val="16"/>
                <w:color w:val="auto"/>
              </w:rPr>
            </w:pPr>
          </w:p>
        </w:tc>
        <w:tc>
          <w:tcPr>
            <w:tcW w:w="11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5"/>
              </w:rPr>
              <w:t>(thousands)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6"/>
                <w:szCs w:val="16"/>
                <w:color w:val="auto"/>
              </w:rPr>
            </w:pPr>
          </w:p>
        </w:tc>
        <w:tc>
          <w:tcPr>
            <w:tcW w:w="120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3"/>
              </w:rPr>
              <w:t>(thousands)</w:t>
            </w:r>
          </w:p>
        </w:tc>
        <w:tc>
          <w:tcPr>
            <w:tcW w:w="80" w:type="dxa"/>
            <w:vAlign w:val="bottom"/>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Authorized</w:t>
            </w: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Authorized</w:t>
            </w:r>
          </w:p>
        </w:tc>
        <w:tc>
          <w:tcPr>
            <w:tcW w:w="2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Amount</w:t>
            </w:r>
          </w:p>
        </w:tc>
      </w:tr>
      <w:tr>
        <w:trPr>
          <w:trHeight w:val="195"/>
        </w:trPr>
        <w:tc>
          <w:tcPr>
            <w:tcW w:w="2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Preferred Stock, $.01 par</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w w:val="99"/>
              </w:rPr>
              <w:t>Cumulative Preferred Stock:</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60" w:type="dxa"/>
            <w:vAlign w:val="bottom"/>
          </w:tcPr>
          <w:p>
            <w:pPr>
              <w:ind w:left="200"/>
              <w:spacing w:after="0"/>
              <w:rPr>
                <w:sz w:val="20"/>
                <w:szCs w:val="20"/>
                <w:color w:val="auto"/>
              </w:rPr>
            </w:pPr>
            <w:r>
              <w:rPr>
                <w:rFonts w:ascii="Arial" w:cs="Arial" w:eastAsia="Arial" w:hAnsi="Arial"/>
                <w:sz w:val="18"/>
                <w:szCs w:val="18"/>
                <w:color w:val="auto"/>
              </w:rPr>
              <w:t>6% Cumulative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1972 Series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1979 Series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 par</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Class A Nonvoting</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100,000,000</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51,261,487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51,261,487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Class B Voting</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3,538,628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3,538,628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223"/>
        </w:trPr>
        <w:tc>
          <w:tcPr>
            <w:tcW w:w="2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4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1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06"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fiscal 2008 and fiscal 2009, the Company’s Board of Directors authorized share repurchase plans for the Company’s Class A Nonvoting Common Stock. The share repurchase plans were implemented by purchasing shares in the open market or privately negotiated transaction, with repurchased shares available for use in connection with the Company’s stock-based plans and for other corporate purposes. The Company reacquired approximately 1,345,000 and 1,349,000 shares of its Class A Common Stock for $40.3 million and $42.2 in fiscal 2009 and 2008, respectively, in connection with its stock repurchase plans. The Company reacquired 102,067 shares of its Class A Common Stock for $2.5 million in fiscal 2010. As of July 31, 2010, there remained 204,133 shares to purchase in connection with this share repurchase plan.</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is a summary of other activity in stockholders’ investment for the years ended July 31, 2010, 2009, and 2008:</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Shares Held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Restricted</w:t>
            </w:r>
          </w:p>
        </w:tc>
        <w:tc>
          <w:tcPr>
            <w:tcW w:w="16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7"/>
              </w:rPr>
              <w:t>Deferred</w:t>
            </w: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in Rabbi</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Stock</w:t>
            </w:r>
          </w:p>
        </w:tc>
        <w:tc>
          <w:tcPr>
            <w:tcW w:w="34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Compensation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Trust, at cost</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Shares at July 31, 2007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(1,189)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13,643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(12,956)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tcPr>
          <w:p>
            <w:pPr>
              <w:spacing w:after="0"/>
              <w:rPr>
                <w:sz w:val="20"/>
                <w:szCs w:val="20"/>
                <w:color w:val="auto"/>
              </w:rPr>
            </w:pPr>
            <w:r>
              <w:rPr>
                <w:rFonts w:ascii="Arial" w:cs="Arial" w:eastAsia="Arial" w:hAnsi="Arial"/>
                <w:sz w:val="18"/>
                <w:szCs w:val="18"/>
                <w:color w:val="auto"/>
              </w:rPr>
              <w:t>Shares at July 31, 2008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690,539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690,539</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Balances at July 31, 2009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671,650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80" w:type="dxa"/>
            <w:vAlign w:val="bottom"/>
          </w:tcPr>
          <w:p>
            <w:pPr>
              <w:spacing w:after="0" w:line="20" w:lineRule="exact"/>
              <w:rPr>
                <w:sz w:val="1"/>
                <w:szCs w:val="1"/>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12,848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Shares at July 31, 2010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614,988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614,988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0219"/>
          </w:cols>
          <w:pgMar w:left="240" w:top="419" w:right="1440" w:bottom="0" w:gutter="0" w:footer="0" w:header="0"/>
        </w:sectPr>
      </w:pPr>
    </w:p>
    <w:bookmarkStart w:id="53" w:name="page54"/>
    <w:bookmarkEnd w:id="53"/>
    <w:p>
      <w:pPr>
        <w:ind w:left="370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2010,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 Company’s Class A Nonvoting Common Stock at the original cost of all the Company’s Class A Nonvoting Common Stock held in deferred compensation plans.</w:t>
      </w:r>
    </w:p>
    <w:p>
      <w:pPr>
        <w:spacing w:after="0" w:line="153"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the Company’s Class A Nonvoting Common Stock at the market price. As part of the Plan, Brady pays all brokerage fees for stock purchases and dividend reinvestments.</w:t>
      </w:r>
    </w:p>
    <w:p>
      <w:pPr>
        <w:spacing w:after="0" w:line="13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 shares generally vest at the end of a five-year period and upon meeting certain financial performance conditions. These shares are referred to herein as “performance-based restricted shares.”</w:t>
      </w:r>
    </w:p>
    <w:p>
      <w:pPr>
        <w:spacing w:after="0" w:line="13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July 31, 2010, the Company has reserved 5,108,736 shares of Class A Nonvoting Common Stock for outstanding stock options and restricted shares and 2,210,000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Changes in the options are as follows:</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Option Price</w:t>
            </w:r>
          </w:p>
        </w:tc>
        <w:tc>
          <w:tcPr>
            <w:tcW w:w="34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Outstanding</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9.59-$40.37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4,182,739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35.10</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- 38.31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977,500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- 38.19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(763,708)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Options 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14.16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- 30.37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(411,326)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2008</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  9.59-$40.37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3,985,205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17.23</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- 35.42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- 38.19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(138,934)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Options 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20.95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- 38.31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(479,665)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2009</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$ 13.31-$40.37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3,980,606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24.78</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- 33.28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1,446,500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- 31.54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(241,403)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Options 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15.28</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- 38.31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(76,967)</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2010</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0"/>
              </w:rPr>
              <w:t>$13.31 - $40.37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5,108,736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total fair value of options vested during the fiscal years ended July 31, 2010, 2009, and 2008 was $5,548, $6,559, and $8,626, respectively. The total intrinsic value of options exercised during the fiscal years ended July 31, 2010, 2009, and 2008 was $3,004, $2,156, and $14,479, respectively.</w:t>
      </w:r>
    </w:p>
    <w:p>
      <w:pPr>
        <w:spacing w:after="0" w:line="154"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There were 3,100,955, 2,831,311, and 2,399,742 options exercisable with a weighted average exercise price of $28.85, $27.46, and $24.42 at July 31, 2010, 2009, and 2008, respectively. The cash received from the exercise of options during the fiscal years ended July 31, 2010, 2009, and 2008 was $3,717, $1,683, and $14,500 respectively. The tax benefit on options exercised during the fiscal years ended July 31, 2010, 2009, and 2008 was $866, $779, and $4,185, respectively.</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information about stock options outstanding at July 31,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5"/>
              </w:rPr>
              <w:t>Options Outstanding and</w:t>
            </w:r>
          </w:p>
        </w:tc>
      </w:tr>
      <w:tr>
        <w:trPr>
          <w:trHeight w:val="234"/>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Exercisable</w:t>
            </w:r>
          </w:p>
        </w:tc>
      </w:tr>
      <w:tr>
        <w:trPr>
          <w:trHeight w:val="191"/>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9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3"/>
              </w:rPr>
              <w:t>Shares</w:t>
            </w:r>
          </w:p>
        </w:tc>
        <w:tc>
          <w:tcPr>
            <w:tcW w:w="9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Number of Shares</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Range of</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Outstanding at</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Contractual Life</w:t>
            </w:r>
          </w:p>
        </w:tc>
        <w:tc>
          <w:tcPr>
            <w:tcW w:w="1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at July 31,</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Prices</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2010</w:t>
            </w:r>
          </w:p>
        </w:tc>
        <w:tc>
          <w:tcPr>
            <w:tcW w:w="300" w:type="dxa"/>
            <w:vAlign w:val="bottom"/>
            <w:gridSpan w:val="2"/>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$14.99</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275,000</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$15.00 to $29.99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3,076,233</w:t>
            </w:r>
          </w:p>
        </w:tc>
        <w:tc>
          <w:tcPr>
            <w:tcW w:w="2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25.16</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1,274,929</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21.18</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and up</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1,757,503</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1,551,026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37.16</w:t>
            </w:r>
          </w:p>
        </w:tc>
      </w:tr>
      <w:tr>
        <w:trPr>
          <w:trHeight w:val="223"/>
        </w:trPr>
        <w:tc>
          <w:tcPr>
            <w:tcW w:w="25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5,108,736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28.69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3,100,955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28.85</w:t>
            </w:r>
          </w:p>
        </w:tc>
      </w:tr>
      <w:tr>
        <w:trPr>
          <w:trHeight w:val="20"/>
        </w:trPr>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July 31, 2010, the aggregate intrinsic value of the number of options outstanding and the number of options exercisable was $14,097 and $11,520, respectively. The Company granted 210,000 performance-based restricted shares during fiscal 2008, with a grant price and fair value of $32.83. As of July 31, 2010, 210,000 performance-based restricted shares were outstanding.</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Segment Information</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human resources and other administration, which are managed as global functions. Restructuring charges, stock options, interest, investment and other income and income taxes are also excluded when evaluating performance.</w:t>
      </w:r>
    </w:p>
    <w:p>
      <w:pPr>
        <w:spacing w:after="0" w:line="13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Corporate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Europe</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Total Region</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5"/>
              </w:rPr>
              <w:t>Total Company</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2010:</w:t>
            </w: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w w:val="96"/>
              </w:rPr>
              <w:t>Revenues from external customers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$ 551,185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$ 380,121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327,790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1,259,096</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1,259,096</w:t>
            </w: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(65,780)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00" w:type="dxa"/>
            <w:vAlign w:val="bottom"/>
          </w:tcPr>
          <w:p>
            <w:pPr>
              <w:ind w:left="400"/>
              <w:spacing w:after="0"/>
              <w:rPr>
                <w:sz w:val="20"/>
                <w:szCs w:val="20"/>
                <w:color w:val="auto"/>
              </w:rPr>
            </w:pPr>
            <w:r>
              <w:rPr>
                <w:rFonts w:ascii="Arial" w:cs="Arial" w:eastAsia="Arial" w:hAnsi="Arial"/>
                <w:sz w:val="18"/>
                <w:szCs w:val="18"/>
                <w:color w:val="auto"/>
              </w:rPr>
              <w:t>expense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21,142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8,088</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15,749</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44,979</w:t>
            </w: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8,043</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53,022</w:t>
            </w: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103,316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280,590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266,459</w:t>
            </w: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rPr>
              <w:t>Assets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754,753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313,204</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362,653</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1,430,610</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315,921</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1,746,531</w:t>
            </w: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Expenditures for property, plant and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equipment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9,946</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19,983</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6,313</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26,296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Year ended July 31, 2009: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Revenues from external customers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$ 534,440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$ 367,156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307,106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1,208,702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1,208,702</w:t>
            </w: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rPr>
              <w:t>Intersegment revenues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45,853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4,310</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18,534</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68,697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(68,697)</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8,467</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46,446</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8,405</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54,851</w:t>
            </w: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rPr>
              <w:t>Segment profit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114,404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99,875</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42,575</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256,854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(7,952)</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248,902</w:t>
            </w: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703,559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298,717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341,605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1,343,881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239,386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1,583,267</w:t>
            </w:r>
          </w:p>
        </w:tc>
      </w:tr>
      <w:tr>
        <w:trPr>
          <w:trHeight w:val="202"/>
        </w:trPr>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w w:val="93"/>
              </w:rPr>
              <w:t>Expenditures for property, plant and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00" w:type="dxa"/>
            <w:vAlign w:val="bottom"/>
          </w:tcPr>
          <w:p>
            <w:pPr>
              <w:ind w:left="400"/>
              <w:spacing w:after="0"/>
              <w:rPr>
                <w:sz w:val="20"/>
                <w:szCs w:val="20"/>
                <w:color w:val="auto"/>
              </w:rPr>
            </w:pPr>
            <w:r>
              <w:rPr>
                <w:rFonts w:ascii="Arial" w:cs="Arial" w:eastAsia="Arial" w:hAnsi="Arial"/>
                <w:sz w:val="18"/>
                <w:szCs w:val="18"/>
                <w:color w:val="auto"/>
              </w:rPr>
              <w:t>equipment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8,422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5,848</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17,596</w:t>
            </w: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6,431</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24,027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w w:val="96"/>
              </w:rPr>
              <w:t>Revenues from external customers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$ 667,106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$ 496,715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359,195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1,523,016</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1,523,016</w:t>
            </w: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54,677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25,995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89,183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00" w:type="dxa"/>
            <w:vAlign w:val="bottom"/>
          </w:tcPr>
          <w:p>
            <w:pPr>
              <w:ind w:left="400"/>
              <w:spacing w:after="0"/>
              <w:rPr>
                <w:sz w:val="20"/>
                <w:szCs w:val="20"/>
                <w:color w:val="auto"/>
              </w:rPr>
            </w:pPr>
            <w:r>
              <w:rPr>
                <w:rFonts w:ascii="Arial" w:cs="Arial" w:eastAsia="Arial" w:hAnsi="Arial"/>
                <w:sz w:val="18"/>
                <w:szCs w:val="18"/>
                <w:color w:val="auto"/>
              </w:rPr>
              <w:t>expense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24,856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11,172</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15,482</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51,510</w:t>
            </w: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9,077</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60,587</w:t>
            </w: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135,426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58,234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351,183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342,135</w:t>
            </w:r>
          </w:p>
        </w:tc>
      </w:tr>
    </w:tbl>
    <w:p>
      <w:pPr>
        <w:sectPr>
          <w:pgSz w:w="11900" w:h="16838" w:orient="portrait"/>
          <w:cols w:equalWidth="0" w:num="1">
            <w:col w:w="10219"/>
          </w:cols>
          <w:pgMar w:left="240" w:top="419" w:right="1440"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Assets</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755,770</w:t>
            </w:r>
          </w:p>
        </w:tc>
        <w:tc>
          <w:tcPr>
            <w:tcW w:w="760" w:type="dxa"/>
            <w:vAlign w:val="bottom"/>
          </w:tcPr>
          <w:p>
            <w:pPr>
              <w:jc w:val="right"/>
              <w:spacing w:after="0"/>
              <w:rPr>
                <w:sz w:val="20"/>
                <w:szCs w:val="20"/>
                <w:color w:val="auto"/>
              </w:rPr>
            </w:pPr>
            <w:r>
              <w:rPr>
                <w:rFonts w:ascii="Arial" w:cs="Arial" w:eastAsia="Arial" w:hAnsi="Arial"/>
                <w:sz w:val="18"/>
                <w:szCs w:val="18"/>
                <w:color w:val="auto"/>
              </w:rPr>
              <w:t>396,058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397,531</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1,549,359</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301,154</w:t>
            </w:r>
          </w:p>
        </w:tc>
        <w:tc>
          <w:tcPr>
            <w:tcW w:w="1120" w:type="dxa"/>
            <w:vAlign w:val="bottom"/>
          </w:tcPr>
          <w:p>
            <w:pPr>
              <w:jc w:val="right"/>
              <w:spacing w:after="0"/>
              <w:rPr>
                <w:sz w:val="20"/>
                <w:szCs w:val="20"/>
                <w:color w:val="auto"/>
              </w:rPr>
            </w:pPr>
            <w:r>
              <w:rPr>
                <w:rFonts w:ascii="Arial" w:cs="Arial" w:eastAsia="Arial" w:hAnsi="Arial"/>
                <w:sz w:val="18"/>
                <w:szCs w:val="18"/>
                <w:color w:val="auto"/>
              </w:rPr>
              <w:t>1,850,513</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Expenditures for property, plant and</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equipment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5,269</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17,518</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1760" w:type="dxa"/>
            <w:vAlign w:val="bottom"/>
          </w:tcPr>
          <w:p>
            <w:pPr>
              <w:spacing w:after="0"/>
              <w:rPr>
                <w:sz w:val="20"/>
                <w:szCs w:val="20"/>
                <w:color w:val="auto"/>
              </w:rPr>
            </w:pPr>
          </w:p>
        </w:tc>
      </w:tr>
      <w:tr>
        <w:trPr>
          <w:trHeight w:val="783"/>
        </w:trPr>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w w:val="79"/>
              </w:rPr>
              <w:t>51</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8"/>
              </w:rPr>
              <w:t>Years Ended July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reconciliation: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profit for reportable segments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280,590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256,854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351,183</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(14,131)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(9,048)</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Unallocated amounts: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costs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(121,689)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(102,680)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(134,451)</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(15,314)</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(25,849)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4,888</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(21,222)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(24,901)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(26,385)</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186,187</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(27,446)</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(27,150)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(53,999)</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132,188</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Long-Lived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7"/>
          </w:tcPr>
          <w:p>
            <w:pPr>
              <w:jc w:val="right"/>
              <w:spacing w:after="0"/>
              <w:rPr>
                <w:sz w:val="20"/>
                <w:szCs w:val="20"/>
                <w:color w:val="auto"/>
              </w:rPr>
            </w:pPr>
            <w:r>
              <w:rPr>
                <w:rFonts w:ascii="Arial" w:cs="Arial" w:eastAsia="Arial" w:hAnsi="Arial"/>
                <w:sz w:val="18"/>
                <w:szCs w:val="18"/>
                <w:b w:val="1"/>
                <w:bCs w:val="1"/>
                <w:color w:val="auto"/>
              </w:rPr>
              <w:t>Years Ended July 31,</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89"/>
              </w:rPr>
              <w:t>As of Years Ended July 31,</w:t>
            </w:r>
          </w:p>
        </w:tc>
      </w:tr>
      <w:tr>
        <w:trPr>
          <w:trHeight w:val="210"/>
        </w:trPr>
        <w:tc>
          <w:tcPr>
            <w:tcW w:w="2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521,318</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510,703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622,618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507,481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519,932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532,273</w:t>
            </w:r>
          </w:p>
        </w:tc>
      </w:tr>
      <w:tr>
        <w:trPr>
          <w:trHeight w:val="216"/>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199,893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118,953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131,810</w:t>
            </w:r>
          </w:p>
        </w:tc>
      </w:tr>
      <w:tr>
        <w:trPr>
          <w:trHeight w:val="216"/>
        </w:trPr>
        <w:tc>
          <w:tcPr>
            <w:tcW w:w="268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646,716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566,589</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794,036</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391,214</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375,905</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440,021</w:t>
            </w:r>
          </w:p>
        </w:tc>
      </w:tr>
      <w:tr>
        <w:trPr>
          <w:trHeight w:val="216"/>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(65,780)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Consolidated 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1,259,096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1,208,702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1,523,016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1,017,648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1,018,915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1,104,104</w:t>
            </w:r>
          </w:p>
        </w:tc>
        <w:tc>
          <w:tcPr>
            <w:tcW w:w="8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266065</wp:posOffset>
            </wp:positionV>
            <wp:extent cx="10636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80" w:hanging="348"/>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Long-lived assets consist of property, plant, and equipment, other intangible assets and goodwill.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Net Income Per Common Share</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Net income per Common Share is computed by dividing net income (after deducting the applicable preferential Class A Common Stock dividends) by the weighted average Common Shares outstanding of 52,402,387 for 2010, 52,558,657 for 2009, and 54,167,746 for 2008. The preferential dividend on the Class A Common Stock of $.01665 per share has been added to the net income per Class A Common Share for all years presented.</w:t>
      </w:r>
    </w:p>
    <w:p>
      <w:pPr>
        <w:spacing w:after="0" w:line="16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of the adoption, the dividends on the Company’s performance-based restricted shares, granted in fiscal 2008, are included in the basic and diluted net income per share calculations for all periods presented. The adoption and retrospective application of this guidance reduced Class A diluted net income per share as previously reported for fiscal year 2009 by $0.01 and reduced Class A and Class B basic net income per share for fiscal year 2008 by $0.01.</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88"/>
              </w:rPr>
              <w:t>Years ended July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200"/>
              <w:spacing w:after="0" w:line="201" w:lineRule="exact"/>
              <w:rPr>
                <w:sz w:val="20"/>
                <w:szCs w:val="20"/>
                <w:color w:val="auto"/>
              </w:rPr>
            </w:pPr>
            <w:r>
              <w:rPr>
                <w:rFonts w:ascii="Arial" w:cs="Arial" w:eastAsia="Arial" w:hAnsi="Arial"/>
                <w:sz w:val="18"/>
                <w:szCs w:val="18"/>
                <w:color w:val="auto"/>
              </w:rPr>
              <w:t>Net income (numerator for basic and diluted Class A net income per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Arial" w:cs="Arial" w:eastAsia="Arial" w:hAnsi="Arial"/>
                <w:sz w:val="18"/>
                <w:szCs w:val="18"/>
                <w:color w:val="auto"/>
              </w:rPr>
              <w:t>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81,956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70,122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Restricted stock dividends</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A net income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132,093</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Preferential dividends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Preferential dividends on dilutive stock options</w:t>
            </w:r>
          </w:p>
        </w:tc>
        <w:tc>
          <w:tcPr>
            <w:tcW w:w="1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131,233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52,402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54,168</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diluted net income per share for both Class A and B</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54,873</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0"/>
              <w:spacing w:after="0"/>
              <w:rPr>
                <w:sz w:val="20"/>
                <w:szCs w:val="20"/>
                <w:color w:val="auto"/>
              </w:rPr>
            </w:pPr>
            <w:r>
              <w:rPr>
                <w:rFonts w:ascii="Arial" w:cs="Arial" w:eastAsia="Arial" w:hAnsi="Arial"/>
                <w:sz w:val="18"/>
                <w:szCs w:val="18"/>
                <w:color w:val="auto"/>
              </w:rPr>
              <w:t>Class A common stock net income per share calculation: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common stock net income per share calculation: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84"/>
        </w:trPr>
        <w:tc>
          <w:tcPr>
            <w:tcW w:w="5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58" w:name="page59"/>
    <w:bookmarkEnd w:id="58"/>
    <w:p>
      <w:pPr>
        <w:spacing w:after="0"/>
        <w:tabs>
          <w:tab w:leader="none" w:pos="5480" w:val="left"/>
          <w:tab w:leader="none" w:pos="6120" w:val="left"/>
          <w:tab w:leader="none" w:pos="6800" w:val="left"/>
          <w:tab w:leader="none" w:pos="7420" w:val="left"/>
          <w:tab w:leader="none" w:pos="8100" w:val="left"/>
          <w:tab w:leader="none" w:pos="870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-121920</wp:posOffset>
            </wp:positionV>
            <wp:extent cx="59258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ectPr>
          <w:pgSz w:w="11900" w:h="16838" w:orient="portrait"/>
          <w:cols w:equalWidth="0" w:num="1">
            <w:col w:w="9679"/>
          </w:cols>
          <w:pgMar w:left="780" w:top="12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79"/>
          </w:cols>
          <w:pgMar w:left="780" w:top="125" w:right="1440"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Options to purchase 2,832,337, 2,764,308, and 1,599,792, shares of Class A common stock were excluded from the computations of diluted net income per share for years ended July 31, 2010, 2009, and 2008, respectively, because the option exercise prices were greater than the average market price of the common shares and, therefore, the effect would be anti-dilutive.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Company has entered into various non-cancellable operating lease agreements. Rental expense charged to operations on a straight-line basis was $23,712, $25,971, and $27,443 for the years ended July 31, 2010, 2009, and 2008, respectively. Future minimum lease payments required under such leases in effect at July 31, 2010 are as follows, for the years ending July 31:</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21,258</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16,799</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11,075</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6,696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4,984</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64,086</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Measurements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2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also adopted new guidance on disclosure requirements for fair value measurements on February 1, 2010.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 adoption did not have an impact on the Consolidated Financial Statements of the Company. In addition, the fair value disclosure amendments also require more detailed disclosures of the changes in Level 3 instruments. These changes will not become effective until interim and annual periods beginning after December 15, 2010 and are not expected to have an impact on the Consolidated Financial Statements of the Company.</w:t>
      </w:r>
    </w:p>
    <w:p>
      <w:pPr>
        <w:spacing w:after="0" w:line="16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w:t>
      </w:r>
    </w:p>
    <w:p>
      <w:pPr>
        <w:spacing w:after="0" w:line="13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w:t>
      </w:r>
    </w:p>
    <w:p>
      <w:pPr>
        <w:spacing w:after="0" w:line="143"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July 31, 2010, and July 31, 2009, according to the valuation techniques the Company used to determine their fair values.</w:t>
      </w:r>
    </w:p>
    <w:p>
      <w:pPr>
        <w:spacing w:after="0" w:line="105"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Fair Value Measurements Using Inputs</w:t>
      </w:r>
    </w:p>
    <w:p>
      <w:pPr>
        <w:jc w:val="center"/>
        <w:ind w:right="539"/>
        <w:spacing w:after="0" w:line="236" w:lineRule="auto"/>
        <w:rPr>
          <w:sz w:val="20"/>
          <w:szCs w:val="20"/>
          <w:color w:val="auto"/>
        </w:rPr>
      </w:pPr>
      <w:r>
        <w:rPr>
          <w:rFonts w:ascii="Arial" w:cs="Arial" w:eastAsia="Arial" w:hAnsi="Arial"/>
          <w:sz w:val="14"/>
          <w:szCs w:val="14"/>
          <w:b w:val="1"/>
          <w:bCs w:val="1"/>
          <w:color w:val="auto"/>
        </w:rPr>
        <w:t>Considered as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23"/>
        </w:trPr>
        <w:tc>
          <w:tcPr>
            <w:tcW w:w="2900" w:type="dxa"/>
            <w:vAlign w:val="bottom"/>
          </w:tcPr>
          <w:p>
            <w:pPr>
              <w:spacing w:after="0"/>
              <w:rPr>
                <w:sz w:val="10"/>
                <w:szCs w:val="10"/>
                <w:color w:val="auto"/>
              </w:rPr>
            </w:pPr>
          </w:p>
        </w:tc>
        <w:tc>
          <w:tcPr>
            <w:tcW w:w="1140" w:type="dxa"/>
            <w:vAlign w:val="bottom"/>
            <w:tcBorders>
              <w:top w:val="single" w:sz="8" w:color="auto"/>
            </w:tcBorders>
            <w:gridSpan w:val="4"/>
          </w:tcPr>
          <w:p>
            <w:pPr>
              <w:jc w:val="center"/>
              <w:ind w:right="200"/>
              <w:spacing w:after="0" w:line="123" w:lineRule="exact"/>
              <w:rPr>
                <w:sz w:val="20"/>
                <w:szCs w:val="20"/>
                <w:color w:val="auto"/>
              </w:rPr>
            </w:pPr>
            <w:r>
              <w:rPr>
                <w:rFonts w:ascii="Arial" w:cs="Arial" w:eastAsia="Arial" w:hAnsi="Arial"/>
                <w:sz w:val="14"/>
                <w:szCs w:val="14"/>
                <w:color w:val="auto"/>
                <w:w w:val="92"/>
              </w:rPr>
              <w:t>Quoted Prices</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in Active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Markets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Significant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for</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Significant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Identical</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Observable</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Unobservable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Inputs</w:t>
            </w:r>
          </w:p>
        </w:tc>
        <w:tc>
          <w:tcPr>
            <w:tcW w:w="20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Fair</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99"/>
              </w:rPr>
              <w:t>(Level 1)</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(Level 3)</w:t>
            </w: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Value</w:t>
            </w:r>
          </w:p>
        </w:tc>
        <w:tc>
          <w:tcPr>
            <w:tcW w:w="1960" w:type="dxa"/>
            <w:vAlign w:val="bottom"/>
          </w:tcPr>
          <w:p>
            <w:pPr>
              <w:ind w:left="160"/>
              <w:spacing w:after="0"/>
              <w:rPr>
                <w:sz w:val="20"/>
                <w:szCs w:val="20"/>
                <w:color w:val="auto"/>
              </w:rPr>
            </w:pPr>
            <w:r>
              <w:rPr>
                <w:rFonts w:ascii="Arial" w:cs="Arial" w:eastAsia="Arial" w:hAnsi="Arial"/>
                <w:sz w:val="14"/>
                <w:szCs w:val="14"/>
                <w:color w:val="auto"/>
              </w:rPr>
              <w:t>Balance Sheet Classification</w:t>
            </w: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July 31, 2009:</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8,239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8,239</w:t>
            </w:r>
          </w:p>
        </w:tc>
        <w:tc>
          <w:tcPr>
            <w:tcW w:w="19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w w:val="95"/>
              </w:rPr>
              <w:t>Foreign exchange contracts — cash flow hedges</w:t>
            </w: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Pr>
          <w:p>
            <w:pPr>
              <w:spacing w:after="0" w:line="130" w:lineRule="exact"/>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14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0"/>
                <w:szCs w:val="20"/>
                <w:color w:val="auto"/>
              </w:rPr>
            </w:pPr>
            <w:r>
              <w:rPr>
                <w:rFonts w:ascii="Arial" w:cs="Arial" w:eastAsia="Arial" w:hAnsi="Arial"/>
                <w:sz w:val="14"/>
                <w:szCs w:val="14"/>
                <w:color w:val="auto"/>
              </w:rPr>
              <w:t>current assets</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Total Assets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8,239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8,239</w:t>
            </w: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color w:val="auto"/>
                <w:w w:val="95"/>
              </w:rPr>
              <w:t>Foreign exchange contracts — cash flow hedges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vMerge w:val="restart"/>
          </w:tcPr>
          <w:p>
            <w:pPr>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line="20" w:lineRule="exact"/>
              <w:rPr>
                <w:sz w:val="1"/>
                <w:szCs w:val="1"/>
                <w:color w:val="auto"/>
              </w:rPr>
            </w:pPr>
          </w:p>
        </w:tc>
      </w:tr>
      <w:tr>
        <w:trPr>
          <w:trHeight w:val="150"/>
        </w:trPr>
        <w:tc>
          <w:tcPr>
            <w:tcW w:w="290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248</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720"/>
              <w:spacing w:after="0" w:line="143"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248</w:t>
            </w:r>
          </w:p>
        </w:tc>
        <w:tc>
          <w:tcPr>
            <w:tcW w:w="16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248</w:t>
            </w: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July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8,757</w:t>
            </w: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Pr>
          <w:p>
            <w:pPr>
              <w:spacing w:after="0" w:line="130" w:lineRule="exact"/>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167"/>
        </w:trPr>
        <w:tc>
          <w:tcPr>
            <w:tcW w:w="2900" w:type="dxa"/>
            <w:vAlign w:val="bottom"/>
          </w:tcPr>
          <w:p>
            <w:pPr>
              <w:spacing w:after="0"/>
              <w:rPr>
                <w:sz w:val="20"/>
                <w:szCs w:val="20"/>
                <w:color w:val="auto"/>
              </w:rPr>
            </w:pPr>
            <w:r>
              <w:rPr>
                <w:rFonts w:ascii="Arial" w:cs="Arial" w:eastAsia="Arial" w:hAnsi="Arial"/>
                <w:sz w:val="14"/>
                <w:szCs w:val="14"/>
                <w:color w:val="auto"/>
                <w:w w:val="95"/>
              </w:rPr>
              <w:t>Foreign exchange contracts — cash flow hedges</w:t>
            </w:r>
          </w:p>
        </w:tc>
        <w:tc>
          <w:tcPr>
            <w:tcW w:w="14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156</w:t>
            </w:r>
          </w:p>
        </w:tc>
        <w:tc>
          <w:tcPr>
            <w:tcW w:w="1960" w:type="dxa"/>
            <w:vAlign w:val="bottom"/>
          </w:tcPr>
          <w:p>
            <w:pPr>
              <w:spacing w:after="0"/>
              <w:rPr>
                <w:sz w:val="20"/>
                <w:szCs w:val="20"/>
                <w:color w:val="auto"/>
              </w:rPr>
            </w:pPr>
            <w:r>
              <w:rPr>
                <w:rFonts w:ascii="Arial" w:cs="Arial" w:eastAsia="Arial" w:hAnsi="Arial"/>
                <w:sz w:val="14"/>
                <w:szCs w:val="14"/>
                <w:color w:val="auto"/>
              </w:rPr>
              <w:t>current assets</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w:t>
            </w: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0" w:type="dxa"/>
            <w:vAlign w:val="bottom"/>
          </w:tcPr>
          <w:p>
            <w:pPr>
              <w:spacing w:after="0"/>
              <w:rPr>
                <w:sz w:val="1"/>
                <w:szCs w:val="1"/>
                <w:color w:val="auto"/>
              </w:rPr>
            </w:pPr>
          </w:p>
        </w:tc>
      </w:tr>
      <w:tr>
        <w:trPr>
          <w:trHeight w:val="180"/>
        </w:trPr>
        <w:tc>
          <w:tcPr>
            <w:tcW w:w="2900" w:type="dxa"/>
            <w:vAlign w:val="bottom"/>
          </w:tcPr>
          <w:p>
            <w:pPr>
              <w:ind w:left="40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8,757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1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tcPr>
          <w:p>
            <w:pPr>
              <w:ind w:left="720"/>
              <w:spacing w:after="0"/>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8,937</w:t>
            </w:r>
          </w:p>
        </w:tc>
        <w:tc>
          <w:tcPr>
            <w:tcW w:w="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Foreign exchange contracts — cash flow hedges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829</w:t>
            </w: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w:t>
            </w:r>
          </w:p>
        </w:tc>
        <w:tc>
          <w:tcPr>
            <w:tcW w:w="1960" w:type="dxa"/>
            <w:vAlign w:val="bottom"/>
          </w:tcPr>
          <w:p>
            <w:pPr>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denominated debt — net</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Long term obligations, less</w:t>
            </w: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hedge</w:t>
            </w: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97,747</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97,747</w:t>
            </w: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current maturities</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00" w:type="dxa"/>
            <w:vAlign w:val="bottom"/>
          </w:tcPr>
          <w:p>
            <w:pPr>
              <w:ind w:left="20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98,640</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98,640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85"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us to obtain pricing information on an ongoing basis.</w:t>
      </w:r>
    </w:p>
    <w:p>
      <w:pPr>
        <w:spacing w:after="0" w:line="141" w:lineRule="exact"/>
        <w:rPr>
          <w:sz w:val="20"/>
          <w:szCs w:val="20"/>
          <w:color w:val="auto"/>
        </w:rPr>
      </w:pPr>
    </w:p>
    <w:p>
      <w:pPr>
        <w:jc w:val="both"/>
        <w:ind w:left="700" w:right="559"/>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60" w:lineRule="exact"/>
        <w:rPr>
          <w:sz w:val="20"/>
          <w:szCs w:val="20"/>
          <w:color w:val="auto"/>
        </w:rPr>
      </w:pPr>
    </w:p>
    <w:p>
      <w:pPr>
        <w:jc w:val="both"/>
        <w:ind w:left="700" w:right="559"/>
        <w:spacing w:after="0" w:line="279" w:lineRule="auto"/>
        <w:rPr>
          <w:sz w:val="20"/>
          <w:szCs w:val="20"/>
          <w:color w:val="auto"/>
        </w:rPr>
      </w:pPr>
      <w:r>
        <w:rPr>
          <w:rFonts w:ascii="Arial" w:cs="Arial" w:eastAsia="Arial" w:hAnsi="Arial"/>
          <w:sz w:val="17"/>
          <w:szCs w:val="17"/>
          <w:i w:val="1"/>
          <w:iCs w:val="1"/>
          <w:color w:val="auto"/>
        </w:rPr>
        <w:t xml:space="preserve">Foreign currency denominated debt — net investment hedge: </w:t>
      </w:r>
      <w:r>
        <w:rPr>
          <w:rFonts w:ascii="Arial" w:cs="Arial" w:eastAsia="Arial" w:hAnsi="Arial"/>
          <w:sz w:val="17"/>
          <w:szCs w:val="17"/>
          <w:color w:val="auto"/>
        </w:rPr>
        <w:t>The Company’s foreign currency denominated debt</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as a net investment hedge was classified as Level 2, as the fair 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3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2010 and 2009.</w:t>
      </w:r>
    </w:p>
    <w:p>
      <w:pPr>
        <w:spacing w:after="0" w:line="13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accounts receivable, accounts payable, accrued liabilities and short-term and long-term debt. The fair values of cash, accounts receivable, accounts payable, accrued liabilities and short-term debt approximated carrying values because of the short-term nature of these instruments.</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three and twelve months ended July 31, 2010, the Company had no significant measurements of assets or liabilities at fair value on a nonrecurring basis subsequent to their initial recognition other than the acquisitions of Welco, Stickolor, and Securimed which are valued using level 2 inputs. See Note 2, “Acquisitions” for further information.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Restructuring</w:t>
      </w:r>
    </w:p>
    <w:p>
      <w:pPr>
        <w:spacing w:after="0" w:line="20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As a result of these actions, the Company recorded restructuring charges of $25,849 in fiscal 2009. The restructuring charges included $20,911 of employee separation costs, $2,101 of non-cash fixed asset write-offs, $1,194 of other facility closure related costs, $1,275 of contract termination costs, and $368 of non-cash stock option expense.</w:t>
      </w:r>
    </w:p>
    <w:p>
      <w:pPr>
        <w:spacing w:after="0" w:line="124"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 continued executing its restructuring actions that were announced in the fiscal year ended July 31, 2009 throughout the fiscal year ended July 31, 2010. As a result of these actions, the Company recorded restructuring charges of $5,717 and $15,314 during the three and twelve months ended July 31, 2010, respectively. The fiscal 2010 restructuring charges consisted of $10,850 of employee separation costs, $2,260 of non-cash fixed asset write-offs, $1,493 of other facility closure related costs, and $711 of contract termination costs. Of the $15,314 of restructuring charges recorded during the fiscal year ended July 31, 2010, $7,158 was incurred in the Americas, $5,350 was incurred in Europe, and $2,806 was incurred in Asia-Pacific. The costs related to these restructuring activities have been recorded on the consolidated statements of income as restructuring charges. The Company expects the majority of the remaining cash payments to be made within the next twelve months.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Company’s restructuring activity for fiscal 2009 and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Asset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Related</w:t>
            </w:r>
          </w:p>
        </w:tc>
        <w:tc>
          <w:tcPr>
            <w:tcW w:w="380" w:type="dxa"/>
            <w:vAlign w:val="bottom"/>
            <w:gridSpan w:val="2"/>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Write-offs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21,279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2,101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25,849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separation benefits</w:t>
            </w:r>
          </w:p>
        </w:tc>
        <w:tc>
          <w:tcPr>
            <w:tcW w:w="10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(15,288)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(16,880)</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Ending balance, July 31, 2009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Non-cash write-offs</w:t>
            </w:r>
          </w:p>
        </w:tc>
        <w:tc>
          <w:tcPr>
            <w:tcW w:w="10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(12,215)</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Ending balance, July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other separation benefits for the period ended July 31, 2009 include charges of approximately $1,178 directly related to postretirement medical, dental and vision benefits. See Note 3 for discussion on employee benefits.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As of July 31, 2010 and 2009, the notional amount of outstanding forward exchange contracts was $45,328 and $30,929, respectively.</w:t>
      </w:r>
    </w:p>
    <w:p>
      <w:pPr>
        <w:spacing w:after="0" w:line="15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years ended July 31, 2010, 2009, and 2008.</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Singapore Dollar, Swedish Krona, Danish Krone, Japanese Yen, Swiss Franc, and the Korean Won. Generally, these risk management transactions will involve the use of foreign currency derivatives to protect against exposure resulting from sales and identified inventory or other asset purchases.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2010 and July 31, 2009, unrealized losses of $493 and $35 have been included in OCI, respectively. All balances are expected to be reclassified from OCI to earnings during the next twelve months when the hedged transactions impact earnings.</w:t>
      </w:r>
    </w:p>
    <w:p>
      <w:pPr>
        <w:spacing w:after="0" w:line="15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At July 31, 2010, the Company had $156 of forward exchange contracts designated as cash flow hedges included in “Prepaid expenses and other current assets” on the accompanying Consolidated Balance Sheet. At July 31, 2009, $130 of the Company’s forward exchange contracts not designated as hedging instruments were included in “Prepaid expenses and other current assets,” on the accompanying Consolidated Balance Sheet. At July 31, 2010 and July 31, 2009, the Company had $829 and $248 respectively, of forward exchange contracts designated as hedge instruments included in “Other current liabilities” on the accompanying Consolidated Balance Sheet. At July 31, 2010 and July 31, 2009, the U.S. dollar equivalent of these outstanding forward foreign exchange contracts totaled $32,020 and $21,793, respectively, including contracts to sell Euros, Canadian Dollars, Australian Dollars, British Pounds, U.S. Dollars, and Swiss Franc.</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May 13, 2010, the Company completed the private placement of €75.0 million (approximately $95.0 million USD) aggregate principal amount of senior unsecured notes to accredited institutional investors. The Company entered into certain foreign currency denominated debt obligations to selectively hedge portions of its net investment in European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European operations. The Company’s foreign denominated debt obligations are valued under a market approach using publicized spot prices.</w:t>
      </w:r>
    </w:p>
    <w:p>
      <w:pPr>
        <w:spacing w:after="0" w:line="14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Additionally, during fiscal 2010, the Company used forward foreign exchange currency contracts designated as hedge instruments to hedge portions of the Company’s net investments in European foreign operations. For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2010, the Company had no forward foreign exchange currency contracts designated as net investment hedges included in “Prepaid expenses and other current assets” on the Consolidated Balance Sheet.</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Liability Derivatives</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700" w:type="dxa"/>
            <w:vAlign w:val="bottom"/>
            <w:tcBorders>
              <w:bottom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rPr>
              <w:t>July 31, 2010</w:t>
            </w:r>
          </w:p>
        </w:tc>
        <w:tc>
          <w:tcPr>
            <w:tcW w:w="140" w:type="dxa"/>
            <w:vAlign w:val="bottom"/>
          </w:tcPr>
          <w:p>
            <w:pPr>
              <w:spacing w:after="0"/>
              <w:rPr>
                <w:sz w:val="12"/>
                <w:szCs w:val="12"/>
                <w:color w:val="auto"/>
              </w:rPr>
            </w:pPr>
          </w:p>
        </w:tc>
        <w:tc>
          <w:tcPr>
            <w:tcW w:w="132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July 31, 2009</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bottom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July 31, 2010</w:t>
            </w:r>
          </w:p>
        </w:tc>
        <w:tc>
          <w:tcPr>
            <w:tcW w:w="140" w:type="dxa"/>
            <w:vAlign w:val="bottom"/>
          </w:tcPr>
          <w:p>
            <w:pPr>
              <w:spacing w:after="0"/>
              <w:rPr>
                <w:sz w:val="12"/>
                <w:szCs w:val="12"/>
                <w:color w:val="auto"/>
              </w:rPr>
            </w:pPr>
          </w:p>
        </w:tc>
        <w:tc>
          <w:tcPr>
            <w:tcW w:w="132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July 31, 2009</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40" w:type="dxa"/>
            <w:vAlign w:val="bottom"/>
            <w:gridSpan w:val="2"/>
            <w:vMerge w:val="continue"/>
          </w:tcPr>
          <w:p>
            <w:pPr>
              <w:spacing w:after="0"/>
              <w:rPr>
                <w:sz w:val="10"/>
                <w:szCs w:val="10"/>
                <w:color w:val="auto"/>
              </w:rPr>
            </w:pP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vMerge w:val="restart"/>
          </w:tcPr>
          <w:p>
            <w:pPr>
              <w:spacing w:after="0"/>
              <w:rPr>
                <w:sz w:val="10"/>
                <w:szCs w:val="10"/>
                <w:color w:val="auto"/>
              </w:rPr>
            </w:pP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4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vMerge w:val="restart"/>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4"/>
                <w:szCs w:val="14"/>
                <w:b w:val="1"/>
                <w:bCs w:val="1"/>
                <w:color w:val="auto"/>
              </w:rPr>
              <w:t>hedging instruments</w:t>
            </w:r>
          </w:p>
        </w:tc>
        <w:tc>
          <w:tcPr>
            <w:tcW w:w="8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Location</w:t>
            </w: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hedges</w:t>
            </w:r>
          </w:p>
        </w:tc>
        <w:tc>
          <w:tcPr>
            <w:tcW w:w="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Foreign exchange contracts</w:t>
            </w:r>
          </w:p>
        </w:tc>
        <w:tc>
          <w:tcPr>
            <w:tcW w:w="86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Other current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156</w:t>
            </w: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829</w:t>
            </w:r>
          </w:p>
        </w:tc>
        <w:tc>
          <w:tcPr>
            <w:tcW w:w="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240" w:type="dxa"/>
            <w:vAlign w:val="bottom"/>
            <w:gridSpan w:val="2"/>
          </w:tcPr>
          <w:p>
            <w:pPr>
              <w:ind w:left="200"/>
              <w:spacing w:after="0"/>
              <w:rPr>
                <w:sz w:val="20"/>
                <w:szCs w:val="20"/>
                <w:color w:val="auto"/>
              </w:rPr>
            </w:pPr>
            <w:r>
              <w:rPr>
                <w:rFonts w:ascii="Arial" w:cs="Arial" w:eastAsia="Arial" w:hAnsi="Arial"/>
                <w:sz w:val="14"/>
                <w:szCs w:val="14"/>
                <w:color w:val="auto"/>
              </w:rPr>
              <w:t>Foreign currency denominated</w:t>
            </w:r>
          </w:p>
        </w:tc>
        <w:tc>
          <w:tcPr>
            <w:tcW w:w="860" w:type="dxa"/>
            <w:vAlign w:val="bottom"/>
          </w:tcPr>
          <w:p>
            <w:pPr>
              <w:spacing w:after="0"/>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Long term</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Long term</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debt</w:t>
            </w: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obligations,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obligations,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less current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less current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spacing w:after="0"/>
              <w:rPr>
                <w:sz w:val="20"/>
                <w:szCs w:val="20"/>
                <w:color w:val="auto"/>
              </w:rPr>
            </w:pPr>
            <w:r>
              <w:rPr>
                <w:rFonts w:ascii="Arial" w:cs="Arial" w:eastAsia="Arial" w:hAnsi="Arial"/>
                <w:sz w:val="14"/>
                <w:szCs w:val="14"/>
                <w:color w:val="auto"/>
              </w:rPr>
              <w:t>maturities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97,747</w:t>
            </w:r>
          </w:p>
        </w:tc>
        <w:tc>
          <w:tcPr>
            <w:tcW w:w="980" w:type="dxa"/>
            <w:vAlign w:val="bottom"/>
            <w:gridSpan w:val="2"/>
          </w:tcPr>
          <w:p>
            <w:pPr>
              <w:spacing w:after="0"/>
              <w:rPr>
                <w:sz w:val="20"/>
                <w:szCs w:val="20"/>
                <w:color w:val="auto"/>
              </w:rPr>
            </w:pPr>
            <w:r>
              <w:rPr>
                <w:rFonts w:ascii="Arial" w:cs="Arial" w:eastAsia="Arial" w:hAnsi="Arial"/>
                <w:sz w:val="14"/>
                <w:szCs w:val="14"/>
                <w:color w:val="auto"/>
              </w:rPr>
              <w:t>maturities</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derivatives designated as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8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w:t>
            </w:r>
          </w:p>
        </w:tc>
        <w:tc>
          <w:tcPr>
            <w:tcW w:w="8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98,576</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Derivatives not designated as</w:t>
            </w: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40" w:type="dxa"/>
            <w:vAlign w:val="bottom"/>
            <w:gridSpan w:val="2"/>
            <w:vMerge w:val="continue"/>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ind w:left="400"/>
              <w:spacing w:after="0"/>
              <w:rPr>
                <w:sz w:val="20"/>
                <w:szCs w:val="20"/>
                <w:color w:val="auto"/>
              </w:rPr>
            </w:pPr>
            <w:r>
              <w:rPr>
                <w:rFonts w:ascii="Arial" w:cs="Arial" w:eastAsia="Arial" w:hAnsi="Arial"/>
                <w:sz w:val="14"/>
                <w:szCs w:val="14"/>
                <w:color w:val="auto"/>
              </w:rPr>
              <w:t>hedging instruments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flow hedges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Foreign exchange contracts</w:t>
            </w:r>
          </w:p>
        </w:tc>
        <w:tc>
          <w:tcPr>
            <w:tcW w:w="86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Other current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130</w:t>
            </w:r>
          </w:p>
        </w:tc>
        <w:tc>
          <w:tcPr>
            <w:tcW w:w="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64</w:t>
            </w:r>
          </w:p>
        </w:tc>
        <w:tc>
          <w:tcPr>
            <w:tcW w:w="9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derivatives not designated as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8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w:t>
            </w:r>
          </w:p>
        </w:tc>
        <w:tc>
          <w:tcPr>
            <w:tcW w:w="8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on the Consolidated Statements of Income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79"/>
              <w:spacing w:after="0"/>
              <w:rPr>
                <w:sz w:val="20"/>
                <w:szCs w:val="20"/>
                <w:color w:val="auto"/>
              </w:rPr>
            </w:pPr>
            <w:r>
              <w:rPr>
                <w:rFonts w:ascii="Arial" w:cs="Arial" w:eastAsia="Arial" w:hAnsi="Arial"/>
                <w:sz w:val="14"/>
                <w:szCs w:val="14"/>
                <w:b w:val="1"/>
                <w:bCs w:val="1"/>
                <w:color w:val="auto"/>
                <w:w w:val="95"/>
              </w:rPr>
              <w:t>Amount of Gain</w:t>
            </w: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w:t>
            </w:r>
          </w:p>
        </w:tc>
        <w:tc>
          <w:tcPr>
            <w:tcW w:w="60" w:type="dxa"/>
            <w:vAlign w:val="bottom"/>
          </w:tcPr>
          <w:p>
            <w:pPr>
              <w:spacing w:after="0"/>
              <w:rPr>
                <w:sz w:val="14"/>
                <w:szCs w:val="14"/>
                <w:color w:val="auto"/>
              </w:rPr>
            </w:pPr>
          </w:p>
        </w:tc>
        <w:tc>
          <w:tcPr>
            <w:tcW w:w="14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Amount of Gain or (Loss)</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Location of Gain or</w:t>
            </w:r>
          </w:p>
        </w:tc>
        <w:tc>
          <w:tcPr>
            <w:tcW w:w="80" w:type="dxa"/>
            <w:vAlign w:val="bottom"/>
          </w:tcPr>
          <w:p>
            <w:pPr>
              <w:spacing w:after="0"/>
              <w:rPr>
                <w:sz w:val="12"/>
                <w:szCs w:val="12"/>
                <w:color w:val="auto"/>
              </w:rPr>
            </w:pPr>
          </w:p>
        </w:tc>
        <w:tc>
          <w:tcPr>
            <w:tcW w:w="94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or (Loss)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60" w:type="dxa"/>
            <w:vAlign w:val="bottom"/>
          </w:tcPr>
          <w:p>
            <w:pPr>
              <w:spacing w:after="0"/>
              <w:rPr>
                <w:sz w:val="12"/>
                <w:szCs w:val="12"/>
                <w:color w:val="auto"/>
              </w:rPr>
            </w:pPr>
          </w:p>
        </w:tc>
        <w:tc>
          <w:tcPr>
            <w:tcW w:w="92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or (Loss)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80" w:type="dxa"/>
            <w:vAlign w:val="bottom"/>
          </w:tcPr>
          <w:p>
            <w:pPr>
              <w:spacing w:after="0"/>
              <w:rPr>
                <w:sz w:val="12"/>
                <w:szCs w:val="12"/>
                <w:color w:val="auto"/>
              </w:rPr>
            </w:pPr>
          </w:p>
        </w:tc>
        <w:tc>
          <w:tcPr>
            <w:tcW w:w="16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80" w:type="dxa"/>
            <w:vAlign w:val="bottom"/>
          </w:tcPr>
          <w:p>
            <w:pPr>
              <w:spacing w:after="0"/>
              <w:rPr>
                <w:sz w:val="12"/>
                <w:szCs w:val="12"/>
                <w:color w:val="auto"/>
              </w:rPr>
            </w:pPr>
          </w:p>
        </w:tc>
        <w:tc>
          <w:tcPr>
            <w:tcW w:w="1440" w:type="dxa"/>
            <w:vAlign w:val="bottom"/>
            <w:gridSpan w:val="5"/>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Derivative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80" w:type="dxa"/>
            <w:vAlign w:val="bottom"/>
          </w:tcPr>
          <w:p>
            <w:pPr>
              <w:spacing w:after="0"/>
              <w:rPr>
                <w:sz w:val="12"/>
                <w:szCs w:val="12"/>
                <w:color w:val="auto"/>
              </w:rPr>
            </w:pPr>
          </w:p>
        </w:tc>
        <w:tc>
          <w:tcPr>
            <w:tcW w:w="94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Into Income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Income on</w:t>
            </w:r>
          </w:p>
        </w:tc>
        <w:tc>
          <w:tcPr>
            <w:tcW w:w="14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Cash Flow Hedging</w:t>
            </w:r>
          </w:p>
        </w:tc>
        <w:tc>
          <w:tcPr>
            <w:tcW w:w="80" w:type="dxa"/>
            <w:vAlign w:val="bottom"/>
          </w:tcPr>
          <w:p>
            <w:pPr>
              <w:spacing w:after="0"/>
              <w:rPr>
                <w:sz w:val="14"/>
                <w:szCs w:val="14"/>
                <w:color w:val="auto"/>
              </w:rPr>
            </w:pPr>
          </w:p>
        </w:tc>
        <w:tc>
          <w:tcPr>
            <w:tcW w:w="16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OCI into Income</w:t>
            </w:r>
          </w:p>
        </w:tc>
        <w:tc>
          <w:tcPr>
            <w:tcW w:w="80" w:type="dxa"/>
            <w:vAlign w:val="bottom"/>
          </w:tcPr>
          <w:p>
            <w:pPr>
              <w:spacing w:after="0"/>
              <w:rPr>
                <w:sz w:val="14"/>
                <w:szCs w:val="14"/>
                <w:color w:val="auto"/>
              </w:rPr>
            </w:pPr>
          </w:p>
        </w:tc>
        <w:tc>
          <w:tcPr>
            <w:tcW w:w="1440" w:type="dxa"/>
            <w:vAlign w:val="bottom"/>
            <w:gridSpan w:val="5"/>
          </w:tcPr>
          <w:p>
            <w:pPr>
              <w:jc w:val="center"/>
              <w:ind w:right="259"/>
              <w:spacing w:after="0"/>
              <w:rPr>
                <w:sz w:val="20"/>
                <w:szCs w:val="20"/>
                <w:color w:val="auto"/>
              </w:rPr>
            </w:pPr>
            <w:r>
              <w:rPr>
                <w:rFonts w:ascii="Arial" w:cs="Arial" w:eastAsia="Arial" w:hAnsi="Arial"/>
                <w:sz w:val="14"/>
                <w:szCs w:val="14"/>
                <w:b w:val="1"/>
                <w:bCs w:val="1"/>
                <w:color w:val="auto"/>
                <w:w w:val="94"/>
              </w:rPr>
              <w:t>(Effective Portion)</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4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4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(Ineffective Portion)</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Foreign exchange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goods sold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w w:val="91"/>
              </w:rPr>
              <w:t>(815)</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goods sold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56"/>
        </w:trPr>
        <w:tc>
          <w:tcPr>
            <w:tcW w:w="16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w:t>
            </w: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w:t>
            </w:r>
          </w:p>
        </w:tc>
        <w:tc>
          <w:tcPr>
            <w:tcW w:w="320" w:type="dxa"/>
            <w:vAlign w:val="bottom"/>
          </w:tcPr>
          <w:p>
            <w:pPr>
              <w:jc w:val="right"/>
              <w:ind w:right="239"/>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(815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w w:val="85"/>
              </w:rPr>
              <w:t>—</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325"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25"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Location of</w:t>
            </w:r>
          </w:p>
        </w:tc>
        <w:tc>
          <w:tcPr>
            <w:tcW w:w="60" w:type="dxa"/>
            <w:vAlign w:val="bottom"/>
          </w:tcPr>
          <w:p>
            <w:pPr>
              <w:spacing w:after="0"/>
              <w:rPr>
                <w:sz w:val="14"/>
                <w:szCs w:val="14"/>
                <w:color w:val="auto"/>
              </w:rPr>
            </w:pPr>
          </w:p>
        </w:tc>
        <w:tc>
          <w:tcPr>
            <w:tcW w:w="14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Amount of Gain or (Loss)</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Location of Gain or</w:t>
            </w:r>
          </w:p>
        </w:tc>
        <w:tc>
          <w:tcPr>
            <w:tcW w:w="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or (Loss)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780" w:type="dxa"/>
            <w:vAlign w:val="bottom"/>
            <w:gridSpan w:val="6"/>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Gain or (Loss)</w:t>
            </w:r>
          </w:p>
        </w:tc>
        <w:tc>
          <w:tcPr>
            <w:tcW w:w="60" w:type="dxa"/>
            <w:vAlign w:val="bottom"/>
          </w:tcPr>
          <w:p>
            <w:pPr>
              <w:spacing w:after="0"/>
              <w:rPr>
                <w:sz w:val="12"/>
                <w:szCs w:val="12"/>
                <w:color w:val="auto"/>
              </w:rPr>
            </w:pPr>
          </w:p>
        </w:tc>
        <w:tc>
          <w:tcPr>
            <w:tcW w:w="92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or (Loss)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80" w:type="dxa"/>
            <w:vAlign w:val="bottom"/>
          </w:tcPr>
          <w:p>
            <w:pPr>
              <w:spacing w:after="0"/>
              <w:rPr>
                <w:sz w:val="12"/>
                <w:szCs w:val="12"/>
                <w:color w:val="auto"/>
              </w:rPr>
            </w:pPr>
          </w:p>
        </w:tc>
        <w:tc>
          <w:tcPr>
            <w:tcW w:w="14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Investment</w:t>
            </w:r>
          </w:p>
        </w:tc>
        <w:tc>
          <w:tcPr>
            <w:tcW w:w="80" w:type="dxa"/>
            <w:vAlign w:val="bottom"/>
          </w:tcPr>
          <w:p>
            <w:pPr>
              <w:spacing w:after="0"/>
              <w:rPr>
                <w:sz w:val="12"/>
                <w:szCs w:val="12"/>
                <w:color w:val="auto"/>
              </w:rPr>
            </w:pPr>
          </w:p>
        </w:tc>
        <w:tc>
          <w:tcPr>
            <w:tcW w:w="102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Derivative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Into Income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Income on</w:t>
            </w:r>
          </w:p>
        </w:tc>
        <w:tc>
          <w:tcPr>
            <w:tcW w:w="14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Hedging</w:t>
            </w:r>
          </w:p>
        </w:tc>
        <w:tc>
          <w:tcPr>
            <w:tcW w:w="8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(Effective Portion)</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OCI into Income</w:t>
            </w:r>
          </w:p>
        </w:tc>
        <w:tc>
          <w:tcPr>
            <w:tcW w:w="8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42"/>
        </w:trPr>
        <w:tc>
          <w:tcPr>
            <w:tcW w:w="1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5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(Ineffective Portion)</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Foreign exchange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Investment and other</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Investment and other</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contracts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6,248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 net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4"/>
                <w:szCs w:val="14"/>
                <w:color w:val="auto"/>
              </w:rPr>
              <w:t>Foreign currency</w:t>
            </w: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Investment and other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2"/>
              </w:rPr>
              <w:t>Investment and other</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200"/>
              <w:spacing w:after="0"/>
              <w:rPr>
                <w:sz w:val="20"/>
                <w:szCs w:val="20"/>
                <w:color w:val="auto"/>
              </w:rPr>
            </w:pPr>
            <w:r>
              <w:rPr>
                <w:rFonts w:ascii="Arial" w:cs="Arial" w:eastAsia="Arial" w:hAnsi="Arial"/>
                <w:sz w:val="14"/>
                <w:szCs w:val="14"/>
                <w:color w:val="auto"/>
              </w:rPr>
              <w:t>denominated debt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(2,833)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40" w:type="dxa"/>
            <w:vAlign w:val="bottom"/>
            <w:gridSpan w:val="2"/>
          </w:tcPr>
          <w:p>
            <w:pPr>
              <w:spacing w:after="0"/>
              <w:rPr>
                <w:sz w:val="20"/>
                <w:szCs w:val="20"/>
                <w:color w:val="auto"/>
              </w:rPr>
            </w:pPr>
            <w:r>
              <w:rPr>
                <w:rFonts w:ascii="Arial" w:cs="Arial" w:eastAsia="Arial" w:hAnsi="Arial"/>
                <w:sz w:val="14"/>
                <w:szCs w:val="14"/>
                <w:color w:val="auto"/>
              </w:rPr>
              <w:t>income — net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500" w:type="dxa"/>
            <w:vAlign w:val="bottom"/>
            <w:gridSpan w:val="2"/>
          </w:tcPr>
          <w:p>
            <w:pPr>
              <w:spacing w:after="0"/>
              <w:rPr>
                <w:sz w:val="20"/>
                <w:szCs w:val="20"/>
                <w:color w:val="auto"/>
              </w:rPr>
            </w:pPr>
            <w:r>
              <w:rPr>
                <w:rFonts w:ascii="Arial" w:cs="Arial" w:eastAsia="Arial" w:hAnsi="Arial"/>
                <w:sz w:val="14"/>
                <w:szCs w:val="14"/>
                <w:color w:val="auto"/>
              </w:rPr>
              <w:t>income — net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3,415</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pre-tax effects of derivative instruments not designated as hedging instruments on the Consolidated Statements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Location of Gain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8"/>
              </w:rPr>
              <w:t>Amount of Gain 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7"/>
              </w:rPr>
              <w:t>(Loss) 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89"/>
              </w:rPr>
              <w:t>(Loss) Recognized in</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in Income 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7"/>
          </w:tcPr>
          <w:p>
            <w:pPr>
              <w:ind w:left="20"/>
              <w:spacing w:after="0"/>
              <w:rPr>
                <w:sz w:val="20"/>
                <w:szCs w:val="20"/>
                <w:color w:val="auto"/>
              </w:rPr>
            </w:pPr>
            <w:r>
              <w:rPr>
                <w:rFonts w:ascii="Arial" w:cs="Arial" w:eastAsia="Arial" w:hAnsi="Arial"/>
                <w:sz w:val="18"/>
                <w:szCs w:val="18"/>
                <w:b w:val="1"/>
                <w:bCs w:val="1"/>
                <w:color w:val="auto"/>
              </w:rPr>
              <w:t>Income on Derivative</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2"/>
              </w:rPr>
              <w:t>Derivative</w:t>
            </w:r>
          </w:p>
        </w:tc>
        <w:tc>
          <w:tcPr>
            <w:tcW w:w="3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88"/>
              </w:rPr>
              <w:t>Other income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72"/>
              </w:rPr>
              <w:t>(40)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w w:val="97"/>
              </w:rPr>
              <w:t>13. Unaudited Quarterly Financial Information</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8"/>
              </w:rPr>
              <w:t>Quarters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First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Second</w:t>
            </w:r>
          </w:p>
        </w:tc>
        <w:tc>
          <w:tcPr>
            <w:tcW w:w="2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Fourth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318,486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295,829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321,887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322,894</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1,259,096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146,918</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158,739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623,297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35,557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23,902</w:t>
            </w:r>
          </w:p>
        </w:tc>
        <w:tc>
          <w:tcPr>
            <w:tcW w:w="2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35,914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34,083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129,456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15,001</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378,317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266,449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276,733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287,203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1,208,702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181,146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126,142</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136,122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577,583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56,194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4,618</w:t>
            </w:r>
          </w:p>
        </w:tc>
        <w:tc>
          <w:tcPr>
            <w:tcW w:w="2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29,272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30,289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120,373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0636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80" w:right="559" w:hanging="348"/>
        <w:spacing w:after="0" w:line="34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Fiscal 2010 had before tax restructuring charges by quarter of $3,601, $3,649, $2,347, and $5,717 for a total of $15,314. Fiscal 2009 had before tax restructuring charges by quarter of $1,639, $19,408, $2,229, and $2,573 for a total of $25,849.</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219"/>
          </w:cols>
          <w:pgMar w:left="240" w:top="419" w:right="1440" w:bottom="0" w:gutter="0" w:footer="0" w:header="0"/>
          <w:type w:val="continuous"/>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our management conducted an evaluation of the effectiveness of our internal control over financial reporting as of July 31, 2010,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the assessment, management concluded that, as of July 31, 2010, the Company’s internal control over financial reporting is effective based on those criteria. The Company’s internal control over financial reporting, as of July 31, 2010, has been audited by Deloitte &amp; Touche LLP, an independent registered public accounting firm, as stated in their report, which is included herein.</w:t>
      </w:r>
    </w:p>
    <w:p>
      <w:pPr>
        <w:spacing w:after="0" w:line="14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17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We have audited the internal control over financial reporting of Brady Corporation and subsidiaries (the “Company”) as of July 31, 2010, based on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13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July 31, 2010, based on the criteria established in Internal Control — Integrated Framework issued by the Committee of Sponsoring Organizations of the Treadway Commission.</w:t>
      </w:r>
    </w:p>
    <w:p>
      <w:pPr>
        <w:spacing w:after="0" w:line="15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2010, of the Company and our report dated September 21, 2010, expressed an unqualified opinion on those consolidated financial statements and financial statement schedule.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21, 2010</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20" w:type="dxa"/>
            <w:vAlign w:val="bottom"/>
          </w:tcPr>
          <w:p>
            <w:pPr>
              <w:ind w:left="400"/>
              <w:spacing w:after="0"/>
              <w:rPr>
                <w:sz w:val="20"/>
                <w:szCs w:val="20"/>
                <w:color w:val="auto"/>
              </w:rPr>
            </w:pPr>
            <w:r>
              <w:rPr>
                <w:rFonts w:ascii="Arial" w:cs="Arial" w:eastAsia="Arial" w:hAnsi="Arial"/>
                <w:sz w:val="18"/>
                <w:szCs w:val="18"/>
                <w:b w:val="1"/>
                <w:bCs w:val="1"/>
                <w:color w:val="auto"/>
              </w:rPr>
              <w:t>PART III</w:t>
            </w:r>
          </w:p>
        </w:tc>
      </w:tr>
      <w:tr>
        <w:trPr>
          <w:trHeight w:val="405"/>
        </w:trPr>
        <w:tc>
          <w:tcPr>
            <w:tcW w:w="93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tc>
      </w:tr>
      <w:tr>
        <w:trPr>
          <w:trHeight w:val="432"/>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80" w:type="dxa"/>
            <w:vAlign w:val="bottom"/>
          </w:tcPr>
          <w:p>
            <w:pPr>
              <w:spacing w:after="0"/>
              <w:rPr>
                <w:sz w:val="24"/>
                <w:szCs w:val="24"/>
                <w:color w:val="auto"/>
              </w:rPr>
            </w:pPr>
          </w:p>
        </w:tc>
        <w:tc>
          <w:tcPr>
            <w:tcW w:w="542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Title</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CEO and 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Thomas J. Felmer</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Sr. V.P., CFO</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Aaron J. Pearce</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V.P., Treasurer, Director of Investor Relations</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Allan J. Klotsche</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President — Brady Asia-Pacific and V.P., Brady Corporation</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 Brady Europe and V.P., Brady Corporation</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Matthew O. Williamson</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President — Brady Americas and V.P., Brady Corporation</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V.P. and Chief Technology Officer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Bentley N. Curran</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V.P. and Chief Information Officer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Kathleen M. Johnson</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V.P. and Chief Accounting Officer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Conrad G. Goodkind</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Robert C. Buchanan</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Chan W. Galbato</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Bradley C. Richardson</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Gary S. Balkema</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Frank M. Jaehnert </w:t>
      </w:r>
      <w:r>
        <w:rPr>
          <w:rFonts w:ascii="Arial" w:cs="Arial" w:eastAsia="Arial" w:hAnsi="Arial"/>
          <w:sz w:val="17"/>
          <w:szCs w:val="17"/>
          <w:color w:val="auto"/>
        </w:rPr>
        <w:t>— Mr. Jaehnert has served on the Company’s Board of Directors and as the Company’s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CEO since 2003. Mr. Jaehnert joined the Company in 1995 and served in leadership positions in a variety of different functions and businesses, including that of CFO from 1996 to 2002, before his promotion to President and CEO in 2003. Previously, he served in a variety of financial roles at Robert Bosch, GmbH, including treasurer of a subsidiary. His broad operating and functional experience and in-depth knowledge of Brady’s businesses are particularly valuable given the diverse nature of Brady’s portfolio. These experiences, combined with Mr. Jaehnert’s talent for leadership and his long-term strategic perspective, have helped drive the Company’s growth and performance during his tenure as Director and CEO.</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Thomas J. Felmer </w:t>
      </w:r>
      <w:r>
        <w:rPr>
          <w:rFonts w:ascii="Arial" w:cs="Arial" w:eastAsia="Arial" w:hAnsi="Arial"/>
          <w:sz w:val="18"/>
          <w:szCs w:val="18"/>
          <w:color w:val="auto"/>
        </w:rPr>
        <w:t>— Mr. Felmer joined the Company in 1989 and has held several sales and marketing positions until</w:t>
      </w:r>
      <w:r>
        <w:rPr>
          <w:rFonts w:ascii="Arial" w:cs="Arial" w:eastAsia="Arial" w:hAnsi="Arial"/>
          <w:sz w:val="18"/>
          <w:szCs w:val="18"/>
          <w:i w:val="1"/>
          <w:iCs w:val="1"/>
          <w:color w:val="auto"/>
        </w:rPr>
        <w:t xml:space="preserve"> </w:t>
      </w:r>
      <w:r>
        <w:rPr>
          <w:rFonts w:ascii="Arial" w:cs="Arial" w:eastAsia="Arial" w:hAnsi="Arial"/>
          <w:sz w:val="18"/>
          <w:szCs w:val="18"/>
          <w:color w:val="auto"/>
        </w:rPr>
        <w:t>being named Vice President and General Manager of Brady’s U.S. Signmark Division in 1994. In 1999, Mr. Felmer moved to Europe where he led the European Signmark business for two years, then gained additional responsibility for the European direct marketing businesses, which he also led for two years. In 2003, Mr. Felmer returned to Milwaukee where he was responsible for Brady’s global sales and marketing processes, Brady Software businesses, and due diligence/integration of the EMED acquisition. In June 2004, he was appointed President-Direct Marketing Americas, and was named Chief Financial Officer in January 2008.</w:t>
      </w:r>
    </w:p>
    <w:p>
      <w:pPr>
        <w:spacing w:after="0" w:line="16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i w:val="1"/>
          <w:iCs w:val="1"/>
          <w:color w:val="auto"/>
        </w:rPr>
        <w:t>Aaron J. Pearce</w:t>
      </w:r>
      <w:r>
        <w:rPr>
          <w:rFonts w:ascii="Arial" w:cs="Arial" w:eastAsia="Arial" w:hAnsi="Arial"/>
          <w:sz w:val="17"/>
          <w:szCs w:val="17"/>
          <w:color w:val="auto"/>
        </w:rPr>
        <w:t>— Mr. Pearce joined the Company in 2004 as Director of Internal Audit. He then served as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for Brady’s Asia Pacific Region from June 2006 to September 2008. From September 2008 through December 2009, he served in the role of Global Tax Director. In January 2010, he took over the role of Treasurer and Director of Investor Relations. Prior to Brady, Mr. Pearce worked with Deloitte &amp; Touche LLP. He holds a bachelors degree in business administration from the University of Wisconsin-Milwaukee and is a certified public accountant.</w:t>
      </w:r>
    </w:p>
    <w:p>
      <w:pPr>
        <w:spacing w:after="0" w:line="13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Allan J. Klotsche </w:t>
      </w:r>
      <w:r>
        <w:rPr>
          <w:rFonts w:ascii="Arial" w:cs="Arial" w:eastAsia="Arial" w:hAnsi="Arial"/>
          <w:sz w:val="17"/>
          <w:szCs w:val="17"/>
          <w:color w:val="auto"/>
        </w:rPr>
        <w:t>— Mr. Klotsche joined the Company in 1989. He served in a variety of sales, marketing,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roles until 1998, when he was appointed V.P. and General Manager of the Precision Tapes Group. He was appointed to his current position as President — Brady Asia Pacific in April 2003. He is also responsible for Brady’s strategic account management. He holds an MBA from the University of Wisconsin-Milwaukee.</w:t>
      </w:r>
    </w:p>
    <w:p>
      <w:pPr>
        <w:spacing w:after="0" w:line="13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Peter C. Sephton </w:t>
      </w:r>
      <w:r>
        <w:rPr>
          <w:rFonts w:ascii="Arial" w:cs="Arial" w:eastAsia="Arial" w:hAnsi="Arial"/>
          <w:sz w:val="18"/>
          <w:szCs w:val="18"/>
          <w:color w:val="auto"/>
        </w:rPr>
        <w:t>— Mr. Sephton joined the Company in 1997 as Managing Director — Seton-U.K. From 2001 to 2003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managing director for Brady’s Identification Solutions Business in Europe. In April 2003, he was appointed to his current position, President-Brady Europe. Before joining Brady, he served in a variety of international managerial roles with Tate and Lyle Plc, Sutcliffe Speakman Plc and Morgan Crucible Plc. He is a graduate in accountancy and law from The University of Wales (UCC).</w:t>
      </w:r>
    </w:p>
    <w:p>
      <w:pPr>
        <w:spacing w:after="0" w:line="16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Matthew O. Williamson </w:t>
      </w:r>
      <w:r>
        <w:rPr>
          <w:rFonts w:ascii="Arial" w:cs="Arial" w:eastAsia="Arial" w:hAnsi="Arial"/>
          <w:sz w:val="17"/>
          <w:szCs w:val="17"/>
          <w:color w:val="auto"/>
        </w:rPr>
        <w:t>— Mr. Williamson joined the Company in 1979. From 1979 to 1994, he served in a variety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leadership roles. From 1995 to 2003, Mr. Williamson served as the V.P. and General Manager of Brady’s specialty tape and identification solution businesses.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region.</w:t>
      </w:r>
    </w:p>
    <w:p>
      <w:pPr>
        <w:sectPr>
          <w:pgSz w:w="11900" w:h="16838" w:orient="portrait"/>
          <w:cols w:equalWidth="0" w:num="1">
            <w:col w:w="10219"/>
          </w:cols>
          <w:pgMar w:left="240" w:top="419" w:right="1440" w:bottom="987"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87"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i w:val="1"/>
          <w:iCs w:val="1"/>
          <w:color w:val="auto"/>
        </w:rPr>
        <w:t xml:space="preserve">Robert L. Tatterson </w:t>
      </w:r>
      <w:r>
        <w:rPr>
          <w:rFonts w:ascii="Arial" w:cs="Arial" w:eastAsia="Arial" w:hAnsi="Arial"/>
          <w:sz w:val="16"/>
          <w:szCs w:val="16"/>
          <w:color w:val="auto"/>
        </w:rPr>
        <w:t>— Mr. Tatterson joined the Company in 2006 as Vice President and Chief Technology Officer. Before</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Brady, he held a variety of positions with increasing 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12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Bentley N. Curran </w:t>
      </w:r>
      <w:r>
        <w:rPr>
          <w:rFonts w:ascii="Arial" w:cs="Arial" w:eastAsia="Arial" w:hAnsi="Arial"/>
          <w:sz w:val="18"/>
          <w:szCs w:val="18"/>
          <w:color w:val="auto"/>
        </w:rPr>
        <w:t>— Mr. Curran joined the Company in 1999 as global information technology director charged with</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and deploying a common technology infrastructure. Prior to joining Brady, he held various management and consultant positions for Compucom and Speed Queen Company. He is a graduate of Marian University and holds a bachelor of business degree and an associate of science degree in electronics and engineering systems.</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Kathleen M. Johnson </w:t>
      </w:r>
      <w:r>
        <w:rPr>
          <w:rFonts w:ascii="Arial" w:cs="Arial" w:eastAsia="Arial" w:hAnsi="Arial"/>
          <w:sz w:val="17"/>
          <w:szCs w:val="17"/>
          <w:color w:val="auto"/>
        </w:rPr>
        <w:t>— Ms. Johnson joined the Company in 1989 as controller of a division of Brady and became group</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director in 1996. In 2000 she was appointed Vice President. In 2008 she was appointed Chief Accounting Officer. Prior to joining Brady, she spent six years with Kraft Food Service. She started her career as a CPA with Deloitte &amp; Touche LLP. She holds a bachelor’s degree in accounting from the University of Wisconsin-Whitewater.</w:t>
      </w:r>
    </w:p>
    <w:p>
      <w:pPr>
        <w:spacing w:after="0" w:line="13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Conrad G. Goodkind </w:t>
      </w:r>
      <w:r>
        <w:rPr>
          <w:rFonts w:ascii="Arial" w:cs="Arial" w:eastAsia="Arial" w:hAnsi="Arial"/>
          <w:sz w:val="16"/>
          <w:szCs w:val="16"/>
          <w:color w:val="auto"/>
        </w:rPr>
        <w:t>— Mr. Goodkind was elected to the Board of Directors in 2007. He currently serves as Brady’s Lead</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 He also serves as the Chair of the Corporate Governance Committee and as a member of the Finance Committee. He previously served as Secretary of the Company from 1999 to 2007. Mr. Goodkind was a partner in the law firm of Quarles &amp; Brady, LLP, where his practice concentrated in corporate and securities law from 1979 to 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provides the Board with expertise and insight into governance, business and compliance issues that the Company encounters.</w:t>
      </w:r>
    </w:p>
    <w:p>
      <w:pPr>
        <w:spacing w:after="0" w:line="13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Elizabeth Pungello, Ph. D </w:t>
      </w:r>
      <w:r>
        <w:rPr>
          <w:rFonts w:ascii="Arial" w:cs="Arial" w:eastAsia="Arial" w:hAnsi="Arial"/>
          <w:sz w:val="17"/>
          <w:szCs w:val="17"/>
          <w:color w:val="auto"/>
        </w:rPr>
        <w:t>— Dr. Pungello was elected to the Board of Directors in 2003. She serves as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Corporate Governance, and Technology Committees. Dr. Pungello is a Scientist at the Frank Porter Graham Development Institute, a Research Assistant Professor in the Developmental Psychology Program at the University of North Carolina at Chapel Hill, and Mentor Faculty at the Center for Developmental Science. She serves on the editorial board of the Journal of Marriage and Family and as a reviewer for several other journals. Dr. Pungello is the President of the Brady Education Foundation in Chapel Hill, N.C. and serves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4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Robert C. Buchanan </w:t>
      </w:r>
      <w:r>
        <w:rPr>
          <w:rFonts w:ascii="Arial" w:cs="Arial" w:eastAsia="Arial" w:hAnsi="Arial"/>
          <w:sz w:val="17"/>
          <w:szCs w:val="17"/>
          <w:color w:val="auto"/>
        </w:rPr>
        <w:t>— Mr. Buchanan was elected to the Board of Directors in 1987. He serves as the Chair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as a member of the Audit, Corporate Governance and Finance Committees. He is the retired non-executive chairman of the Fox Valley Corporation. He has significant experience serving on corporate boards including those of a national private life insurance company and a professional football team. His knowledge and experience in manufacturing, his skills in financial and compensation matters, and his extensive historical knowledge of the Company, provides the Board with expertise and insight. Mr. Buchanan will retire from the Company’s Board of Directors at the annual meeting in November 2010 pursuant to the Board’s mandatory retirement age.</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Frank W. Harris, Ph.D </w:t>
      </w:r>
      <w:r>
        <w:rPr>
          <w:rFonts w:ascii="Arial" w:cs="Arial" w:eastAsia="Arial" w:hAnsi="Arial"/>
          <w:sz w:val="18"/>
          <w:szCs w:val="18"/>
          <w:color w:val="auto"/>
        </w:rPr>
        <w:t>— Dr. Harris was elected to the Board of Directors in 1991. He serves as the Chair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Committee and as a member of the Corporate Governance Committee. He served as the Distinguished Professor of Polymer Science and Biomedical Engineering at the University of Akron from 1983 to 2008 and Professor of Chemistry at Wright State University from 1970 to 1983. He is the founder and president of several technology based companies including Akron Polymer Systems.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16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Chan W. Galbato </w:t>
      </w:r>
      <w:r>
        <w:rPr>
          <w:rFonts w:ascii="Arial" w:cs="Arial" w:eastAsia="Arial" w:hAnsi="Arial"/>
          <w:sz w:val="17"/>
          <w:szCs w:val="17"/>
          <w:color w:val="auto"/>
        </w:rPr>
        <w:t>— Mr. Galbato was elected to the Board of Directors in 2006. He serves as a member of the Audit,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Compensation Committees. He has extensive executive leadership experience including his current role as a senior operating executive with Cerberus Operations and Advisory Company, LLC. Mr. Galbato was President and CEO of the Controls division of Invensys plc. Prior to that, Mr. Galbato held positions as President of Services at The Home Depot, President and CEO of Armstrong Floor Products, CEO of Choice Parts LLC, and CEO of Coregis Insurance Company, a GE Capital company. Mr. Galbato is Chairman of the Board of Blue Bird Corporation and North American Bus Industries, Inc., Guilford Mills, Inc., and NewPage Corporation and is a member of the Board of Tower International, Inc. His public company leadership experience gives him insight into business strategy, leadership and executive compensation and his public company and private equity experience give him insight into technology trends, acquisition strategy and financing, each of which represents an area of key strategic opportunity for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Patrick W. Allender </w:t>
      </w:r>
      <w:r>
        <w:rPr>
          <w:rFonts w:ascii="Arial" w:cs="Arial" w:eastAsia="Arial" w:hAnsi="Arial"/>
          <w:sz w:val="18"/>
          <w:szCs w:val="18"/>
          <w:color w:val="auto"/>
        </w:rPr>
        <w:t>— Mr. Allender was elected to the Board of Directors in 2007. He serves as the Chair of the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as a member of the Audit and Compensation Committees. He served as Executive Vice President and CFO of Danaher Corporation from 1998 to 2005 and Executive Vice President from 2005 to 2007. Additionally, he served as principal auditor at Arthur Andersen LLC from 1968 to 1985. He has served as a director of Colfax Corporation since 2008. Mr. Allender previously served on the board of directors of Easco Hand Tools from 1988 to 1990. Mr. Allender’s strong background in finance and accounting, as well as his past experience as the CFO of other public companies, provides the Board with financial expertise and insight.</w:t>
      </w:r>
    </w:p>
    <w:p>
      <w:pPr>
        <w:spacing w:after="0" w:line="16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Bradley C. Richardson </w:t>
      </w:r>
      <w:r>
        <w:rPr>
          <w:rFonts w:ascii="Arial" w:cs="Arial" w:eastAsia="Arial" w:hAnsi="Arial"/>
          <w:sz w:val="17"/>
          <w:szCs w:val="17"/>
          <w:color w:val="auto"/>
        </w:rPr>
        <w:t>— Mr. Richardson was elected to the Board of Directors in 2007. He serves as the Chair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and is a member of the Finance Committee. He is the Executive Vice President and CFO of Diebold, Inc. He previously served as the Executive Vice President Corporate Strategy and CFO of Modine Manufacturing from 2003 to 2009. Prior to Modine, he spent 21 years with BP Amoco serving in various financial and operational roles with assignments in North America, South America, and Europe. Mr. Richardson has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Gary S. Balkema </w:t>
      </w:r>
      <w:r>
        <w:rPr>
          <w:rFonts w:ascii="Arial" w:cs="Arial" w:eastAsia="Arial" w:hAnsi="Arial"/>
          <w:sz w:val="18"/>
          <w:szCs w:val="18"/>
          <w:color w:val="auto"/>
        </w:rPr>
        <w:t>— Mr. Balkema was elected to the Board of Directors in 2010. Since 2000, he has been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Bayer Healthcare LLC and Worldwide Consumer Care Division, which has four billion dollars in sales and over 5,400 employees. He is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54"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Board Leadership Structure </w:t>
      </w:r>
      <w:r>
        <w:rPr>
          <w:rFonts w:ascii="Arial" w:cs="Arial" w:eastAsia="Arial" w:hAnsi="Arial"/>
          <w:sz w:val="16"/>
          <w:szCs w:val="16"/>
          <w:color w:val="auto"/>
        </w:rPr>
        <w:t>— The Board does not have a formal policy regarding the separation of the roles of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Chairman of the Board as the Board believes it is in the best interests of the Company to make that determination based on the position and direction of the Company and the membership of the Board. The Board currently has not appointed a Chairman of the Board. In fiscal 2010, the Board formalized the position of Lead Independent Director, which shall be elected on an annual basis from among the independent Directors of the Board based upon the recommendation of the Corporate Governance Committee. The duties of the Lead Independent Director include, among others, chairing executive sessions of the non-management Directors, meeting periodically with the Chief Executive Officer on current significant issues facing the Company, facilitating effective communication among the Chief Executive Officer and all members of the Board, and overseeing the Board’s shareholder communication policies and procedures. Mr. Goodkind, Chair of the Corporate Governance Committee, currently serves as the Lead Independent Director. The Board believes that its current leadership structure has enhanced the Board’s oversight of, and independence from, Company management; the ability of the Board to carry out its roles and responsibilities on behalf of our shareholders; and our overall corporate governance.</w:t>
      </w:r>
    </w:p>
    <w:p>
      <w:pPr>
        <w:spacing w:after="0" w:line="12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 The Board oversees the Company’s risk management processes directly and through its committees.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the Board oversees the 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2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expert is serving on its Audit Committee. Messrs. Richardson, Chair of the Audit Committee, and Allender and Galbato, members of the Audit Committee, are financial experts and are independent as that term is used in Item 7(d)(3)(iv) of Schedule 14A under the Exchange Act.</w:t>
      </w:r>
    </w:p>
    <w:p>
      <w:pPr>
        <w:spacing w:after="0" w:line="16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i w:val="1"/>
          <w:iCs w:val="1"/>
          <w:color w:val="auto"/>
        </w:rPr>
        <w:t xml:space="preserve">Director Independence </w:t>
      </w:r>
      <w:r>
        <w:rPr>
          <w:rFonts w:ascii="Arial" w:cs="Arial" w:eastAsia="Arial" w:hAnsi="Arial"/>
          <w:sz w:val="16"/>
          <w:szCs w:val="16"/>
          <w:color w:val="auto"/>
        </w:rPr>
        <w:t>— A majority of the directors must meet the criteria for independence established by the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rules of the 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Mr. Jaehnert, President and CEO, are deemed independent. All members of the Audit, Compensation, and Corporate Governance Committees are deemed independent.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Meetings of Non-management Directors </w:t>
      </w:r>
      <w:r>
        <w:rPr>
          <w:rFonts w:ascii="Arial" w:cs="Arial" w:eastAsia="Arial" w:hAnsi="Arial"/>
          <w:sz w:val="17"/>
          <w:szCs w:val="17"/>
          <w:color w:val="auto"/>
        </w:rPr>
        <w:t>— The non-management directors of the Board regularly meet alone without any</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management present. Mr. Goodkind, Lead Independent Director and Chair of Corporate Governance Committee, is the presiding Director at these sessions. In fiscal 2010, there were five executive sessions. Interested parties can raise concerns to be addressed at these meetings by calling the confidential Brady hotline at 1-800-368-3613.</w:t>
      </w:r>
    </w:p>
    <w:p>
      <w:pPr>
        <w:spacing w:after="0" w:line="144"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Audit Committee Members </w:t>
      </w:r>
      <w:r>
        <w:rPr>
          <w:rFonts w:ascii="Arial" w:cs="Arial" w:eastAsia="Arial" w:hAnsi="Arial"/>
          <w:sz w:val="17"/>
          <w:szCs w:val="17"/>
          <w:color w:val="auto"/>
        </w:rPr>
        <w:t>— The Audit Committee, which is a separately-designated standing committee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is composed of Mr. Richardson (Chairman), Mr. Buchanan, Mr. Galbato, and Mr. Allender. Each member of the Audit Committee has been determined by the Board to be independent under the rules of the SEC and NYSE. The charter for the Audit Committee is available on the Company’s corporate website at www.bradycorp.com.</w:t>
      </w:r>
    </w:p>
    <w:p>
      <w:pPr>
        <w:spacing w:after="0" w:line="13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 For a number of years, the Company has had a code of ethics for its employees. This code of ethics</w:t>
      </w:r>
      <w:r>
        <w:rPr>
          <w:rFonts w:ascii="Arial" w:cs="Arial" w:eastAsia="Arial" w:hAnsi="Arial"/>
          <w:sz w:val="18"/>
          <w:szCs w:val="18"/>
          <w:i w:val="1"/>
          <w:iCs w:val="1"/>
          <w:color w:val="auto"/>
        </w:rPr>
        <w:t xml:space="preserve"> </w:t>
      </w:r>
      <w:r>
        <w:rPr>
          <w:rFonts w:ascii="Arial" w:cs="Arial" w:eastAsia="Arial" w:hAnsi="Arial"/>
          <w:sz w:val="18"/>
          <w:szCs w:val="18"/>
          <w:color w:val="auto"/>
        </w:rPr>
        <w:t>applies to all of the Company’s 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5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Corporate Governance Committee, and Compensation Committee, are available on the Company’s Corporate website, www.bradycorp.com. Shareholders may request printed copies of these documents from Brady Corporation, Investor Relations, P.O. Box 571, Milwaukee, WI 53201.</w:t>
      </w:r>
    </w:p>
    <w:p>
      <w:pPr>
        <w:spacing w:after="0" w:line="16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as well as the 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12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2010, all Section 16(a) filing requirements applicable to its officers, directors and greater than 10 percent beneficial owners were complied with, other than with respect to the following:</w:t>
      </w:r>
    </w:p>
    <w:p>
      <w:pPr>
        <w:spacing w:after="0" w:line="146" w:lineRule="exact"/>
        <w:rPr>
          <w:sz w:val="20"/>
          <w:szCs w:val="20"/>
          <w:color w:val="auto"/>
        </w:rPr>
      </w:pPr>
    </w:p>
    <w:p>
      <w:pPr>
        <w:ind w:left="1420" w:right="559" w:hanging="345"/>
        <w:spacing w:after="0" w:line="277" w:lineRule="auto"/>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Peter Sephton’s Form 4 filing on September 21, 2009 contained one transaction made on September 15, 2009 that was inadvertently reported late.</w:t>
      </w:r>
    </w:p>
    <w:p>
      <w:pPr>
        <w:spacing w:after="0" w:line="102"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Director Robert Buchanan’s Form 4 filing on September 24, 2009 contained one transaction made on September 15, 2009 that was inadvertently reported late.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Compensation Discussion and Analysis explains the compensation philosophy, policies and practices of the Company with respect to its executives and management. The following information and analyses focuses primarily on the compensation provided to the Company’s principal executive officer, principal financial officer and its other three most highly compensated executives, who are collectively referred to in this section as the “named executive officers.” Brady’s named executive officers are Frank M. Jaehnert, President, Chief Executive Officer and Director; Thomas J. Felmer, Senior Vice President and Chief Financial Officer; Allan J. Klotsche, President — Brady Asia-Pacific and Vice President, Brady Corporation; Peter C. Sephton, President — Brady Europe and Vice President, Brady Corporation; and Matthew O. Williamson, President — Brady Americas and Vice President, Brady Corporation.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Compensation Overview and Philosophy</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executive compensation program is designed to attract and retain exceptional leadership talent and properly incentivize them to create a top-tier performance company by encouraging behaviors and actions that build long-term value for our shareholders. We have structured our compensation program around the following principles:</w:t>
      </w:r>
    </w:p>
    <w:p>
      <w:pPr>
        <w:spacing w:after="0" w:line="141" w:lineRule="exact"/>
        <w:rPr>
          <w:sz w:val="20"/>
          <w:szCs w:val="20"/>
          <w:color w:val="auto"/>
        </w:rPr>
      </w:pPr>
    </w:p>
    <w:p>
      <w:pPr>
        <w:ind w:left="1040" w:right="559" w:hanging="343"/>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 competitive total compensation package, an important component of an overall employee value proposition, to attract and retain exceptional leadership talent.</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Incentivize long-term shareholder value creation by encouraging behaviors to facilitate long-term success without undue risk taking.</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Reinforce top-tier company performance through a merit-based, pay-for-performance culture that is in-line with the Company’s values.</w:t>
      </w:r>
    </w:p>
    <w:p>
      <w:pPr>
        <w:spacing w:after="0" w:line="13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Compensation Committee of the Board of Directors is responsible for monitoring and approving the compensation of the Company’s named executive officers. In compliance with this responsibility, the Committee annually reviews the individual performance of these executives and approves any changes in their base salary, the payment of an annual cash incentive and grant of equity awards. The Committee periodically utilizes the services of an independent executive compensation consulting firm to assist with the review and evaluation of compensation levels and policies. Their expertise may also be utilized in modifying any existing or proposing any new compensation arrangements. During fiscal 2010, the Compensation Committee engaged the services of an independent compensation consultant; however, the total fees for the consultant’s services did not exceed $120,000. In addition to this professional advice, the Committee relies upon its collective judgment and other available competitive information and data in making executive compensation decisions. The Committee has avoided strict adherence to rigid guidelines or formulas when determining or modifying executive compensation.</w:t>
      </w:r>
    </w:p>
    <w:p>
      <w:pPr>
        <w:spacing w:after="0" w:line="14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order to successfully achieve our Company objectives, a combination of short-term and long-term incentives has been developed. The Compensation Committee believes a proper balance between these elements is necessary and should include a combination of cash and equity, with fixed and variable components (dependent upon Company financial performance). Our short-term incentive is in the form of cash, while the long-term incentive is equity based and includes performance-based and time-based stock options, along with performance-based restricted shares. We believe these programs are designed to specifically support the achievement of the Company’s profitability and sales goals. We also believe these programs further enhance the performance of the Company by providing effective tools to attract, retain, and motivate a group of highly skilled executives. This results in strong financial and operational performance, which supports the preservation and enhancement of shareholder value over time, without incurring undue risk to our shareholders.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Annually, senior management recommends a proposal to the Compensation Committee for compensation for each named executive officer, with the exception of Mr. Jaehnert, President and Chief Executive Officer, with respect to whom the Compensation Committee formulates and determines compensation. The Compensation Committee reviews the proposal for each officer and ultimately approves a compensation arrangement for them. The resulting approved compensation levels, including the President and Chief Executive Officer’s compensation, are then reported by the Compensation Committee to the full Board of Directors.</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Elements of Executive Compensation for Fiscal 2010</w:t>
      </w:r>
    </w:p>
    <w:p>
      <w:pPr>
        <w:spacing w:after="0" w:line="20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As noted above, it is the Compensation Committee’s philosophy that an executive compensation program should be used to promote both the short and long-term financial objectives of the Company, encourage the executives to act as owners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provide incentives that reward superior performance and provide financial consequences for underperformance.</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Compensation Committee is responsible for reviewing the overall level of compensation, as well as the various elements of compensation for each of the named executive officers. In addition to the specific process discussed below for base salaries, annual cash incentives and long-term equity compensation, the Compensation Committee reviews individual comprehensive “tally sheets” that include the annual cash and equity grants, along with all other benefits over a trailing four-year period.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Base Salary</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Individual performance and competitiveness in the market are key components in determining base salary and any changes in base salary. Nationally recognized compensation surveys utilizing all companies and industries in these surveys are obtained annually. The Compensation Committee also periodically utilizes the services of an outside consultant to assist in understanding the compensation levels in the market. A regression analysis is then performed by the Company’s Human Resources team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Further, the Compensation Committee has flexibility to increase base salaries above the median to retain or attract key employees whose performance merits higher base salaries, or to set base salary below the median where individuals are new to the job and performance is being evaluated. The Compensation Committee annually reviews base salaries to ensure, on the basis of responsibility and performance, that executive compensation is meeting the Compensation Committee’s principles. The determination of base salary also affects the annual bonus payout since an individual’s annual bonus target is expressed as a percentage of base salary.</w:t>
      </w:r>
    </w:p>
    <w:p>
      <w:pPr>
        <w:spacing w:after="0" w:line="134" w:lineRule="exact"/>
        <w:rPr>
          <w:sz w:val="20"/>
          <w:szCs w:val="20"/>
          <w:color w:val="auto"/>
        </w:rPr>
      </w:pPr>
    </w:p>
    <w:p>
      <w:pPr>
        <w:jc w:val="both"/>
        <w:ind w:left="340" w:right="559" w:firstLine="373"/>
        <w:spacing w:after="0" w:line="283" w:lineRule="auto"/>
        <w:rPr>
          <w:sz w:val="20"/>
          <w:szCs w:val="20"/>
          <w:color w:val="auto"/>
        </w:rPr>
      </w:pPr>
      <w:r>
        <w:rPr>
          <w:rFonts w:ascii="Arial" w:cs="Arial" w:eastAsia="Arial" w:hAnsi="Arial"/>
          <w:sz w:val="16"/>
          <w:szCs w:val="16"/>
          <w:color w:val="auto"/>
        </w:rPr>
        <w:t>In addition to the nationally recognized compensation surveys, the Compensation Committee has historically used peer group data for similar positions nationally to test the reasonableness and competitiveness of several components of compensation, including base salaries, annual incentives, and long term incentives by position. Due to the global economic conditions and the related volatility in executive compensation practices, a formal compensation benchmarking review of peer companies for named executive officers was not undertaken to determine fiscal 2010 compensation levels. The Compensation Committee also uses judgment to determine the appropriate level of base salary, which we believe reflects individual performance and responsibilities, and calibrates with the most recently available market compensation data. The peer group utilized in setting fiscal 2010 compensation levels included 29 companies that are in a similar industry with annual revenues up to approximately $5 billion: Actuant Corporation, Agilent Technologies, Inc., Alliant Techsystems Inc., AMETEK, Inc., Amphenol Corporation, Anixter International Inc., Barnes Group Inc., Bemis Company, Inc., Benchmark Electronics, Inc., Cooper Industries, Ltd., Donaldson Company, Inc., DRS Technologies, Inc., Energizer Holdings, Inc., Exide Technologies, Fastenal Company, Hubbell Incorporated, IDEX Corporation, Molex Incorporated, MSC Industrial Direct Company, Inc., Nordson Corporation, Pentair, Inc., Rogers Corporation, Roper Industries, Inc., SPX Corporation, Teleflex Incorporated, Thomas</w:t>
      </w:r>
    </w:p>
    <w:p>
      <w:pPr>
        <w:spacing w:after="0" w:line="3" w:lineRule="exact"/>
        <w:rPr>
          <w:sz w:val="20"/>
          <w:szCs w:val="20"/>
          <w:color w:val="auto"/>
        </w:rPr>
      </w:pPr>
    </w:p>
    <w:p>
      <w:pPr>
        <w:jc w:val="both"/>
        <w:ind w:left="340" w:right="559" w:hanging="8"/>
        <w:spacing w:after="0" w:line="268" w:lineRule="auto"/>
        <w:tabs>
          <w:tab w:leader="none" w:pos="5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Betts Corporation, Vishay Intertechnology, Inc., WESCO International, Inc., and Zebra Technologies Corporation. Included in this peer group is a smaller subset of 13 companies that have annual revenues of less than $2 billion to provide data for similar sized companies to Brady. This subset includes: Actuant Corporation, AMETEK, Inc., Barnes Group Inc., Donaldson Company, Inc., DRS Technologies, Inc., Fastenal Company, IDEX Corporation, MSC Industrial Direct Company, Inc., Nordson Corporation, Rogers Corporation, Roper Industries, Inc., Thomas &amp; Betts Corporation, and Zebra Technologies Corporation. This list may vary in the future due to changes in our business or the business of the companies utilized as peers. A total compensation benchmarking analysis of our industry and selected peer companies, which resulted in a modified listing of peer group companies, was recently conducted by an outside consultant and assisted the Compensation Committee in the review of fiscal 2011 compensation levels for the named executive officers.</w:t>
      </w:r>
    </w:p>
    <w:p>
      <w:pPr>
        <w:spacing w:after="0" w:line="14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Due to the impact of the global economic downturn on the Company’s financial performance, merit increases were cancelled in fiscal 2009. However, it was determined by the Compensation Committee that base salary merit increases would be reinstituted for fiscal 2010. As a result, merit increases for the named executive officers ranged from 3.0% to 6.2%.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Annual Cash Incentive Bonus</w:t>
      </w:r>
    </w:p>
    <w:p>
      <w:pPr>
        <w:spacing w:after="0" w:line="20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All named executive officers participate in an annual cash incentive plan. This plan has a short-term focus (one year) and is mainly based on the fiscal year financial results. Corporate earnings per share growth is a major component in each individual bonus plan. Other components include consolidated net organic sales growth, segment organic sales growth, segment profit, and working capital; each component is based on the individual’s role at either the corporate or segment level.</w:t>
      </w:r>
    </w:p>
    <w:p>
      <w:pPr>
        <w:spacing w:after="0" w:line="114"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As part of the annual review of compensation, the Compensation Committee takes into account total annual cash compensation in the marketplace as reflected in nationally recognized compensation surveys. Salary combined with annual target bonus levels that have been established as a percentage of salary are intended to approximate the median of the market total annual cash compensation, as defined in nationally recognized compensation surveys, provided that Brady performs at a level to pay out at 100% of the targeted annual incentive award. Brady’s actual annual bonus payouts will vary above or below the targeted amount based on the actual performance of the Company during the fiscal year. The payouts for the Company’s named executives can range from 0% to 250% of the target. The Compensation Committee expects management to propose ambitious targets. Any bonus payment above 100% of the target requires superior performance by the Company. In order to be eligible to receive a bonus payout, an employee must hold a position within the Company on the last day of the fiscal year.</w:t>
      </w:r>
    </w:p>
    <w:p>
      <w:pPr>
        <w:spacing w:after="0" w:line="12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Compensation Committee annually reviews the components of these plans, the required performance levels at each target payout level and the calculation of the individual bonus awards. Sales and net income must exceed the prior year in order for these components of the bonus plan to pay out.</w:t>
      </w:r>
    </w:p>
    <w:p>
      <w:pPr>
        <w:spacing w:after="0" w:line="15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individual incentive target amounts are set at a percentage of base salary and the target amounts are larger for individuals with greater levels of responsibility. The target bonus percentage for Mr. Jaehnert is 100% of his base salary, and for Messrs. Felmer, Klotsche, Sephton, and Williamson are 70% of their base salaries. The following table provides the components of the target bonus percentages.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Consolidated</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Segment Organic</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Segment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Net Organic</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Working</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Sales</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Profit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Target</w:t>
            </w:r>
          </w:p>
        </w:tc>
      </w:tr>
      <w:tr>
        <w:trPr>
          <w:trHeight w:val="234"/>
        </w:trPr>
        <w:tc>
          <w:tcPr>
            <w:tcW w:w="20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Sales Growth</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Growth</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Growth (1)</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3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Payout</w:t>
            </w:r>
          </w:p>
        </w:tc>
      </w:tr>
      <w:tr>
        <w:trPr>
          <w:trHeight w:val="20"/>
        </w:trPr>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Thomas J. Felmer</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Peter C. Sephton</w:t>
            </w: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bl>
    <w:p>
      <w:pPr>
        <w:spacing w:after="0" w:line="107" w:lineRule="exact"/>
        <w:rPr>
          <w:sz w:val="20"/>
          <w:szCs w:val="20"/>
          <w:color w:val="auto"/>
        </w:rPr>
      </w:pPr>
    </w:p>
    <w:p>
      <w:pPr>
        <w:ind w:left="680" w:right="559" w:hanging="348"/>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sales and profit for Messrs. Klotsche, Sephton, and Williamson are based on organic sales growth and profit for their respective segment.</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the fiscal year ended July 31, 2010, the Company paid the following annual cash incentive bonuses: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Bonus ($)</w:t>
            </w:r>
          </w:p>
        </w:tc>
        <w:tc>
          <w:tcPr>
            <w:tcW w:w="36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Salary %</w:t>
            </w:r>
          </w:p>
        </w:tc>
        <w:tc>
          <w:tcPr>
            <w:tcW w:w="180" w:type="dxa"/>
            <w:vAlign w:val="bottom"/>
          </w:tcPr>
          <w:p>
            <w:pPr>
              <w:spacing w:after="0"/>
              <w:rPr>
                <w:sz w:val="20"/>
                <w:szCs w:val="20"/>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1,193,891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Thomas J. Felmer</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369,481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359,027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Peter C. Sephton</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188,441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234,505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r>
      <w:tr>
        <w:trPr>
          <w:trHeight w:val="392"/>
        </w:trPr>
        <w:tc>
          <w:tcPr>
            <w:tcW w:w="6520" w:type="dxa"/>
            <w:vAlign w:val="bottom"/>
          </w:tcPr>
          <w:p>
            <w:pPr>
              <w:spacing w:after="0"/>
              <w:rPr>
                <w:sz w:val="20"/>
                <w:szCs w:val="20"/>
                <w:color w:val="auto"/>
              </w:rPr>
            </w:pPr>
            <w:r>
              <w:rPr>
                <w:rFonts w:ascii="Arial" w:cs="Arial" w:eastAsia="Arial" w:hAnsi="Arial"/>
                <w:sz w:val="18"/>
                <w:szCs w:val="18"/>
                <w:color w:val="auto"/>
                <w:w w:val="95"/>
              </w:rPr>
              <w:t>The 2010 allocation of the annual cash incentive bonuses by component is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Consolidated</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 Per</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Working</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Segment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Actual</w:t>
            </w: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Net Organic Sales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 (1)</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Organic Sales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Segment Profit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Payout</w:t>
            </w:r>
          </w:p>
        </w:tc>
      </w:tr>
      <w:tr>
        <w:trPr>
          <w:trHeight w:val="20"/>
        </w:trPr>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198.0%</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Thomas J. Felmer</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198.0%</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155.4%</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Peter C. Sephton</w:t>
            </w:r>
          </w:p>
        </w:tc>
        <w:tc>
          <w:tcPr>
            <w:tcW w:w="1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212.0%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80.4%</w:t>
            </w: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Matthew O.</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Williamson</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w:t>
            </w:r>
          </w:p>
        </w:tc>
      </w:tr>
    </w:tbl>
    <w:p>
      <w:pPr>
        <w:spacing w:after="0" w:line="10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Earnings per share as utilized in the individual bonus plans is calculated using a fixed amount of 53 million shares.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payouts in fiscal 2010 represent an achievement of 4.0% for the consolidated net organic sales growth target of 5.0%, 169.0% for the earnings per share growth target of 10.0%, 178.0% to 250.0% for the working capital targets, and 0.0% to 9.0% for the regional net organic sales growth targets and 17.0% to 206.0% for the regional segment profit growth targets for those named executive officers with regional responsibility.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Incentives: Long-term Incentive Compensation</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utilizes a combination of performance-based stock options, time-based stock options and performance-based restricted shares to attract, retain, and motivate key employees who directly impact the performance of the Company over a time frame of greater than one year. The combination of performance-based stock options, time-based stock options and performance-based restricted shares is used to provide a balance between annual Company performance and the generation of long-term shareholder value. Stock option based plans are influenced by Brady’s stock price, which directly affects the amount of compensation the executive receives upon vesting and exercising the options. The size and type of equity awards is determined by the Compensation Committee with periodic input from its outside consultant. A study by the Committee’s outside compensation consultant was recently conducted and assisted the Compensation Committee in the review of fiscal 2011 long-term incentive awards for the named executive officers.</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By unanimous written consent effective September 24, 2009, the holders of the Company’s Class B Common Stock approved the Brady Corporation 2010 Omnibus Incentive Stock Plan (the “2010 Omnibus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provided that after December 31, 2009, no further awards or grants will be made under the Company’s 2006 Omnibus Incentive Stock Plan.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Compensation Committee’s belief that performance-based stock options serve as an important motivator and required component of the Company’s overall compensation program resulted in a new three-year performance-based stock option plan being implemented for fiscal 2010. The performance criteria of this new plan establish minimum annual earnings per share growth targets as well as relative measure of the Company’s three year earnings per share growth compared to the S&amp;P SmallCap 600 Index. These options have a ten year-life and typically are granted on the first working day of the Company’s fiscal year.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Time-based stock option grants in fiscal 2010 were reviewed and approved by the Compensation Committee on September 9, 2009, with an effective grant date of September 25, 2009. The grant price was the fair market value of the stock on the grant date and was calculated by taking the average of the high and low stock price on that date. The time-based stock options generally vest one-third each year for the first three years and have a ten year life.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Periodically, the Company issues restricted stock grants to key executives as an element of their overall compensation. In January 2008, the Compensation Committee approved the issuance of performance restricted stock awards to six of Brady’s senior executives. A total of 210,000 restricted shares were issued and included both a performance vesting requirement (earnings per share) and a service vesting requirement (five years). No new shares were issued during fiscal 2009 or fiscal 2010. Effective August 2, 2010 (fiscal 2011), a grant of 100,000 shares of performance-based restricted stock was issued to Mr. Jaehnert and included both a performance vesting requirement (earnings per share) and a service vesting requirement (vesting ratably in years 3, 4, and 5).</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and Post-Employment Benefits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Benefits: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named executive officers receive the same basic benefits that are offered by the Company to other employees, including medical, dental, vision, disability and life insurance.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9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Brady employees (including named executive officers) in the United States and certain expatriate employees working for its international subsidiaries are eligible to participate in the Brady Corporation Matched 401(k) Plan (the “Employee 401(k) Plan”). In addition, named executive officers in the United States and employees at many of our USA locations are also eligible to participate in the Brady Corporation’s Funded Retirement Plan (“Funded Retirement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5% and have the amount of this reduction contributed to the Employee 401(k) Plan and matched by an additional 4% contribution by the Company. Participants may also elect to have up to another 45%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the Funded Retirement Plan.</w:t>
      </w:r>
    </w:p>
    <w:p>
      <w:pPr>
        <w:spacing w:after="0" w:line="13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 executives of their income above the IRS limits.</w:t>
      </w:r>
    </w:p>
    <w:p>
      <w:pPr>
        <w:spacing w:after="0" w:line="146"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two-year period of continuous service for the employee 401(k) Plan and after six years of continuous service for the Funded Retirement Plan.</w:t>
      </w:r>
    </w:p>
    <w:p>
      <w:pPr>
        <w:spacing w:after="0" w:line="15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Deferred Compensation Arrangements — During fiscal 2002, the Company adopted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15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Brady provides the named executive officers with the following perquisites that are not available to other non-executive employees:</w:t>
      </w:r>
    </w:p>
    <w:p>
      <w:pPr>
        <w:spacing w:after="0" w:line="130" w:lineRule="exact"/>
        <w:rPr>
          <w:sz w:val="20"/>
          <w:szCs w:val="20"/>
          <w:color w:val="auto"/>
        </w:rPr>
      </w:pPr>
    </w:p>
    <w:p>
      <w:pPr>
        <w:ind w:left="1420" w:hanging="345"/>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Enhanced long-term disability insurance</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Ownership Guidelines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guidelines have been established.</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Board of Directors has established the following stock ownership guidelines for our named executive officers: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2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7"/>
              </w:rPr>
              <w:t>100,000 shares</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Thomas J. Felmer</w:t>
            </w:r>
          </w:p>
        </w:tc>
        <w:tc>
          <w:tcPr>
            <w:tcW w:w="2220" w:type="dxa"/>
            <w:vAlign w:val="bottom"/>
          </w:tcPr>
          <w:p>
            <w:pPr>
              <w:jc w:val="center"/>
              <w:ind w:left="1030"/>
              <w:spacing w:after="0"/>
              <w:rPr>
                <w:sz w:val="20"/>
                <w:szCs w:val="20"/>
                <w:color w:val="auto"/>
              </w:rPr>
            </w:pPr>
            <w:r>
              <w:rPr>
                <w:rFonts w:ascii="Arial" w:cs="Arial" w:eastAsia="Arial" w:hAnsi="Arial"/>
                <w:sz w:val="18"/>
                <w:szCs w:val="18"/>
                <w:color w:val="auto"/>
                <w:w w:val="85"/>
              </w:rPr>
              <w:t>30,000 shares</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222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5"/>
              </w:rPr>
              <w:t>30,000 shares</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Peter C. Sephton</w:t>
            </w:r>
          </w:p>
        </w:tc>
        <w:tc>
          <w:tcPr>
            <w:tcW w:w="2220" w:type="dxa"/>
            <w:vAlign w:val="bottom"/>
          </w:tcPr>
          <w:p>
            <w:pPr>
              <w:jc w:val="center"/>
              <w:ind w:left="1030"/>
              <w:spacing w:after="0"/>
              <w:rPr>
                <w:sz w:val="20"/>
                <w:szCs w:val="20"/>
                <w:color w:val="auto"/>
              </w:rPr>
            </w:pPr>
            <w:r>
              <w:rPr>
                <w:rFonts w:ascii="Arial" w:cs="Arial" w:eastAsia="Arial" w:hAnsi="Arial"/>
                <w:sz w:val="18"/>
                <w:szCs w:val="18"/>
                <w:color w:val="auto"/>
                <w:w w:val="85"/>
              </w:rPr>
              <w:t>30,000 shares</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22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5"/>
              </w:rPr>
              <w:t>30,000 shares</w:t>
            </w:r>
          </w:p>
        </w:tc>
      </w:tr>
      <w:tr>
        <w:trPr>
          <w:trHeight w:val="392"/>
        </w:trPr>
        <w:tc>
          <w:tcPr>
            <w:tcW w:w="7100" w:type="dxa"/>
            <w:vAlign w:val="bottom"/>
          </w:tcPr>
          <w:p>
            <w:pPr>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2220" w:type="dxa"/>
            <w:vAlign w:val="bottom"/>
          </w:tcPr>
          <w:p>
            <w:pPr>
              <w:spacing w:after="0"/>
              <w:rPr>
                <w:sz w:val="24"/>
                <w:szCs w:val="24"/>
                <w:color w:val="auto"/>
              </w:rPr>
            </w:pPr>
          </w:p>
        </w:tc>
      </w:tr>
    </w:tbl>
    <w:p>
      <w:pPr>
        <w:spacing w:after="0" w:line="17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Company’s CEO complied with these ownership levels in 2010. Named executive officers other than the Company’s CEO have until fiscal year 2013 to achieve these ownership levels. If an executive does not meet the above ownership level or certain interim levels, the Compensation Committee may direct that the executive’s after-tax payout on any incentive plans will be in Class A Nonvoting Common Stock to bring the executive up to the required level. The Compensation Committee reviews the actual stock ownership levels of each of the named executive officers on an annual basis to ensure the guidelines are met.</w:t>
      </w:r>
    </w:p>
    <w:p>
      <w:pPr>
        <w:spacing w:after="0" w:line="11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For purposes of determining whether an executive meets the required ownership level, Company stock owned outright, Company stock held in the Executive Deferred Compensation Plan and Company stock owned in the Employee 401(k) Plan or pension plan is included. In addition, twenty percent of any vested stock options that are “in the money” are included.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Board of Directors of Brady Corporation approved change of control agreements for certain executive officers of the Company, including all the named executive officers. The agreements applicable to all of the named executive officers other than Mr. Jaehnert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provides for reimbursement of any excise taxes imposed and up to $25,000 of attorney fees to enforce the executive’s rights under the agreement. Payments under the agreement will be spread over two years.</w:t>
      </w:r>
    </w:p>
    <w:p>
      <w:pPr>
        <w:spacing w:after="0" w:line="14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applicable to Mr. Jaehnert provides a payment of an amount equal to three times his annual base salary and three times the average bonus payment received in the three years immediately prior to the date the change of control occurs in the event of termination or resignation upon a change of control. The agreement also provides for reimbursement of any excise taxes imposed and up to $25,000 of attorney fees to enforce the executive’s rights under the agreement. Payments under the agreement will be spread over three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20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Section 162(m) of the Internal Revenue Code, added by the Omnibus Budget Reconciliation Act of 1993, generally disallows a tax deduction to public companies for compensation over $1 million paid to the Company’s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During fiscal 2010, the Board’s Compensation Committee was composed of board members Allender, Buchanan, Galbato, Jarc, Pungello and Nei.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the Company’s annual report on Form 10-K.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C. Buchanan, Chairman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Patrick W. Allender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Elizabeth Pungello</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Policies and Practices</w:t>
      </w:r>
    </w:p>
    <w:p>
      <w:pPr>
        <w:spacing w:after="0" w:line="189"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The Company’s compensation policies and practices were evaluated to ensure that they do not foster risk taking above the level of risk associated with the Company’s business model. The Company has also reviewed its compensation policies and practices and determined they will not create risk that is reasonably likely to have a material adverse effect on the Company.</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2010 for services rendered to the Company and its subsidiaries during the fiscal years ended July 31, 2010, July 31, 2009 and July 31, 2008.</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Restricted</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Incentive Plan</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All Other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Fiscal</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Awards</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Awards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c>
          <w:tcPr>
            <w:tcW w:w="8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Name And Principal Position</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768,269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1,868,047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1,193,891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3,957,797</w:t>
            </w: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President &amp; Chief Executive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750,000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389,421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179,761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1,319,182</w:t>
            </w:r>
          </w:p>
        </w:tc>
      </w:tr>
      <w:tr>
        <w:trPr>
          <w:trHeight w:val="216"/>
        </w:trPr>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723,077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703,554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3,860,545</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2010</w:t>
            </w:r>
          </w:p>
        </w:tc>
        <w:tc>
          <w:tcPr>
            <w:tcW w:w="8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339,659</w:t>
            </w:r>
          </w:p>
        </w:tc>
        <w:tc>
          <w:tcPr>
            <w:tcW w:w="11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833,224</w:t>
            </w: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369,481</w:t>
            </w: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65,242</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1,607,606</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318,269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194,710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65,322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578,301</w:t>
            </w: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2008</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293,269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1,149,050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319,500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98,128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64,055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1,924,002</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297,417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833,224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359,027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51,275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1,540,943</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3"/>
              </w:rPr>
              <w:t>President — Brady Asia Pacific</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290,000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194,710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547,922</w:t>
            </w:r>
          </w:p>
        </w:tc>
      </w:tr>
      <w:tr>
        <w:trPr>
          <w:trHeight w:val="216"/>
        </w:trPr>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285,962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1,149,050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319,500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128,411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1,936,228</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P.C. Sephton(4)</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2010</w:t>
            </w:r>
          </w:p>
        </w:tc>
        <w:tc>
          <w:tcPr>
            <w:tcW w:w="8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334,827</w:t>
            </w:r>
          </w:p>
        </w:tc>
        <w:tc>
          <w:tcPr>
            <w:tcW w:w="11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833,224</w:t>
            </w: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188,441</w:t>
            </w: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172,373</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1,528,865</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President — Brady Europe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2009</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325,710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194,710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86,787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607,207</w:t>
            </w:r>
          </w:p>
        </w:tc>
      </w:tr>
      <w:tr>
        <w:trPr>
          <w:trHeight w:val="230"/>
        </w:trPr>
        <w:tc>
          <w:tcPr>
            <w:tcW w:w="236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2008</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399,920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1,149,050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319,500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314,097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103,042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2,285,609</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 O. Williamson</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343,244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833,224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234,505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53,695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1,464,668</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Americas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326,843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194,710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586,818</w:t>
            </w:r>
          </w:p>
        </w:tc>
      </w:tr>
      <w:tr>
        <w:trPr>
          <w:trHeight w:val="216"/>
        </w:trPr>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299,615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1,149,050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319,500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69,160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2,020,735</w:t>
            </w:r>
          </w:p>
        </w:tc>
      </w:tr>
    </w:tbl>
    <w:p>
      <w:pPr>
        <w:spacing w:after="0" w:line="107" w:lineRule="exact"/>
        <w:rPr>
          <w:sz w:val="20"/>
          <w:szCs w:val="20"/>
          <w:color w:val="auto"/>
        </w:rPr>
      </w:pPr>
    </w:p>
    <w:p>
      <w:pPr>
        <w:jc w:val="both"/>
        <w:ind w:left="680" w:right="559" w:hanging="348"/>
        <w:spacing w:after="0" w:line="288"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accounting guidance for equity grants made or modified in the applicable year for performance-based stock options and time-based stock options. With respect to restricted stock awards, the grant date fair value is calculated based on the number of shares of Common Stock underlying the restricted stock awards, times the average of the high and low sale prices of Brady Common Stock on the date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2010. The actual value of a restricted stock award will depend on the market value of the Company’s Common Stock on the date the stock is sold.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20" w:lineRule="exact"/>
        <w:rPr>
          <w:rFonts w:ascii="Arial" w:cs="Arial" w:eastAsia="Arial" w:hAnsi="Arial"/>
          <w:sz w:val="16"/>
          <w:szCs w:val="16"/>
          <w:color w:val="auto"/>
        </w:rPr>
      </w:pPr>
    </w:p>
    <w:p>
      <w:pPr>
        <w:ind w:left="680" w:hanging="348"/>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incentive plan compensation earned during the listed fiscal years, which was paid during the next fiscal year.</w:t>
      </w:r>
    </w:p>
    <w:p>
      <w:pPr>
        <w:spacing w:after="0" w:line="88" w:lineRule="exact"/>
        <w:rPr>
          <w:rFonts w:ascii="Arial" w:cs="Arial" w:eastAsia="Arial" w:hAnsi="Arial"/>
          <w:sz w:val="17"/>
          <w:szCs w:val="17"/>
          <w:color w:val="auto"/>
        </w:rPr>
      </w:pPr>
    </w:p>
    <w:p>
      <w:pPr>
        <w:jc w:val="both"/>
        <w:ind w:left="680" w:right="559" w:hanging="348"/>
        <w:spacing w:after="0" w:line="272"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amounts in this column for Messrs. Jaehnert, Felmer, Klotsche,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the cost of disability insurance, and other perquisites. The perquisites may include an annual allowance for financial and tax planning and the cost of an annual physical health exam. The amounts in this column for Mr. Sephton include: contributions for the Brady U.K. Pension Plan, the cost of group term life insurance, vehicle allowance and associated expenses and other perquisites as listed above.</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Retirement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Group Term</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Long-term</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Personal</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Temporary/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Care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Liability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Fiscal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Contributions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Insurance</w:t>
            </w:r>
          </w:p>
        </w:tc>
        <w:tc>
          <w:tcPr>
            <w:tcW w:w="8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Car</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Insurance</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Disability</w:t>
            </w:r>
          </w:p>
        </w:tc>
        <w:tc>
          <w:tcPr>
            <w:tcW w:w="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34"/>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61,923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3,042</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28,070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127,590</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116,284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3,042</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27,698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179,761</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3,042</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26,129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153,414</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2010</w:t>
            </w:r>
          </w:p>
        </w:tc>
        <w:tc>
          <w:tcPr>
            <w:tcW w:w="12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27,157</w:t>
            </w: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713</w:t>
            </w:r>
          </w:p>
        </w:tc>
        <w:tc>
          <w:tcPr>
            <w:tcW w:w="8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29,995</w:t>
            </w:r>
          </w:p>
        </w:tc>
        <w:tc>
          <w:tcPr>
            <w:tcW w:w="9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3,737</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3,640</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65,242</w:t>
            </w:r>
          </w:p>
        </w:tc>
      </w:tr>
      <w:tr>
        <w:trPr>
          <w:trHeight w:val="216"/>
        </w:trPr>
        <w:tc>
          <w:tcPr>
            <w:tcW w:w="12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2009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32,528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26,401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4,863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65,322</w:t>
            </w:r>
          </w:p>
        </w:tc>
      </w:tr>
      <w:tr>
        <w:trPr>
          <w:trHeight w:val="230"/>
        </w:trPr>
        <w:tc>
          <w:tcPr>
            <w:tcW w:w="122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2008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37,434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20,380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64,055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 J. Klotsche</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19,455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51,275</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33,525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20,033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63,212</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24,519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53,305</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2"/>
              </w:rPr>
              <w:t>P.C. Sephton(4)</w:t>
            </w:r>
          </w:p>
        </w:tc>
        <w:tc>
          <w:tcPr>
            <w:tcW w:w="6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2010</w:t>
            </w:r>
          </w:p>
        </w:tc>
        <w:tc>
          <w:tcPr>
            <w:tcW w:w="12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138,734</w:t>
            </w: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2,695</w:t>
            </w:r>
          </w:p>
        </w:tc>
        <w:tc>
          <w:tcPr>
            <w:tcW w:w="8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30,944</w:t>
            </w:r>
          </w:p>
        </w:tc>
        <w:tc>
          <w:tcPr>
            <w:tcW w:w="9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8"/>
              </w:rPr>
              <w:t>172,373</w:t>
            </w:r>
          </w:p>
        </w:tc>
      </w:tr>
      <w:tr>
        <w:trPr>
          <w:trHeight w:val="216"/>
        </w:trPr>
        <w:tc>
          <w:tcPr>
            <w:tcW w:w="12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2009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52,114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1,749</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32,924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86,787</w:t>
            </w:r>
          </w:p>
        </w:tc>
      </w:tr>
      <w:tr>
        <w:trPr>
          <w:trHeight w:val="230"/>
        </w:trPr>
        <w:tc>
          <w:tcPr>
            <w:tcW w:w="122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2008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63,987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2,308</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36,747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103,042</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 O.</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Williamson</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27,648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16,422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53,695</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40,038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18,309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65,265</w:t>
            </w:r>
          </w:p>
        </w:tc>
      </w:tr>
      <w:tr>
        <w:trPr>
          <w:trHeight w:val="216"/>
        </w:trPr>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42,241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21,280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69,160</w:t>
            </w:r>
          </w:p>
        </w:tc>
      </w:tr>
    </w:tbl>
    <w:p>
      <w:pPr>
        <w:spacing w:after="0" w:line="107" w:lineRule="exact"/>
        <w:rPr>
          <w:sz w:val="20"/>
          <w:szCs w:val="20"/>
          <w:color w:val="auto"/>
        </w:rPr>
      </w:pPr>
    </w:p>
    <w:p>
      <w:pPr>
        <w:jc w:val="both"/>
        <w:ind w:left="680" w:right="559" w:hanging="348"/>
        <w:spacing w:after="0" w:line="26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2010: $1 = £0.6358, fiscal 2009: $1 = £0.6294, fiscal 2008: $1 = £0.5001.</w:t>
      </w:r>
    </w:p>
    <w:p>
      <w:pPr>
        <w:sectPr>
          <w:pgSz w:w="11900" w:h="16838" w:orient="portrait"/>
          <w:cols w:equalWidth="0" w:num="1">
            <w:col w:w="10219"/>
          </w:cols>
          <w:pgMar w:left="240" w:top="419" w:right="1440" w:bottom="231" w:gutter="0" w:footer="0" w:header="0"/>
        </w:sectPr>
      </w:pPr>
    </w:p>
    <w:bookmarkStart w:id="80" w:name="page81"/>
    <w:bookmarkEnd w:id="80"/>
    <w:p>
      <w:pPr>
        <w:ind w:left="370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Plan-Based Awards for 2010</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grants of plan-based awards made during fiscal 2010 to the named executive officers.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All 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Awards;</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or Base</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Price of</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Date Fair</w:t>
            </w: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Compen-</w:t>
            </w:r>
          </w:p>
        </w:tc>
        <w:tc>
          <w:tcPr>
            <w:tcW w:w="33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Estimated Future Payouts Under</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or</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sation</w:t>
            </w:r>
          </w:p>
        </w:tc>
        <w:tc>
          <w:tcPr>
            <w:tcW w:w="33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Non-Equity Incentive Plan Awards</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Under-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Stock and</w:t>
            </w:r>
          </w:p>
        </w:tc>
      </w:tr>
      <w:tr>
        <w:trPr>
          <w:trHeight w:val="234"/>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Committee</w:t>
            </w: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lying</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r>
      <w:tr>
        <w:trPr>
          <w:trHeight w:val="191"/>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Grant</w:t>
            </w:r>
          </w:p>
        </w:tc>
        <w:tc>
          <w:tcPr>
            <w:tcW w:w="10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Approval</w:t>
            </w:r>
          </w:p>
        </w:tc>
        <w:tc>
          <w:tcPr>
            <w:tcW w:w="11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87"/>
              </w:rPr>
              <w:t>Threshold</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6"/>
                <w:szCs w:val="16"/>
                <w:color w:val="auto"/>
              </w:rPr>
            </w:pPr>
          </w:p>
        </w:tc>
        <w:tc>
          <w:tcPr>
            <w:tcW w:w="10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Options</w:t>
            </w:r>
          </w:p>
        </w:tc>
        <w:tc>
          <w:tcPr>
            <w:tcW w:w="86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88"/>
              </w:rPr>
              <w:t>($/Share)</w:t>
            </w:r>
          </w:p>
        </w:tc>
        <w:tc>
          <w:tcPr>
            <w:tcW w:w="86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2"/>
              </w:rPr>
              <w:t>Awards</w:t>
            </w:r>
          </w:p>
        </w:tc>
      </w:tr>
      <w:tr>
        <w:trPr>
          <w:trHeight w:val="234"/>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xml:space="preserve">Target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 &amp;(3) (#)</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r>
      <w:tr>
        <w:trPr>
          <w:trHeight w:val="210"/>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9"/>
              </w:rPr>
              <w:t>F.M. Jaehnert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768,269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1,920,673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1,142,400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9/25/2009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624,400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2/17/2010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101,247</w:t>
            </w:r>
          </w:p>
        </w:tc>
      </w:tr>
      <w:tr>
        <w:trPr>
          <w:trHeight w:val="202"/>
        </w:trPr>
        <w:tc>
          <w:tcPr>
            <w:tcW w:w="112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8/1/2009</w:t>
            </w: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7/20/2009</w:t>
            </w:r>
          </w:p>
        </w:tc>
        <w:tc>
          <w:tcPr>
            <w:tcW w:w="11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237,761</w:t>
            </w:r>
          </w:p>
        </w:tc>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594,402</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8/3/2009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470,400</w:t>
            </w:r>
          </w:p>
        </w:tc>
      </w:tr>
      <w:tr>
        <w:trPr>
          <w:trHeight w:val="216"/>
        </w:trPr>
        <w:tc>
          <w:tcPr>
            <w:tcW w:w="1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9/25/2009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9/9/2009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28.73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312,200</w:t>
            </w:r>
          </w:p>
        </w:tc>
      </w:tr>
      <w:tr>
        <w:trPr>
          <w:trHeight w:val="230"/>
        </w:trPr>
        <w:tc>
          <w:tcPr>
            <w:tcW w:w="1120" w:type="dxa"/>
            <w:vAlign w:val="bottom"/>
          </w:tcPr>
          <w:p>
            <w:pPr>
              <w:spacing w:after="0"/>
              <w:rPr>
                <w:sz w:val="20"/>
                <w:szCs w:val="20"/>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8/1/2005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2/17/2010</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50,624</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8/1/2008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208,192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520,480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470,400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9/25/2009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2/17/2010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50,624</w:t>
            </w:r>
          </w:p>
        </w:tc>
      </w:tr>
      <w:tr>
        <w:trPr>
          <w:trHeight w:val="202"/>
        </w:trPr>
        <w:tc>
          <w:tcPr>
            <w:tcW w:w="1120" w:type="dxa"/>
            <w:vAlign w:val="bottom"/>
          </w:tcPr>
          <w:p>
            <w:pPr>
              <w:spacing w:after="0" w:line="201" w:lineRule="exact"/>
              <w:rPr>
                <w:sz w:val="20"/>
                <w:szCs w:val="20"/>
                <w:color w:val="auto"/>
              </w:rPr>
            </w:pPr>
            <w:r>
              <w:rPr>
                <w:rFonts w:ascii="Arial" w:cs="Arial" w:eastAsia="Arial" w:hAnsi="Arial"/>
                <w:sz w:val="18"/>
                <w:szCs w:val="18"/>
                <w:color w:val="auto"/>
              </w:rPr>
              <w:t>P.C. Sephton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8/1/2009</w:t>
            </w: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7/20/2009</w:t>
            </w:r>
          </w:p>
        </w:tc>
        <w:tc>
          <w:tcPr>
            <w:tcW w:w="11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234,379</w:t>
            </w:r>
          </w:p>
        </w:tc>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585,947</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8/3/2009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470,400</w:t>
            </w:r>
          </w:p>
        </w:tc>
      </w:tr>
      <w:tr>
        <w:trPr>
          <w:trHeight w:val="216"/>
        </w:trPr>
        <w:tc>
          <w:tcPr>
            <w:tcW w:w="11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9/25/2009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9/9/2009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28.73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312,200</w:t>
            </w:r>
          </w:p>
        </w:tc>
      </w:tr>
      <w:tr>
        <w:trPr>
          <w:trHeight w:val="230"/>
        </w:trPr>
        <w:tc>
          <w:tcPr>
            <w:tcW w:w="1120" w:type="dxa"/>
            <w:vAlign w:val="bottom"/>
          </w:tcPr>
          <w:p>
            <w:pPr>
              <w:spacing w:after="0"/>
              <w:rPr>
                <w:sz w:val="20"/>
                <w:szCs w:val="20"/>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8/1/2005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2/17/2010</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50,624</w:t>
            </w:r>
          </w:p>
        </w:tc>
      </w:tr>
      <w:tr>
        <w:trPr>
          <w:trHeight w:val="202"/>
        </w:trPr>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Williamson</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240,271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600,677</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470,400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9/25/2009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312,200</w:t>
            </w:r>
          </w:p>
        </w:tc>
      </w:tr>
      <w:tr>
        <w:trPr>
          <w:trHeight w:val="216"/>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2/17/2010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50,624</w:t>
            </w:r>
          </w:p>
        </w:tc>
      </w:tr>
    </w:tbl>
    <w:p>
      <w:pPr>
        <w:spacing w:after="0" w:line="107" w:lineRule="exact"/>
        <w:rPr>
          <w:sz w:val="20"/>
          <w:szCs w:val="20"/>
          <w:color w:val="auto"/>
        </w:rPr>
      </w:pPr>
    </w:p>
    <w:p>
      <w:pPr>
        <w:jc w:val="both"/>
        <w:ind w:left="680" w:right="559" w:hanging="348"/>
        <w:spacing w:after="0" w:line="26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awards were made under the Company’s annual cash incentive plan. The structure of the plan is described in Compensation Discussion and Analysis above. Award levels are set prior to the beginning of the fiscal year and payouts can range from 0% to 250% of the target.</w:t>
      </w:r>
    </w:p>
    <w:p>
      <w:pPr>
        <w:spacing w:after="0" w:line="32" w:lineRule="exact"/>
        <w:rPr>
          <w:rFonts w:ascii="Arial" w:cs="Arial" w:eastAsia="Arial" w:hAnsi="Arial"/>
          <w:sz w:val="18"/>
          <w:szCs w:val="18"/>
          <w:color w:val="auto"/>
        </w:rPr>
      </w:pPr>
    </w:p>
    <w:p>
      <w:pPr>
        <w:jc w:val="both"/>
        <w:ind w:left="680" w:right="559" w:hanging="348"/>
        <w:spacing w:after="0" w:line="273"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 February 17, 2010, the Compensation Committee of the Board of Directors of the Company approved an amendment to the granting agreement under which the Company issued performance-based stock options on August 1, 2005. Pursuant to the amendment, the exercise period for the performance-based stock options was extended to ten years from five years. Also, the amendment provided that during the extension period, executives may exercise the performance-based stock options following a termination only if the termination is as a result of the executive’s death or disability or qualifies as a retirement. The modification value is the incremental fair value as of the modification date.</w:t>
      </w:r>
    </w:p>
    <w:p>
      <w:pPr>
        <w:spacing w:after="0" w:line="29" w:lineRule="exact"/>
        <w:rPr>
          <w:rFonts w:ascii="Arial" w:cs="Arial" w:eastAsia="Arial" w:hAnsi="Arial"/>
          <w:sz w:val="17"/>
          <w:szCs w:val="17"/>
          <w:color w:val="auto"/>
        </w:rPr>
      </w:pPr>
    </w:p>
    <w:p>
      <w:pPr>
        <w:jc w:val="both"/>
        <w:ind w:left="680" w:right="559" w:hanging="348"/>
        <w:spacing w:after="0" w:line="25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performance-based stock options granted on August 3, 2009 become exercisable as follows: Two-thirds of the shares vest in equal annual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Corporation’s EPS growth for fiscal 2012 over fiscal 2008 in comparison with other corporations in the S&amp;P 600 Index. The time-based stock options granted on September 25, 2009 become exercisable as follows: one-third of the shares on September 25, 2010, one-third of the shares on September 25, 2011 and one-third of the shares on September 25, 2012. These options have a term of ten years and were calculated using the grant date fair value.</w:t>
      </w:r>
    </w:p>
    <w:p>
      <w:pPr>
        <w:spacing w:after="0" w:line="43"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is the average of the high and low sale prices of the Company’s Class A Common Stock as reported by the New York Stock Exchange on the date of the grant. The closing prices of the Company’s Class A Common Stock as reported by the New York Stock Exchange on the dates of the grants was $29.78 per share on August 3, 2009 and $28.73 on September 25,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Outstanding Equity Awards at 2010 Fiscal Year End</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Option Awards (1)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Equity Incentive</w:t>
            </w: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Price</w:t>
            </w: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Expiration Date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F.M. Jaehnert</w:t>
            </w:r>
          </w:p>
        </w:tc>
        <w:tc>
          <w:tcPr>
            <w:tcW w:w="94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14.1575</w:t>
            </w: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10/24/2010</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16.0000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10/16/2011</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16.3875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11/14/2012</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13.3100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2/24/2013</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17.3250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22.6325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28.8425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33.8900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37.8300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38.1900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33,334</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16,666(2)</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38.3100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33,333(3)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20.9500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127,500(5)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29.7800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70,000(6)</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28.7300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50,000(4)</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1,390,500</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T.J. Felmer</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14.1575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10/24/2010</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16.0000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10/16/2011</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16.3875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11/14/2012</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17.3250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22.6325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28.8425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33.8900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37.8300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38.1900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38.3100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8,334</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16,666(3)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20.9500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52,500(5)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29.7800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35,000(6)</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28.7300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35,000(4)</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973,350</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 J. Klotsche</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14.1575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10/24/2010</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16.0000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10/16/2011</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16.3875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11/14/2012</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17.3250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22.6325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28.8425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33.8900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37.8300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38.1900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38.3100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8,334</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16,666(3)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20.9500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52,500(5)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29.7800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35,000(6)</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28.7300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35,000(4)</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973,350</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P.C. Sephton</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17.3250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22.6325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28.8425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33.8900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37.8300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38.1900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38.3100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8,334</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16,666(3)</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20.9500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52,500(5)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29.7800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35,000(6)</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28.7300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35,000(4)</w:t>
            </w: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973,350</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 Williamson</w:t>
            </w: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16.3875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11/14/2012</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17.3250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22.6325</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28.8425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33.8900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37.8300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38.1900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38.3100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8,334</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16,666(3)</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20.9500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52,500(5)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29.7800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35,000(6)</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28.7300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35,000(4)</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973,350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hanging="348"/>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vest on December 4, 2010.</w:t>
      </w:r>
    </w:p>
    <w:p>
      <w:pPr>
        <w:spacing w:after="0" w:line="76"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One-third of the options vested on December 4, 2009, one-third of the options vest on December 4, 2010 and one-third of the options vest on December 4, 2011.</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vest on January 8, 2013, subject to meeting performance criteria.</w:t>
      </w:r>
    </w:p>
    <w:p>
      <w:pPr>
        <w:spacing w:after="0" w:line="76" w:lineRule="exact"/>
        <w:rPr>
          <w:rFonts w:ascii="Arial" w:cs="Arial" w:eastAsia="Arial" w:hAnsi="Arial"/>
          <w:sz w:val="18"/>
          <w:szCs w:val="18"/>
          <w:color w:val="auto"/>
        </w:rPr>
      </w:pPr>
    </w:p>
    <w:p>
      <w:pPr>
        <w:jc w:val="both"/>
        <w:ind w:left="680" w:right="559" w:hanging="348"/>
        <w:spacing w:after="0" w:line="279"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Two-thirds of the shares vest in equal annual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Corporation’s EPS growth for fiscal 2012 over fiscal 2008 in comparison with other corporations in the S&amp;P 600 Index.</w:t>
      </w:r>
    </w:p>
    <w:p>
      <w:pPr>
        <w:spacing w:after="0" w:line="22"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One-third of the options vest on September 25, 2010, one-third of the options vest on September 25, 2011 and one-third of the options vest on September 25, 2012.</w:t>
      </w:r>
    </w:p>
    <w:p>
      <w:pPr>
        <w:sectPr>
          <w:pgSz w:w="11900" w:h="16838" w:orient="portrait"/>
          <w:cols w:equalWidth="0" w:num="1">
            <w:col w:w="10219"/>
          </w:cols>
          <w:pgMar w:left="240" w:top="419" w:right="1440" w:bottom="5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Exercises for Fiscal 2010</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option exercises completed during fiscal 2010 to the named executive officers.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Option Awards</w:t>
            </w:r>
          </w:p>
        </w:tc>
      </w:tr>
      <w:tr>
        <w:trPr>
          <w:trHeight w:val="191"/>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88"/>
              </w:rPr>
              <w:t>Number of Shares</w:t>
            </w: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Acquired on</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Value Realized</w:t>
            </w:r>
          </w:p>
        </w:tc>
      </w:t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Exercise (#)</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 xml:space="preserve">on Exercise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r>
      <w:tr>
        <w:trPr>
          <w:trHeight w:val="20"/>
        </w:trPr>
        <w:tc>
          <w:tcPr>
            <w:tcW w:w="6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None</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None</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111,031</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Non-Qualified Deferred Compensation for Fiscal 2010</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2010 for the named executive officers.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Executive</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Registrant</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Contributions in</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Contributions in</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Earnings in</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Withdrawals/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Last Fiscal Year</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Last Fiscal Year</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Last Fiscal Year</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Distributions</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Last Fiscal Year</w:t>
            </w:r>
          </w:p>
        </w:tc>
      </w:tr>
      <w:tr>
        <w:trPr>
          <w:trHeight w:val="234"/>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End ($)</w:t>
            </w:r>
          </w:p>
        </w:tc>
        <w:tc>
          <w:tcPr>
            <w:tcW w:w="80" w:type="dxa"/>
            <w:vAlign w:val="bottom"/>
          </w:tcPr>
          <w:p>
            <w:pPr>
              <w:spacing w:after="0"/>
              <w:rPr>
                <w:sz w:val="20"/>
                <w:szCs w:val="20"/>
                <w:color w:val="auto"/>
              </w:rPr>
            </w:pPr>
          </w:p>
        </w:tc>
      </w:tr>
      <w:tr>
        <w:trPr>
          <w:trHeight w:val="210"/>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140,892</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42,323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3,212,332</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T.J. Felmer</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29,823</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7,647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47,847</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802,899</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3,709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5,382</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340,475</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P.C. Sephton</w:t>
            </w:r>
          </w:p>
        </w:tc>
        <w:tc>
          <w:tcPr>
            <w:tcW w:w="1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9,551</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597,692</w:t>
            </w:r>
          </w:p>
        </w:tc>
      </w:tr>
    </w:tbl>
    <w:p>
      <w:pPr>
        <w:spacing w:after="0" w:line="17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See discussion of the Company’s nonqualified deferred compensation plan in the Compensation Discussion and Analysis. The executive contribution amounts reported here are reported in the salary and non-equity incentive plan compensation columns of the Summary Compensation Table. The registrant contribution amounts reported here are reported in the all other compensation columns of the Summary Compensation Table.</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w:t>
      </w:r>
    </w:p>
    <w:p>
      <w:pPr>
        <w:spacing w:after="0" w:line="2" w:lineRule="exact"/>
        <w:rPr>
          <w:sz w:val="20"/>
          <w:szCs w:val="20"/>
          <w:color w:val="auto"/>
        </w:rPr>
      </w:pPr>
    </w:p>
    <w:p>
      <w:pPr>
        <w:jc w:val="both"/>
        <w:ind w:left="340" w:right="559" w:hanging="8"/>
        <w:spacing w:after="0" w:line="252" w:lineRule="auto"/>
        <w:tabs>
          <w:tab w:leader="none" w:pos="6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53"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Following termination due to a change in control, the executive shall be paid a multiplier of his annual base salary in effect immediately prior to the date the change of control occurs, plus a multiplier of his average bonus payment received over either a two or three-year period, depending on the terms of the agreement,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5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b w:val="1"/>
          <w:bCs w:val="1"/>
          <w:i w:val="1"/>
          <w:iCs w:val="1"/>
          <w:color w:val="auto"/>
        </w:rPr>
        <w:t xml:space="preserve">Assumptions and General Principles. </w:t>
      </w:r>
      <w:r>
        <w:rPr>
          <w:rFonts w:ascii="Arial" w:cs="Arial" w:eastAsia="Arial" w:hAnsi="Arial"/>
          <w:sz w:val="18"/>
          <w:szCs w:val="18"/>
          <w:color w:val="auto"/>
        </w:rPr>
        <w:t>The following assumptions and general principles apply with respect to the tables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follow in this section.</w:t>
      </w:r>
    </w:p>
    <w:p>
      <w:pPr>
        <w:spacing w:after="0" w:line="130" w:lineRule="exact"/>
        <w:rPr>
          <w:sz w:val="20"/>
          <w:szCs w:val="20"/>
          <w:color w:val="auto"/>
        </w:rPr>
      </w:pPr>
    </w:p>
    <w:p>
      <w:pPr>
        <w:jc w:val="both"/>
        <w:ind w:left="1040" w:right="559" w:hanging="343"/>
        <w:spacing w:after="0" w:line="279" w:lineRule="auto"/>
        <w:tabs>
          <w:tab w:leader="none" w:pos="104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The amounts shown in the tables assume that each named executive officer terminated employment on July 31, 2010. Accordingly, the tables reflect amounts earned as of July 31, 2010,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130" w:lineRule="exact"/>
        <w:rPr>
          <w:rFonts w:ascii="Arial" w:cs="Arial" w:eastAsia="Arial" w:hAnsi="Arial"/>
          <w:sz w:val="17"/>
          <w:szCs w:val="17"/>
          <w:b w:val="1"/>
          <w:bCs w:val="1"/>
          <w:color w:val="auto"/>
        </w:rPr>
      </w:pPr>
    </w:p>
    <w:p>
      <w:pPr>
        <w:jc w:val="both"/>
        <w:ind w:left="1040" w:right="559" w:hanging="343"/>
        <w:spacing w:after="0" w:line="259" w:lineRule="auto"/>
        <w:tabs>
          <w:tab w:leader="none" w:pos="10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159"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18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2010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Option</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Excise Tax</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Legal Fee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Award Acceleration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Acceleration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Reimbursement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Reimbursement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5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 xml:space="preserve">Base Salary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xml:space="preserve">)(1) Bonus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Gain $(3)</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Gain $ (4)</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r>
      <w:tr>
        <w:trPr>
          <w:trHeight w:val="20"/>
        </w:trPr>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2,325,001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1,134,231</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1,390,500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228,664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769,155</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5,872,551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hanging="348"/>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2010.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the closing market price of $27.81 on 50,000 unvested awards that would vest due to the change in control.</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33,333 unvested stock options in-the-money that would vest due to the change in control.</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Thomas J. Felmer</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2010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Option</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Excise Tax</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Legal Fee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Award Acceleration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Acceleration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Reimbursement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Reimbursement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5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 xml:space="preserve">Base Salary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xml:space="preserve">)(1) Bonus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Gain $(3)</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Gain $ (4)</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r>
      <w:tr>
        <w:trPr>
          <w:trHeight w:val="20"/>
        </w:trPr>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690,118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188,391</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973,350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114,329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304,914</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2,296,102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closing market price of $27.81 on 35,000 unvested awards that would vest due to the change in control.</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16,666 unvested stock options in-the-money that would vest due to the change in control.</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Allan J. Klotsche</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2010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Option</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Excise Tax</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Legal Fee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Award Acceleration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Acceleration</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Reimbursement</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Reimbursement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xml:space="preserve">Base Salary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 (1)</w:t>
            </w:r>
          </w:p>
        </w:tc>
        <w:tc>
          <w:tcPr>
            <w:tcW w:w="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(2)</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Gain $ (3)</w:t>
            </w: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Gain $ (4)</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Total ($)</w:t>
            </w:r>
          </w:p>
        </w:tc>
        <w:tc>
          <w:tcPr>
            <w:tcW w:w="60" w:type="dxa"/>
            <w:vAlign w:val="bottom"/>
          </w:tcPr>
          <w:p>
            <w:pPr>
              <w:spacing w:after="0"/>
              <w:rPr>
                <w:sz w:val="20"/>
                <w:szCs w:val="20"/>
                <w:color w:val="auto"/>
              </w:rPr>
            </w:pPr>
          </w:p>
        </w:tc>
      </w:tr>
      <w:tr>
        <w:trPr>
          <w:trHeight w:val="210"/>
        </w:trPr>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600,300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121,550</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973,350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114,329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319,469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2,153,998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closing market price of $27.81 on 35,000 unvested awards that would vest due to the change in control.</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16,666 unvested stock options in-the-money that would vest due to the change in control.</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Peter C. Sephton</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2010 and the named executive officer had to legally enforce the terms of the agreement.</w:t>
      </w: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Option</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Excise Tax</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Legal Fee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Award Acceleration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Acceleration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Reimbursement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Reimbursement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5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 xml:space="preserve">Base Salary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xml:space="preserve">)(1) Bonus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Gain $(3)</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Gain $ (4)</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r>
      <w:tr>
        <w:trPr>
          <w:trHeight w:val="20"/>
        </w:trPr>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677,904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392,859</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973,350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114,329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317,382</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2,500,824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680" w:right="559" w:hanging="348"/>
        <w:spacing w:after="0" w:line="264"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2010. As Mr. Sephton works and lives in the United Kingdom, his base salary is paid to him in British Pounds. The amount shown in U.S. dollars was converted from British Pounds at the July 2010 month-end exchange rate: $1 = £0.6358.</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closing market price of $27.81 on 35,000 unvested awards that would vest due to the change in control.</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16,666 unvested stock options in-the-money that would vest due to the change in control.</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2010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Option</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Excise Tax</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Legal Fee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Award Acceleration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Acceleration</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Reimbursement</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Reimbursement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xml:space="preserve">Base Salary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 (1)</w:t>
            </w:r>
          </w:p>
        </w:tc>
        <w:tc>
          <w:tcPr>
            <w:tcW w:w="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(2)</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Gain $ (3)</w:t>
            </w: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Gain $ (4)</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Total ($)</w:t>
            </w:r>
          </w:p>
        </w:tc>
        <w:tc>
          <w:tcPr>
            <w:tcW w:w="60" w:type="dxa"/>
            <w:vAlign w:val="bottom"/>
          </w:tcPr>
          <w:p>
            <w:pPr>
              <w:spacing w:after="0"/>
              <w:rPr>
                <w:sz w:val="20"/>
                <w:szCs w:val="20"/>
                <w:color w:val="auto"/>
              </w:rPr>
            </w:pPr>
          </w:p>
        </w:tc>
      </w:tr>
      <w:tr>
        <w:trPr>
          <w:trHeight w:val="210"/>
        </w:trPr>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693,384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278,899</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973,350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114,329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333,123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2,418,085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closing market price of $27.81 on 35,000 unvested awards that would vest due to the change in control.</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16,666 unvested stock options in-the-money that would vest due to the change in control.</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2010.</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Unvested Shares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Unvested Stock</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Restricted</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Restricted Stock</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In-the</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Stock Option</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as of</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Award Acceleration</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Money as of</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Acceleration</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2010</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(1)</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2010</w:t>
            </w: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(2)</w:t>
            </w:r>
          </w:p>
        </w:tc>
        <w:tc>
          <w:tcPr>
            <w:tcW w:w="8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1,390,500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33,333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228,664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T.J. Felmer</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35,000</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973,350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16,666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114,329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35,000</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973,350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16,666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114,329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P.C. Sephton</w:t>
            </w: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rPr>
              <w:t>35,000</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973,350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16,666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114,329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35,000</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973,350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16,666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$27.81 on unvested shares that would vest due to the change in control.</w:t>
      </w:r>
    </w:p>
    <w:p>
      <w:pPr>
        <w:spacing w:after="0" w:line="76"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$27.81 and the exercise price on unvested stock options in-the-money that would vest due to death or disability.</w:t>
      </w:r>
    </w:p>
    <w:p>
      <w:pPr>
        <w:sectPr>
          <w:pgSz w:w="11900" w:h="16838" w:orient="portrait"/>
          <w:cols w:equalWidth="0" w:num="1">
            <w:col w:w="10219"/>
          </w:cols>
          <w:pgMar w:left="240" w:top="419" w:right="1440" w:bottom="838"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38"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of Directors</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To ensure competitive compensation for the Directors, surveys prepared by various consulting firms and the National Association of Corporate Directors are reviewed by the Corporate Governance Committee in making recommendations to the Board of Directors regarding director compensation. Directors who are employees of the Company receive no additional compensation for service on the Board or on any committee of the Board. On September 10, 2009, the Corporation’s Board of Directors authorized an increase in compensation paid to its non-management Directors. Pursuant to the Board action, the annual cash retainer paid to non-management Directors was increased from $35,000 to $45,000 effective at the annual Board of Directors meeting held on November 19, 2009 and the annual grant of stock options was increased from 6,000 shares to 8,400 shares effective with the annual grant on September 25, 2009. The remaining components of director compensation remained unchanged and include $6,000 for each committee chair ($10,000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for which they are not a member and $500 for each telephonic committee meeting they attend of any committee for which they are not a member. In fiscal 2010, the Board of Directors also initiated a policy pursuant to which non-management Directors are eligible to receive compensation of up to $1,000 per day for special assignments required by management or the Board of Directors, so long as the compensation does not impair independence.</w:t>
      </w:r>
    </w:p>
    <w:p>
      <w:pPr>
        <w:spacing w:after="0" w:line="143"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On November 19, 2009, the Board of Directors of the Corporation, upon the recommendation of its Corporate Governance Committee, created the position of Lead Independent Director. The current chair of the Corporate Governance Committee, Mr. Conrad Goodkind, is serving as the Lead Independent Director, which position will be paid an annual retainer of $10,000.</w:t>
      </w:r>
    </w:p>
    <w:p>
      <w:pPr>
        <w:spacing w:after="0" w:line="10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By unanimous written consent effective September 24, 2009, the holders of the Company’s Class B Common Stock approved the Brady Corporation 2010 Nonqualified Stock Option Plan for Non-employee Directors (the “2010 Directors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grant price is the fair market value of the stock on the grant date and is calculated by taking the average of the high and low stock price on that date. The options vest one-third each year for the first three years and have a ten year life. The 2010 Directors Plan became effective upon shareholder approval.</w:t>
      </w:r>
    </w:p>
    <w:p>
      <w:pPr>
        <w:spacing w:after="0" w:line="15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15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32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rPr>
              <w:t>Director Compensation Table — Fiscal 2010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Fees Earned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or Paid in</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Option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Cash ($)</w:t>
            </w:r>
          </w:p>
        </w:tc>
        <w:tc>
          <w:tcPr>
            <w:tcW w:w="3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xml:space="preserve">Awards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(1)</w:t>
            </w:r>
          </w:p>
        </w:tc>
        <w:tc>
          <w:tcPr>
            <w:tcW w:w="340" w:type="dxa"/>
            <w:vAlign w:val="bottom"/>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148,415</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Robert C. Buchanan</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91,000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166,415</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 (2)</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154,415</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77,500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152,915</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88,500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163,915</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99,000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174,415</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160,415</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Gary S. Balkema (5)</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13,750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13,750</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R. Jarc (3)</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28,750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28,750</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Gary E. Nei (3)</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14,250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14,250</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Bemis (4)</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17,250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17,250</w:t>
            </w:r>
          </w:p>
        </w:tc>
      </w:tr>
    </w:tbl>
    <w:p>
      <w:pPr>
        <w:spacing w:after="0" w:line="107" w:lineRule="exact"/>
        <w:rPr>
          <w:sz w:val="20"/>
          <w:szCs w:val="20"/>
          <w:color w:val="auto"/>
        </w:rPr>
      </w:pPr>
    </w:p>
    <w:p>
      <w:pPr>
        <w:jc w:val="both"/>
        <w:ind w:left="680" w:right="559" w:hanging="348"/>
        <w:spacing w:after="0" w:line="271"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in the applicable year for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2010. The grant date fair value of options granted in fiscal 2010 was $75,415 for Ms. Pungello, Mr. Buchanan, Mr. Harris, Mr. Galbato, Mr. Allender, Mr. Goodkind, and for Mr. Richardson.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30" w:lineRule="exact"/>
        <w:rPr>
          <w:rFonts w:ascii="Arial" w:cs="Arial" w:eastAsia="Arial" w:hAnsi="Arial"/>
          <w:sz w:val="17"/>
          <w:szCs w:val="17"/>
          <w:color w:val="auto"/>
        </w:rPr>
      </w:pPr>
    </w:p>
    <w:p>
      <w:pPr>
        <w:jc w:val="both"/>
        <w:ind w:left="680" w:right="559"/>
        <w:spacing w:after="0" w:line="264" w:lineRule="auto"/>
        <w:rPr>
          <w:rFonts w:ascii="Arial" w:cs="Arial" w:eastAsia="Arial" w:hAnsi="Arial"/>
          <w:sz w:val="17"/>
          <w:szCs w:val="17"/>
          <w:color w:val="auto"/>
        </w:rPr>
      </w:pPr>
      <w:r>
        <w:rPr>
          <w:rFonts w:ascii="Arial" w:cs="Arial" w:eastAsia="Arial" w:hAnsi="Arial"/>
          <w:sz w:val="18"/>
          <w:szCs w:val="18"/>
          <w:color w:val="auto"/>
        </w:rPr>
        <w:t>Outstanding option awards at July 31, 2010 for each individual serving as a director on that date include the following: Ms. Pungello, 44,400 shares; Mr. Buchanan, 32,400 shares; Mr. Harris, 50,400 shares; Mr. Galbato, 30,400 shares; Mr. Allender, 30,400 shares; Mr. Richardson, 24,400 shares; Mr. Goodkind, 30,400 shares.</w:t>
      </w:r>
    </w:p>
    <w:p>
      <w:pPr>
        <w:spacing w:after="0" w:line="32" w:lineRule="exact"/>
        <w:rPr>
          <w:rFonts w:ascii="Arial" w:cs="Arial" w:eastAsia="Arial" w:hAnsi="Arial"/>
          <w:sz w:val="17"/>
          <w:szCs w:val="17"/>
          <w:color w:val="auto"/>
        </w:rPr>
      </w:pPr>
    </w:p>
    <w:p>
      <w:pPr>
        <w:ind w:left="680" w:hanging="348"/>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$10,000 paid for special assignments.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Jarc’s and Mr. Nei’s Board services ended on November 19, 2009.</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Bemis’s Board services ended on December 18, 2009.</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Balkema joined the Board on July 19, 2010.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left="580" w:hanging="248"/>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2010. As of that date, nearly all of the voting stock of the Company was held by two trusts controlled by direct descendants of the Company’s founder, William H. Brady,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Title of Class</w:t>
            </w:r>
          </w:p>
        </w:tc>
        <w:tc>
          <w:tcPr>
            <w:tcW w:w="260" w:type="dxa"/>
            <w:vAlign w:val="bottom"/>
          </w:tcPr>
          <w:p>
            <w:pPr>
              <w:spacing w:after="0"/>
              <w:rPr>
                <w:sz w:val="20"/>
                <w:szCs w:val="20"/>
                <w:color w:val="auto"/>
              </w:rPr>
            </w:pPr>
          </w:p>
        </w:tc>
        <w:tc>
          <w:tcPr>
            <w:tcW w:w="3760" w:type="dxa"/>
            <w:vAlign w:val="bottom"/>
          </w:tcPr>
          <w:p>
            <w:pPr>
              <w:ind w:left="360"/>
              <w:spacing w:after="0"/>
              <w:rPr>
                <w:sz w:val="20"/>
                <w:szCs w:val="20"/>
                <w:color w:val="auto"/>
              </w:rPr>
            </w:pPr>
            <w:r>
              <w:rPr>
                <w:rFonts w:ascii="Arial" w:cs="Arial" w:eastAsia="Arial" w:hAnsi="Arial"/>
                <w:sz w:val="18"/>
                <w:szCs w:val="18"/>
                <w:b w:val="1"/>
                <w:bCs w:val="1"/>
                <w:color w:val="auto"/>
              </w:rPr>
              <w:t>Name and Address of Beneficial Owner</w:t>
            </w:r>
          </w:p>
        </w:tc>
        <w:tc>
          <w:tcPr>
            <w:tcW w:w="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3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Ownership(2)</w:t>
            </w:r>
          </w:p>
        </w:tc>
      </w:tr>
      <w:tr>
        <w:trPr>
          <w:trHeight w:val="20"/>
        </w:trPr>
        <w:tc>
          <w:tcPr>
            <w:tcW w:w="2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1"/>
              </w:rPr>
              <w:t>Brady Corporation Class B Common Stock Trust(1)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1,769,304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Elizabeth P. Pungello</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2002 S. Hawick Ct.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Chapel Hill, NC 27516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9"/>
              </w:rPr>
              <w:t>William H. Brady III Revocable Trust of 2003(3)</w:t>
            </w:r>
          </w:p>
        </w:tc>
        <w:tc>
          <w:tcPr>
            <w:tcW w:w="260" w:type="dxa"/>
            <w:vAlign w:val="bottom"/>
          </w:tcPr>
          <w:p>
            <w:pPr>
              <w:spacing w:after="0"/>
              <w:rPr>
                <w:sz w:val="17"/>
                <w:szCs w:val="17"/>
                <w:color w:val="auto"/>
              </w:rPr>
            </w:pPr>
          </w:p>
        </w:tc>
        <w:tc>
          <w:tcPr>
            <w:tcW w:w="12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1,769,304</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16"/>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 William H. Brady III</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249 Rosemont Ave.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Pasadena, CA 91103</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680" w:right="559" w:hanging="348"/>
        <w:spacing w:after="0" w:line="264"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ectPr>
          <w:pgSz w:w="11900" w:h="16838" w:orient="portrait"/>
          <w:cols w:equalWidth="0" w:num="1">
            <w:col w:w="10219"/>
          </w:cols>
          <w:pgMar w:left="240" w:top="405" w:right="1440" w:bottom="1001"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01"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0" w:hanging="268"/>
        <w:spacing w:after="0"/>
        <w:tabs>
          <w:tab w:leader="none" w:pos="6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or Nominee and by all Directors and Officers of the Company as a group as of July 31, 2010. Unless otherwise noted, the address for each of the listed persons is c/o Brady Corporation, 6555 West Good Hope Road, Milwaukee, Wisconsin 53223. Except as otherwise indicated, all shares are owned directly.</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Beneficial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 of</w:t>
            </w: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Title of Class</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w w:val="91"/>
              </w:rPr>
              <w:t>Name of Beneficial Owner &amp; Nature of Beneficial Ownership</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Ownership(5)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Ownership</w:t>
            </w:r>
          </w:p>
        </w:tc>
      </w:tr>
      <w:tr>
        <w:trPr>
          <w:trHeight w:val="20"/>
        </w:trPr>
        <w:tc>
          <w:tcPr>
            <w:tcW w:w="2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Elizabeth P. Pungello(1)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1,342,436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Frank M. Jaehnert(2)</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851,425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229,198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Thomas J. Felmer</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238,275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223,909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Peter C. Sephton</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243,735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Robert C. Buchanan(3)</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95,177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Frank W. Harris</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75,145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77,300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Patrick W. Allender</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26,931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20,064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Bradley C. Richardson</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13,392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Gary S. Balkema</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All Officers and Directors as a Group (17 persons)(4)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3,670,476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Elizabeth P. Pungello(1)</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1,769,304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77" w:lineRule="exact"/>
        <w:rPr>
          <w:sz w:val="20"/>
          <w:szCs w:val="20"/>
          <w:color w:val="auto"/>
        </w:rPr>
      </w:pPr>
    </w:p>
    <w:p>
      <w:pPr>
        <w:jc w:val="both"/>
        <w:ind w:left="680" w:right="559" w:hanging="348"/>
        <w:spacing w:after="0" w:line="259"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430,706 shares held jointly with her spouse and 876,826 shares owned by trusts for which she is a trustee and has either sole or joint dispositive and voting authority. Ms. Pungello’s holdings of Class B Common Stock include 1,769,304 shares owned by a trust over which she has sole dispositive and voting authority.</w:t>
      </w:r>
    </w:p>
    <w:p>
      <w:pPr>
        <w:spacing w:after="0" w:line="38" w:lineRule="exact"/>
        <w:rPr>
          <w:rFonts w:ascii="Arial" w:cs="Arial" w:eastAsia="Arial" w:hAnsi="Arial"/>
          <w:sz w:val="18"/>
          <w:szCs w:val="18"/>
          <w:color w:val="auto"/>
        </w:rPr>
      </w:pPr>
    </w:p>
    <w:p>
      <w:pPr>
        <w:ind w:left="680" w:hanging="348"/>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 the amount reported, Mr. Buchanan owns 14,534 shares as co-trustee of three separate trusts.</w:t>
      </w:r>
    </w:p>
    <w:p>
      <w:pPr>
        <w:spacing w:after="0" w:line="76" w:lineRule="exact"/>
        <w:rPr>
          <w:rFonts w:ascii="Arial" w:cs="Arial" w:eastAsia="Arial" w:hAnsi="Arial"/>
          <w:sz w:val="18"/>
          <w:szCs w:val="18"/>
          <w:color w:val="auto"/>
        </w:rPr>
      </w:pPr>
    </w:p>
    <w:p>
      <w:pPr>
        <w:jc w:val="both"/>
        <w:ind w:left="680" w:right="559" w:hanging="348"/>
        <w:spacing w:after="0" w:line="271"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(17 persons) includes options to acquire a total of 1,950,414 shares of Class A Common Stock, which are currently exercisable or will be exercisable within 60 days of July 31, 2010, including the following: Ms. Pungello, 32,800 shares; Mr. Jaehnert, 734,669 shares; Mr. Klotsche, 219,135 shares; Mr. Felmer, 214,335 shares; Mr. Williamson, 209,835 shares; Mr. Sephton, 202,335 shares; Mr. Buchanan, 20,800 shares; Mr. Harris, 38,800 shares; Mr. Tatterson, 60,001 shares; Ms. Johnson, 57,834 shares; Mr. Curran, 71,668; Mr. Goodkind, 18,800 shares: Mr. Galbato, 18,800 shares; Mr. Allender, 18,800 shares; Mr. Richardson, 11,467 shares. It does not include other options for Class A Common Stock which have been granted at later dates and are not exercisable within 60 days of July 31, 2010.</w:t>
      </w:r>
    </w:p>
    <w:p>
      <w:pPr>
        <w:spacing w:after="0" w:line="30" w:lineRule="exact"/>
        <w:rPr>
          <w:rFonts w:ascii="Arial" w:cs="Arial" w:eastAsia="Arial" w:hAnsi="Arial"/>
          <w:sz w:val="17"/>
          <w:szCs w:val="17"/>
          <w:color w:val="auto"/>
        </w:rPr>
      </w:pPr>
    </w:p>
    <w:p>
      <w:pPr>
        <w:jc w:val="both"/>
        <w:ind w:left="680" w:right="559" w:hanging="348"/>
        <w:spacing w:after="0" w:line="297" w:lineRule="auto"/>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(17 persons) includes Class A Common Stock owned in deferred compensation plans totaling 207,675 shares of Class A Common Stock, including the following: Ms. Pungello, 2,103 shares; Mr. Jaehnert, 85,916 shares; Mr. Klotsche, 7,531 shares; Mr. Felmer, 10,326 shares; Mr. Williamson, 14,074 shares; Mr. Sephton, 0 shares; Mr. Buchanan, 58,143 shares; Mr. Goodkind, 9,538 shares; Mr. Allender, 8,131, Ms. Johnson, 5,672; Mr. Pearce, 2,950; Mr. Richardson, 1,925; Mr. Galbato, 1,264; Mr. Curran, 102.</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248"/>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 arrangements are known to the Company, which may, at a subsequent date, result in a change in control of the Company.</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w w:val="98"/>
              </w:rPr>
              <w:t xml:space="preserve">(d) </w:t>
            </w:r>
            <w:r>
              <w:rPr>
                <w:rFonts w:ascii="Arial" w:cs="Arial" w:eastAsia="Arial" w:hAnsi="Arial"/>
                <w:sz w:val="18"/>
                <w:szCs w:val="18"/>
                <w:b w:val="1"/>
                <w:bCs w:val="1"/>
                <w:i w:val="1"/>
                <w:iCs w:val="1"/>
                <w:color w:val="auto"/>
                <w:w w:val="98"/>
              </w:rPr>
              <w:t>Equity Compensation Plan Information</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to be issued upon</w:t>
            </w:r>
          </w:p>
        </w:tc>
        <w:tc>
          <w:tcPr>
            <w:tcW w:w="18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Weighted-average</w:t>
            </w:r>
          </w:p>
        </w:tc>
        <w:tc>
          <w:tcPr>
            <w:tcW w:w="1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exercise price of</w:t>
            </w:r>
          </w:p>
        </w:tc>
        <w:tc>
          <w:tcPr>
            <w:tcW w:w="1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outstanding options,</w:t>
            </w:r>
          </w:p>
        </w:tc>
        <w:tc>
          <w:tcPr>
            <w:tcW w:w="18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outstanding options,</w:t>
            </w:r>
          </w:p>
        </w:tc>
        <w:tc>
          <w:tcPr>
            <w:tcW w:w="1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warrants and rights</w:t>
            </w:r>
          </w:p>
        </w:tc>
        <w:tc>
          <w:tcPr>
            <w:tcW w:w="18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warrants and rights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(b)</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r>
      <w:tr>
        <w:trPr>
          <w:trHeight w:val="195"/>
        </w:trPr>
        <w:tc>
          <w:tcPr>
            <w:tcW w:w="3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Equity compensation plans approved by security</w:t>
            </w:r>
          </w:p>
        </w:tc>
        <w:tc>
          <w:tcPr>
            <w:tcW w:w="180" w:type="dxa"/>
            <w:vAlign w:val="bottom"/>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5,108,736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28.69</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2,210,000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80" w:type="dxa"/>
            <w:vAlign w:val="bottom"/>
          </w:tcPr>
          <w:p>
            <w:pPr>
              <w:ind w:left="200"/>
              <w:spacing w:after="0"/>
              <w:rPr>
                <w:sz w:val="20"/>
                <w:szCs w:val="20"/>
                <w:color w:val="auto"/>
              </w:rPr>
            </w:pPr>
            <w:r>
              <w:rPr>
                <w:rFonts w:ascii="Arial" w:cs="Arial" w:eastAsia="Arial" w:hAnsi="Arial"/>
                <w:sz w:val="18"/>
                <w:szCs w:val="18"/>
                <w:color w:val="auto"/>
              </w:rPr>
              <w:t>security holders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r>
      <w:tr>
        <w:trPr>
          <w:trHeight w:val="27"/>
        </w:trPr>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5,108,736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2,210,000</w:t>
            </w: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Company’s Nonqualified Stock Option Plans allow the granting of stock options to various officers, directors and other employees of the Company at prices equal to fair market value at the date of grant. The Company has reserved 3,000,000 and 200,000 shares of Class A Nonvoting Common Stock for issuance under the Brady Corporation 2010 Omnibus Incentive Stock Plan and the Brady Corporation 2010 Nonqualified Stock Option Plan for Non-employee Directors, respectively. Generally, options will not be exercisable until one year after the date of grant, and will be exercisable thereafter, to the extent of one-third per year and have a maximum term of ten years. In August 2004, 2005, 2006, 2007, and 2009 certain executives and key management employees were issued stock options that vest upon meeting certain financial performance conditions in addition to the vesting schedule described above. Performance-based options expire 10 years from the date of grant. All grants under the Option Plans are at market price on the date of the grant. The Company granted 210,000 performance-based restricted shares during fiscal 2008, with a grant price and fair value of $32.83. The Company did not grant any performance-based restricted shares during fiscal 2010 or 2009. As of July 31, 2010, all of the performance-based restricted shares granted in fiscal 2008 remain outstanding.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 Based on these evaluations the Company has determined that it does not have material related party transactions that affect the results of operations, cash flow or financial condition. The Company has also determined that no transactions occurred in fiscal 2010, or are currently proposed, that would require disclosure under Item 404 (a) of Regulation S-K.</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following table presents the aggregate fees incurred for professional services by Deloitte &amp; Touche LLP and Deloitte Tax LLP during the years ended July 31, 2010 and 2009. Other than as set forth below, no professional services were rendered or fees billed by Deloitte &amp; Touche LLP or Deloitte Tax LLP during the years ended July 31, 2010 and 2009.</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7"/>
              </w:rPr>
              <w:t>in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360" w:type="dxa"/>
            <w:vAlign w:val="bottom"/>
            <w:vMerge w:val="continue"/>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Audit fees(1)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fees — compliance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6860" w:type="dxa"/>
            <w:vAlign w:val="bottom"/>
          </w:tcPr>
          <w:p>
            <w:pPr>
              <w:ind w:left="40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Non-audit related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Tax fees — planning and advice</w:t>
            </w: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fees (2)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860" w:type="dxa"/>
            <w:vAlign w:val="bottom"/>
          </w:tcPr>
          <w:p>
            <w:pPr>
              <w:ind w:left="400"/>
              <w:spacing w:after="0"/>
              <w:rPr>
                <w:sz w:val="20"/>
                <w:szCs w:val="20"/>
                <w:color w:val="auto"/>
              </w:rPr>
            </w:pPr>
            <w:r>
              <w:rPr>
                <w:rFonts w:ascii="Arial" w:cs="Arial" w:eastAsia="Arial" w:hAnsi="Arial"/>
                <w:sz w:val="18"/>
                <w:szCs w:val="18"/>
                <w:i w:val="1"/>
                <w:iCs w:val="1"/>
                <w:color w:val="auto"/>
              </w:rPr>
              <w:t>Subtotal non-audit related fees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680" w:right="559" w:hanging="348"/>
        <w:spacing w:after="0" w:line="264"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195"/>
        </w:trPr>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Ratio of Tax Planning and Advice Fees and All Other Fees to Audit Fees, Audit-Related</w:t>
            </w: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 and Tax Compliance Fees</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 to 1</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 to 1</w:t>
            </w:r>
          </w:p>
        </w:tc>
      </w:tr>
    </w:tbl>
    <w:p>
      <w:pPr>
        <w:spacing w:after="0" w:line="16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Pre-Approval Policy </w:t>
      </w:r>
      <w:r>
        <w:rPr>
          <w:rFonts w:ascii="Arial" w:cs="Arial" w:eastAsia="Arial" w:hAnsi="Arial"/>
          <w:sz w:val="17"/>
          <w:szCs w:val="17"/>
          <w:color w:val="auto"/>
        </w:rPr>
        <w:t>— The services performed by the Independent Registered Public Accounting Firm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Auditors”) in fiscal 2009 and 2010 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 &amp; 2) Consolidated Financial Statement Schedule —</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Schedule II Valuation and Qualifying Accounts</w:t>
      </w:r>
    </w:p>
    <w:p>
      <w:pPr>
        <w:spacing w:after="0" w:line="185" w:lineRule="exact"/>
        <w:rPr>
          <w:sz w:val="20"/>
          <w:szCs w:val="20"/>
          <w:color w:val="auto"/>
        </w:rPr>
      </w:pPr>
    </w:p>
    <w:p>
      <w:pPr>
        <w:ind w:left="1460" w:right="559"/>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30" w:lineRule="exact"/>
        <w:rPr>
          <w:sz w:val="20"/>
          <w:szCs w:val="20"/>
          <w:color w:val="auto"/>
        </w:rPr>
      </w:pPr>
    </w:p>
    <w:p>
      <w:pPr>
        <w:ind w:left="4900" w:right="4599" w:hanging="3821"/>
        <w:spacing w:after="0" w:line="951" w:lineRule="auto"/>
        <w:tabs>
          <w:tab w:leader="none" w:pos="1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Exhibits — See Exhibit Index at page 85 of this Form 10-K.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76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Restated Articles of Incorporation of Brady Corporation (1)</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By-laws of Brady Corporation, as amended (2)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1"/>
              </w:rPr>
              <w:t>Form of Change of Control Agreement, amended as of December 23, 2008, entered into with Thomas J.</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7"/>
              </w:rPr>
              <w:t>Felmer, Allan J. Klotsche, Peter C. Sephton, Robert L. Tatterson, and Matthew O. Williamson (12)</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BradyGold Plan, as amended (2)</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Executive Additional Compensation Plan, as amended (2)</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Executive Deferred Compensation Plan, as amended (16)</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Directors’ Deferred Compensation Plan, as amended (16)</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6"/>
              </w:rPr>
              <w:t>Forms of Non-Qualified Employee Stock Option Agreement, Director Stock Option Agreement, and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8"/>
              </w:rPr>
              <w:t>Employee Performance Stock Option Agreement under 2006 Omnibus Incentive Stock Plan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2004 Omnibus Incentive Stock Plan, as amended (10)</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8"/>
              </w:rPr>
              <w:t>Form of Brady Corporation 2004 Nonqualified Stock Option Agreement under the 2004 Omnibus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Incentive Stock Plan, as amended (13)</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Automatic Dividend Reinvestment Plan (4)</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2005 Nonqualified Plan for Non-employee Directors, as amended (3)</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6"/>
              </w:rPr>
              <w:t>Forms of Nonqualified Stock Option Agreements under 2005 Non-qualified Plan for Non-employee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Directors, as amended (8)</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1997 Omnibus Incentive Stock Plan, as amended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2"/>
              </w:rPr>
              <w:t>Brady Corporation 1997 Nonqualified Stock Option Plan for Non-Employee Directors, as amended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Revolving Credit Facility Credit Agreement (14)</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2006 Omnibus Incentive Stock Plan, as amended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(15)</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First Amendment to Revolving Credit Facility Credit Agreement (6)</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2"/>
              </w:rPr>
              <w:t>Form of Amendment, dated March 4, 2009, to granting agreement for performance-based stock options</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7"/>
              </w:rPr>
              <w:t>issued on August 2, 2004 to Frank M. Jaehnert, Thomas J. Felmer, Peter C. Sephton, Matthew O.</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Williamson, and Allan J. Klotsche (12)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7"/>
              </w:rPr>
              <w:t>Form of Performance-based Restricted Stock Agreement under Brady Corporation 2006 Omnibus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Incentive Stock Plan (7)</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1"/>
              </w:rPr>
              <w:t>Change of Control Agreement, amended as of December 23, 2008, entered into with Frank M. Jaehnert</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80" w:type="dxa"/>
            <w:vAlign w:val="bottom"/>
            <w:gridSpan w:val="2"/>
          </w:tcPr>
          <w:p>
            <w:pPr>
              <w:ind w:left="280"/>
              <w:spacing w:after="0"/>
              <w:rPr>
                <w:sz w:val="20"/>
                <w:szCs w:val="20"/>
                <w:color w:val="auto"/>
              </w:rPr>
            </w:pPr>
            <w:r>
              <w:rPr>
                <w:rFonts w:ascii="Arial" w:cs="Arial" w:eastAsia="Arial" w:hAnsi="Arial"/>
                <w:sz w:val="18"/>
                <w:szCs w:val="18"/>
                <w:color w:val="auto"/>
              </w:rPr>
              <w:t>(12)</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Restated Brady Corporation Restoration Plan (5)</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2001 Omnibus Incentive Stock Plan, as amended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2003 Omnibus Incentive Stock Plan, as amended (10)</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Note Purchase Agreement dated June 28, 2004 (11)</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First Supplement to Note Purchase Agreement, dated February 14, 2006 (9)</w:t>
            </w:r>
          </w:p>
        </w:tc>
      </w:tr>
      <w:tr>
        <w:trPr>
          <w:trHeight w:val="43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Second Supplement to Note Purchase Agreement, dated March 23, 2007 (5)</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2"/>
              </w:rPr>
              <w:t>Form of Change of Control Agreement, amended as of December 23, 2008, entered into with Kathleen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Johnson (12)</w:t>
            </w:r>
          </w:p>
        </w:tc>
      </w:tr>
    </w:tbl>
    <w:p>
      <w:pPr>
        <w:sectPr>
          <w:pgSz w:w="11900" w:h="16838" w:orient="portrait"/>
          <w:cols w:equalWidth="0" w:num="1">
            <w:col w:w="10219"/>
          </w:cols>
          <w:pgMar w:left="240" w:top="405" w:right="1440" w:bottom="184" w:gutter="0" w:footer="0" w:header="0"/>
        </w:sectPr>
      </w:pPr>
    </w:p>
    <w:bookmarkStart w:id="94" w:name="page95"/>
    <w:bookmarkEnd w:id="94"/>
    <w:p>
      <w:pPr>
        <w:ind w:left="370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34"/>
        </w:trPr>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2010 Omnibus Incentive Stock Plan (17)</w:t>
            </w:r>
          </w:p>
        </w:tc>
      </w:tr>
      <w:tr>
        <w:trPr>
          <w:trHeight w:val="418"/>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Corporation 2010 Nonqualified Stock Option Plan for Non-employee Directors (17)</w:t>
            </w:r>
          </w:p>
        </w:tc>
      </w:tr>
      <w:tr>
        <w:trPr>
          <w:trHeight w:val="418"/>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4"/>
              </w:rPr>
              <w:t>Form of Non-Qualified Employee Stock Option Agreement and Employee Performance Stock Option</w:t>
            </w:r>
          </w:p>
        </w:tc>
      </w:tr>
      <w:tr>
        <w:trPr>
          <w:trHeight w:val="230"/>
        </w:trPr>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Agreement under 2010 Omnibus Incentive Stock Plan (17)</w:t>
            </w:r>
          </w:p>
        </w:tc>
      </w:tr>
      <w:tr>
        <w:trPr>
          <w:trHeight w:val="418"/>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Form of Director Stock Option Agreement under 2010 Nonqualified Stock Option Plan for Non-</w:t>
            </w:r>
          </w:p>
        </w:tc>
      </w:tr>
      <w:tr>
        <w:trPr>
          <w:trHeight w:val="230"/>
        </w:trPr>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employee Directors (17)</w:t>
            </w:r>
          </w:p>
        </w:tc>
      </w:tr>
      <w:tr>
        <w:trPr>
          <w:trHeight w:val="418"/>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5"/>
              </w:rPr>
              <w:t>Form of Amendment, dated February 17, 2010, to granting agreement for performance-based stock</w:t>
            </w:r>
          </w:p>
        </w:tc>
      </w:tr>
      <w:tr>
        <w:trPr>
          <w:trHeight w:val="216"/>
        </w:trPr>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89"/>
              </w:rPr>
              <w:t>options issued on August 1, 2005 to Frank M. Jaehnert, Thomas J. Felmer, Peter C. Sephton, Matthew O.</w:t>
            </w:r>
          </w:p>
        </w:tc>
      </w:tr>
      <w:tr>
        <w:trPr>
          <w:trHeight w:val="230"/>
        </w:trPr>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Williamson and Allan J. Klotche (18)</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10.33</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Brady Note Purchase Agreement dated May 13, 2010 (19)</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w w:val="95"/>
              </w:rPr>
              <w:t>Performance-based Restricted Stock Agreement with Frank M. Jaehnert, dated August 2, 2010 (20)</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Subsidiaries of Brady Corporation</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Rule 13a-14(a)/15d-14(a) Certification of Frank M. Jaehnert</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Rule 13a-14(a)/15d-14(a) Certification of Thomas J. Felmer</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Section 1350 Certification of Frank M. Jaehnert</w:t>
            </w:r>
          </w:p>
        </w:tc>
      </w:tr>
      <w:tr>
        <w:trPr>
          <w:trHeight w:val="432"/>
        </w:trPr>
        <w:tc>
          <w:tcPr>
            <w:tcW w:w="144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Section 1350 Certification of Thomas J. Felmer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fiscal quarter ended January 31, 2008</w:t>
      </w:r>
    </w:p>
    <w:p>
      <w:pPr>
        <w:spacing w:after="0" w:line="88" w:lineRule="exact"/>
        <w:rPr>
          <w:rFonts w:ascii="Arial" w:cs="Arial" w:eastAsia="Arial" w:hAnsi="Arial"/>
          <w:sz w:val="17"/>
          <w:szCs w:val="17"/>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fiscal quarter ended January 31, 2009</w:t>
      </w:r>
    </w:p>
    <w:p>
      <w:pPr>
        <w:spacing w:after="0" w:line="88" w:lineRule="exact"/>
        <w:rPr>
          <w:rFonts w:ascii="Arial" w:cs="Arial" w:eastAsia="Arial" w:hAnsi="Arial"/>
          <w:sz w:val="17"/>
          <w:szCs w:val="17"/>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20,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17, 2007</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64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00" w:type="dxa"/>
            <w:vAlign w:val="bottom"/>
            <w:gridSpan w:val="5"/>
          </w:tcPr>
          <w:p>
            <w:pPr>
              <w:jc w:val="center"/>
              <w:ind w:left="990"/>
              <w:spacing w:after="0"/>
              <w:rPr>
                <w:sz w:val="20"/>
                <w:szCs w:val="20"/>
                <w:color w:val="auto"/>
              </w:rPr>
            </w:pPr>
            <w:r>
              <w:rPr>
                <w:rFonts w:ascii="Arial" w:cs="Arial" w:eastAsia="Arial" w:hAnsi="Arial"/>
                <w:sz w:val="18"/>
                <w:szCs w:val="18"/>
                <w:b w:val="1"/>
                <w:bCs w:val="1"/>
                <w:color w:val="auto"/>
                <w:w w:val="99"/>
              </w:rPr>
              <w:t>BRADY CORPORATION AND SUBSIDIARIES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8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vMerge w:val="restart"/>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8"/>
                <w:szCs w:val="18"/>
                <w:b w:val="1"/>
                <w:bCs w:val="1"/>
                <w:color w:val="auto"/>
              </w:rPr>
              <w:t>Year ended July 31,</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8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Valuation accounts deducted in balance sheet from assets to which they apply —</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Accounts receivable — allowance for doubtful accounts: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Balances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 Charged to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tcPr>
          <w:p>
            <w:pPr>
              <w:ind w:left="200"/>
              <w:spacing w:after="0"/>
              <w:rPr>
                <w:sz w:val="20"/>
                <w:szCs w:val="20"/>
                <w:color w:val="auto"/>
              </w:rPr>
            </w:pPr>
            <w:r>
              <w:rPr>
                <w:rFonts w:ascii="Arial" w:cs="Arial" w:eastAsia="Arial" w:hAnsi="Arial"/>
                <w:sz w:val="18"/>
                <w:szCs w:val="18"/>
                <w:color w:val="auto"/>
              </w:rPr>
              <w:t>Due to acquired businesses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 Bad debts written off, net of recoveries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Balances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 reserve for slow-moving inventory: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Balances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22,288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22,148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18,073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 Charged to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tcPr>
          <w:p>
            <w:pPr>
              <w:ind w:left="200"/>
              <w:spacing w:after="0"/>
              <w:rPr>
                <w:sz w:val="20"/>
                <w:szCs w:val="20"/>
                <w:color w:val="auto"/>
              </w:rPr>
            </w:pPr>
            <w:r>
              <w:rPr>
                <w:rFonts w:ascii="Arial" w:cs="Arial" w:eastAsia="Arial" w:hAnsi="Arial"/>
                <w:sz w:val="18"/>
                <w:szCs w:val="18"/>
                <w:color w:val="auto"/>
              </w:rPr>
              <w:t>Due to acquired businesses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 Inventory write-offs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Balances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22,148</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jc w:val="center"/>
              <w:ind w:left="3570"/>
              <w:spacing w:after="0"/>
              <w:rPr>
                <w:sz w:val="20"/>
                <w:szCs w:val="20"/>
                <w:color w:val="auto"/>
              </w:rPr>
            </w:pPr>
            <w:r>
              <w:rPr>
                <w:rFonts w:ascii="Arial" w:cs="Arial" w:eastAsia="Arial" w:hAnsi="Arial"/>
                <w:sz w:val="18"/>
                <w:szCs w:val="18"/>
                <w:color w:val="auto"/>
                <w:w w:val="89"/>
              </w:rPr>
              <w:t>87</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63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this 21</w:t>
      </w:r>
      <w:r>
        <w:rPr>
          <w:rFonts w:ascii="Arial" w:cs="Arial" w:eastAsia="Arial" w:hAnsi="Arial"/>
          <w:sz w:val="14"/>
          <w:szCs w:val="14"/>
          <w:color w:val="auto"/>
        </w:rPr>
        <w:t>st</w:t>
      </w:r>
      <w:r>
        <w:rPr>
          <w:rFonts w:ascii="Arial" w:cs="Arial" w:eastAsia="Arial" w:hAnsi="Arial"/>
          <w:sz w:val="17"/>
          <w:szCs w:val="17"/>
          <w:color w:val="auto"/>
        </w:rPr>
        <w:t xml:space="preserve"> day of September 2010.</w:t>
      </w:r>
    </w:p>
    <w:p>
      <w:pPr>
        <w:spacing w:after="0" w:line="1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w:t>
      </w:r>
      <w:r>
        <w:rPr>
          <w:rFonts w:ascii="Arial" w:cs="Arial" w:eastAsia="Arial" w:hAnsi="Arial"/>
          <w:sz w:val="12"/>
          <w:szCs w:val="12"/>
          <w:color w:val="auto"/>
        </w:rPr>
        <w:t>S</w:t>
      </w:r>
      <w:r>
        <w:rPr>
          <w:rFonts w:ascii="Arial" w:cs="Arial" w:eastAsia="Arial" w:hAnsi="Arial"/>
          <w:sz w:val="18"/>
          <w:szCs w:val="18"/>
          <w:color w:val="auto"/>
        </w:rPr>
        <w:t>/ T</w:t>
      </w:r>
      <w:r>
        <w:rPr>
          <w:rFonts w:ascii="Arial" w:cs="Arial" w:eastAsia="Arial" w:hAnsi="Arial"/>
          <w:sz w:val="12"/>
          <w:szCs w:val="12"/>
          <w:color w:val="auto"/>
        </w:rPr>
        <w:t>HOMAS J</w:t>
      </w:r>
      <w:r>
        <w:rPr>
          <w:rFonts w:ascii="Arial" w:cs="Arial" w:eastAsia="Arial" w:hAnsi="Arial"/>
          <w:sz w:val="18"/>
          <w:szCs w:val="18"/>
          <w:color w:val="auto"/>
        </w:rPr>
        <w:t xml:space="preserve">. </w:t>
      </w:r>
      <w:r>
        <w:rPr>
          <w:rFonts w:ascii="Arial" w:cs="Arial" w:eastAsia="Arial" w:hAnsi="Arial"/>
          <w:sz w:val="12"/>
          <w:szCs w:val="12"/>
          <w:color w:val="auto"/>
        </w:rPr>
        <w:t>FELMER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-130810</wp:posOffset>
            </wp:positionV>
            <wp:extent cx="21951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(Principal Financial Officer)</w:t>
      </w:r>
    </w:p>
    <w:p>
      <w:pPr>
        <w:spacing w:after="0" w:line="17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380" w:type="dxa"/>
            <w:vAlign w:val="bottom"/>
          </w:tcPr>
          <w:p>
            <w:pPr>
              <w:spacing w:after="0"/>
              <w:rPr>
                <w:sz w:val="20"/>
                <w:szCs w:val="20"/>
                <w:color w:val="auto"/>
              </w:rPr>
            </w:pPr>
          </w:p>
        </w:tc>
        <w:tc>
          <w:tcPr>
            <w:tcW w:w="4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r>
      <w:tr>
        <w:trPr>
          <w:trHeight w:val="426"/>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Frank M. Jaehnert</w:t>
            </w:r>
          </w:p>
        </w:tc>
        <w:tc>
          <w:tcPr>
            <w:tcW w:w="3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M. JOHNSON</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Kathleen M. Johnson</w:t>
            </w:r>
          </w:p>
        </w:tc>
        <w:tc>
          <w:tcPr>
            <w:tcW w:w="3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C. RICHARDSON</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Bradley C. Richardson</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ALLENDER</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Patrick W. Allender</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BUCHANAN</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Robert C. Buchanan</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W. GALBATO</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Chan W. Galbato</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Frank W. Harris</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CONRAD G. GOODKIND</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Conrad G. Goodkind</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P. PUNGELLO</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Elizabeth P. Pungello</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 BALKEMA</w:t>
            </w:r>
          </w:p>
        </w:tc>
        <w:tc>
          <w:tcPr>
            <w:tcW w:w="3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Gary S. Balkema</w:t>
            </w: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106" w:lineRule="exact"/>
        <w:rPr>
          <w:sz w:val="20"/>
          <w:szCs w:val="20"/>
          <w:color w:val="auto"/>
        </w:rPr>
      </w:pPr>
    </w:p>
    <w:p>
      <w:pPr>
        <w:ind w:left="4900" w:right="4819" w:hanging="4568"/>
        <w:spacing w:after="0" w:line="1099" w:lineRule="auto"/>
        <w:tabs>
          <w:tab w:leader="none" w:pos="67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of the above signatures is affixed as of September 21, 2010. 88</w:t>
      </w:r>
    </w:p>
    <w:p>
      <w:pPr>
        <w:sectPr>
          <w:pgSz w:w="11900" w:h="16838" w:orient="portrait"/>
          <w:cols w:equalWidth="0" w:num="1">
            <w:col w:w="10219"/>
          </w:cols>
          <w:pgMar w:left="240" w:top="419" w:right="1440" w:bottom="1440" w:gutter="0" w:footer="0" w:header="0"/>
        </w:sectPr>
      </w:pPr>
    </w:p>
    <w:bookmarkStart w:id="98" w:name="page99"/>
    <w:bookmarkEnd w:id="98"/>
    <w:p>
      <w:pPr>
        <w:ind w:left="8880"/>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SCHEDULE OF SUBSIDIARIES OF BRADY CORPORATION</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JULY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Voting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b w:val="1"/>
                <w:bCs w:val="1"/>
                <w:color w:val="auto"/>
                <w:w w:val="96"/>
              </w:rPr>
              <w:t>State (Country)</w:t>
            </w: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Name of Company</w:t>
            </w:r>
          </w:p>
        </w:tc>
        <w:tc>
          <w:tcPr>
            <w:tcW w:w="2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b w:val="1"/>
                <w:bCs w:val="1"/>
                <w:color w:val="auto"/>
                <w:w w:val="93"/>
              </w:rPr>
              <w:t>Of Incorporation</w:t>
            </w:r>
          </w:p>
        </w:tc>
        <w:tc>
          <w:tcPr>
            <w:tcW w:w="2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Parent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Tricor Direct, Inc.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Seton</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Name Plate Company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D&amp;G Sign and Label</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Identification Products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Emedco</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Champion America</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DAWG, Inc.</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Brady Investment Co.</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Nevada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AIO Acquisition Inc.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All-In-One Products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Personnel Concepts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Personnel Concepts Limited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Personnel Concepts Ltd.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PC Limited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USA Printing &amp; Mailing</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Dual Core LLC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Identicard Systems Worldwide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Brady People ID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JAM Plastics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PromoVision Palomino</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Temtec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Stopware</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Mexico Holding LLC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Brady Precision Converting, LLC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Wisconsin</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Brady Medical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Clement Communications, Inc.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Visual Wear LLC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Doing Business As 1888LANYARD.com</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International Co.</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Brady Worldwide, Inc.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Wisconsin</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Also Doing Business 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Brandon International</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 Systems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Teklynx International</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Sorbent Products Company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TISCOR</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Electromark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Brady Australia Holdings Pty.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Seton Australia Pty.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Accidental Health &amp; Safety Pty.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Trafalgar First Aid Pty.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Carroll Australasia Pty.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Scafftag Australia Pty.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Visisign Pty.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Transposafe Systems Belgium NV/SA</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Belgium</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W.H. Brady, N.V.</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Stickolor Industria e Comércio de Auto Adesivos Ltda.</w:t>
            </w:r>
          </w:p>
        </w:tc>
        <w:tc>
          <w:tcPr>
            <w:tcW w:w="260" w:type="dxa"/>
            <w:vAlign w:val="bottom"/>
          </w:tcPr>
          <w:p>
            <w:pPr>
              <w:spacing w:after="0"/>
              <w:rPr>
                <w:sz w:val="20"/>
                <w:szCs w:val="20"/>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Brazil</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20"/>
                <w:szCs w:val="20"/>
                <w:color w:val="auto"/>
              </w:rPr>
            </w:pPr>
          </w:p>
        </w:tc>
      </w:tr>
      <w:tr>
        <w:trPr>
          <w:trHeight w:val="1009"/>
        </w:trPr>
        <w:tc>
          <w:tcPr>
            <w:tcW w:w="340" w:type="dxa"/>
            <w:vAlign w:val="bottom"/>
            <w:tcBorders>
              <w:bottom w:val="single" w:sz="8" w:color="808080"/>
            </w:tcBorders>
          </w:tcPr>
          <w:p>
            <w:pPr>
              <w:spacing w:after="0"/>
              <w:rPr>
                <w:sz w:val="24"/>
                <w:szCs w:val="24"/>
                <w:color w:val="auto"/>
              </w:rPr>
            </w:pPr>
          </w:p>
        </w:tc>
        <w:tc>
          <w:tcPr>
            <w:tcW w:w="6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Voting</w:t>
            </w:r>
          </w:p>
        </w:tc>
      </w:tr>
      <w:tr>
        <w:trPr>
          <w:trHeight w:val="216"/>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b w:val="1"/>
                <w:bCs w:val="1"/>
                <w:color w:val="auto"/>
                <w:w w:val="96"/>
              </w:rPr>
              <w:t>State (Country)</w:t>
            </w: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Name of Company</w:t>
            </w:r>
          </w:p>
        </w:tc>
        <w:tc>
          <w:tcPr>
            <w:tcW w:w="2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b w:val="1"/>
                <w:bCs w:val="1"/>
                <w:color w:val="auto"/>
                <w:w w:val="93"/>
              </w:rPr>
              <w:t>Of Incorporation</w:t>
            </w:r>
          </w:p>
        </w:tc>
        <w:tc>
          <w:tcPr>
            <w:tcW w:w="2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0"/>
        </w:trPr>
        <w:tc>
          <w:tcPr>
            <w:tcW w:w="6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W.H.B. do Brasil Ltda.</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W.H.B. do Brasil Participações e Empreendimentos Ltda.</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Brazil</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BRC Financial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W.H.B. Identification Solutions Inc.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Canada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Brady</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GrafTek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Identicam Systems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Teklynx International</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Varitronics Canada</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Cayman Finance Company</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Investment Management (Shanghai) Co.,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Technology (Wuxi) Co.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(Beijing) Co.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(Shenzhen) Co.,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(Dongguan) Co.,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Suzhou Dicel EMC Co.,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(Langfang) Co.,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Tradex Converting (Suzhou) Co.,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CIPI Xiamen, Ltd.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PanYu Meixin Metal Company Ltd.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Braton Europe S.A.R.L</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France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Braton Groupe S.A.R.L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Teklynx</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Groupe S.A.S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Signals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BIG</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Securimed S.A.S.</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France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GmbH</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Balkhausen</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Etimark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tcPr>
          <w:p>
            <w:pPr>
              <w:ind w:left="400"/>
              <w:spacing w:after="0"/>
              <w:rPr>
                <w:sz w:val="20"/>
                <w:szCs w:val="20"/>
                <w:color w:val="auto"/>
              </w:rPr>
            </w:pPr>
            <w:r>
              <w:rPr>
                <w:rFonts w:ascii="Arial" w:cs="Arial" w:eastAsia="Arial" w:hAnsi="Arial"/>
                <w:sz w:val="18"/>
                <w:szCs w:val="18"/>
                <w:color w:val="auto"/>
              </w:rPr>
              <w:t>Teklynx</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Deutschland GmbH</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Quo-Luck Company Limited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Bakee Metal Manufactory Company Limited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Hong Kong</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Corporation Hong Kong Limited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Company India Private Limited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Italia, S.r.l.</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Italy</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Nippon Brady K.K.</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Luxembourg S.à r.l.</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Finance Luxembourg S.à r.l.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Technology SDN. BHD.</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Malaysia</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 H. Brady S. de R.L. de C.V.</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Servicios, S. de R.L. de C.V.</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Mexico</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B.V.</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Finance B.V.</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Holland Mounting Systems B.V.</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Transposafe Systems Holland B.V.</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Brady AS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Norway</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Brady Philippines Direct Marketing Inc.</w:t>
            </w:r>
          </w:p>
        </w:tc>
        <w:tc>
          <w:tcPr>
            <w:tcW w:w="26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Polska Sp. Z.o.o.</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641350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8"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Voting</w:t>
            </w:r>
          </w:p>
        </w:tc>
      </w:t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State (Country)</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Company</w:t>
            </w:r>
          </w:p>
        </w:tc>
        <w:tc>
          <w:tcPr>
            <w:tcW w:w="2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Of Incorporation</w:t>
            </w:r>
          </w:p>
        </w:tc>
        <w:tc>
          <w:tcPr>
            <w:tcW w:w="2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60" w:type="dxa"/>
            <w:vAlign w:val="bottom"/>
          </w:tcPr>
          <w:p>
            <w:pPr>
              <w:spacing w:after="0"/>
              <w:rPr>
                <w:sz w:val="20"/>
                <w:szCs w:val="20"/>
                <w:color w:val="auto"/>
              </w:rPr>
            </w:pPr>
          </w:p>
        </w:tc>
      </w:tr>
      <w:tr>
        <w:trPr>
          <w:trHeight w:val="426"/>
        </w:trPr>
        <w:tc>
          <w:tcPr>
            <w:tcW w:w="6120" w:type="dxa"/>
            <w:vAlign w:val="bottom"/>
          </w:tcPr>
          <w:p>
            <w:pPr>
              <w:spacing w:after="0"/>
              <w:rPr>
                <w:sz w:val="20"/>
                <w:szCs w:val="20"/>
                <w:color w:val="auto"/>
              </w:rPr>
            </w:pPr>
            <w:r>
              <w:rPr>
                <w:rFonts w:ascii="Arial" w:cs="Arial" w:eastAsia="Arial" w:hAnsi="Arial"/>
                <w:sz w:val="18"/>
                <w:szCs w:val="18"/>
                <w:color w:val="auto"/>
              </w:rPr>
              <w:t>Brady Corporation S.E.A. Pte. Ltd.</w:t>
            </w:r>
          </w:p>
        </w:tc>
        <w:tc>
          <w:tcPr>
            <w:tcW w:w="28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Asia Pte. Ltd.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Asia Holding Pte. Ltd.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Asia Pacific Pte. Ltd.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Asia Pacific Pte. Ltd.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s.r.o.</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Slovakia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Korea LLP</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Identificación S.L.U.</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Spain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AB</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Sweden Holding AB</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Holding i Kungälv AB</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Converting AB</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Tradex AB</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Holding Co. Ltd.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(Thailand) Co. Ltd.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Thailand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Technologies (Thailand) Co. Ltd.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Etiket ve Isaretleme Ticaret Ltd. Sirketi</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Turkey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Middle East FZE</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B.I. (UK) Limited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Limited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Brady European Finance Limited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Holdings Limited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Scafftag Limited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Safetrak Limited</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9879"/>
          </w:cols>
          <w:pgMar w:left="580" w:top="1148" w:right="1440" w:bottom="1440" w:gutter="0" w:footer="0" w:header="0"/>
        </w:sectPr>
      </w:pPr>
    </w:p>
    <w:bookmarkStart w:id="101" w:name="page102"/>
    <w:bookmarkEnd w:id="101"/>
    <w:p>
      <w:pPr>
        <w:jc w:val="right"/>
        <w:ind w:right="559"/>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333-99615, 333-110949, 333-122867, 333-134503, 333-137686, 333-141402 and 333-162538 on Form S-8 and 333-128023 and 333-155632 on Form S-3 of our reports dated September 21, 2010,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DELIOTTE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2010</w:t>
      </w:r>
    </w:p>
    <w:p>
      <w:pPr>
        <w:sectPr>
          <w:pgSz w:w="11900" w:h="16838" w:orient="portrait"/>
          <w:cols w:equalWidth="0" w:num="1">
            <w:col w:w="9879"/>
          </w:cols>
          <w:pgMar w:left="580" w:top="121" w:right="1440" w:bottom="1440" w:gutter="0" w:footer="0" w:header="0"/>
        </w:sectPr>
      </w:pPr>
    </w:p>
    <w:bookmarkStart w:id="102" w:name="page103"/>
    <w:bookmarkEnd w:id="102"/>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20" w:hanging="255"/>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6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60" w:right="559" w:firstLine="364"/>
        <w:spacing w:after="0" w:line="312" w:lineRule="auto"/>
        <w:tabs>
          <w:tab w:leader="none" w:pos="906"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360" w:right="559" w:firstLine="364"/>
        <w:spacing w:after="0" w:line="312" w:lineRule="auto"/>
        <w:tabs>
          <w:tab w:leader="none" w:pos="914"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60" w:right="559" w:firstLine="364"/>
        <w:spacing w:after="0" w:line="264" w:lineRule="auto"/>
        <w:tabs>
          <w:tab w:leader="none" w:pos="923"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0" w:right="559" w:firstLine="364"/>
        <w:spacing w:after="0" w:line="312" w:lineRule="auto"/>
        <w:tabs>
          <w:tab w:leader="none" w:pos="9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right="559" w:firstLine="365"/>
        <w:spacing w:after="0" w:line="264" w:lineRule="auto"/>
        <w:tabs>
          <w:tab w:leader="none" w:pos="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360" w:right="559" w:firstLine="364"/>
        <w:spacing w:after="0" w:line="264" w:lineRule="auto"/>
        <w:tabs>
          <w:tab w:leader="none" w:pos="9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0" w:right="559" w:firstLine="364"/>
        <w:spacing w:after="0" w:line="277" w:lineRule="auto"/>
        <w:tabs>
          <w:tab w:leader="none" w:pos="91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2010</w:t>
      </w:r>
    </w:p>
    <w:p>
      <w:pPr>
        <w:sectPr>
          <w:pgSz w:w="11900" w:h="16838" w:orient="portrait"/>
          <w:cols w:equalWidth="0" w:num="1">
            <w:col w:w="9879"/>
          </w:cols>
          <w:pgMar w:left="580" w:top="121" w:right="1440" w:bottom="1440" w:gutter="0" w:footer="0" w:header="0"/>
        </w:sectPr>
      </w:pPr>
    </w:p>
    <w:bookmarkStart w:id="103" w:name="page104"/>
    <w:bookmarkEnd w:id="103"/>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20" w:hanging="255"/>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84" w:lineRule="exact"/>
        <w:rPr>
          <w:rFonts w:ascii="Arial" w:cs="Arial" w:eastAsia="Arial" w:hAnsi="Arial"/>
          <w:sz w:val="18"/>
          <w:szCs w:val="18"/>
          <w:color w:val="auto"/>
        </w:rPr>
      </w:pPr>
    </w:p>
    <w:p>
      <w:pPr>
        <w:jc w:val="both"/>
        <w:ind w:right="559" w:firstLine="365"/>
        <w:spacing w:after="0" w:line="264"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559" w:firstLine="365"/>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559" w:firstLine="365"/>
        <w:spacing w:after="0" w:line="264" w:lineRule="auto"/>
        <w:tabs>
          <w:tab w:leader="none" w:pos="6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60" w:right="559" w:firstLine="364"/>
        <w:spacing w:after="0" w:line="312" w:lineRule="auto"/>
        <w:tabs>
          <w:tab w:leader="none" w:pos="9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360" w:right="559" w:firstLine="364"/>
        <w:spacing w:after="0" w:line="312" w:lineRule="auto"/>
        <w:tabs>
          <w:tab w:leader="none" w:pos="914"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60" w:right="559" w:firstLine="364"/>
        <w:spacing w:after="0" w:line="264" w:lineRule="auto"/>
        <w:tabs>
          <w:tab w:leader="none" w:pos="923"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0" w:right="559" w:firstLine="364"/>
        <w:spacing w:after="0" w:line="312" w:lineRule="auto"/>
        <w:tabs>
          <w:tab w:leader="none" w:pos="924"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right="559" w:firstLine="365"/>
        <w:spacing w:after="0" w:line="264" w:lineRule="auto"/>
        <w:tabs>
          <w:tab w:leader="none" w:pos="6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360" w:right="559" w:firstLine="364"/>
        <w:spacing w:after="0" w:line="264" w:lineRule="auto"/>
        <w:tabs>
          <w:tab w:leader="none" w:pos="92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0" w:right="559" w:firstLine="364"/>
        <w:spacing w:after="0" w:line="277" w:lineRule="auto"/>
        <w:tabs>
          <w:tab w:leader="none" w:pos="91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-130810</wp:posOffset>
            </wp:positionV>
            <wp:extent cx="22980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2010</w:t>
      </w:r>
    </w:p>
    <w:p>
      <w:pPr>
        <w:sectPr>
          <w:pgSz w:w="11900" w:h="16838" w:orient="portrait"/>
          <w:cols w:equalWidth="0" w:num="1">
            <w:col w:w="9879"/>
          </w:cols>
          <w:pgMar w:left="580" w:top="121" w:right="1440" w:bottom="1440" w:gutter="0" w:footer="0" w:header="0"/>
        </w:sectPr>
      </w:pPr>
    </w:p>
    <w:bookmarkStart w:id="104" w:name="page105"/>
    <w:bookmarkEnd w:id="104"/>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left="360" w:right="559" w:firstLine="364"/>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98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2010</w:t>
      </w:r>
    </w:p>
    <w:p>
      <w:pPr>
        <w:spacing w:after="0" w:line="185"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105" w:name="page106"/>
    <w:bookmarkEnd w:id="105"/>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left="360" w:right="559" w:firstLine="364"/>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9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-130810</wp:posOffset>
            </wp:positionV>
            <wp:extent cx="22980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2010</w:t>
      </w:r>
    </w:p>
    <w:p>
      <w:pPr>
        <w:spacing w:after="0" w:line="185"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2"/>
    </w:lvl>
  </w:abstractNum>
  <w:abstractNum w:abstractNumId="4">
    <w:nsid w:val="614FD4A1"/>
    <w:multiLevelType w:val="hybridMultilevel"/>
    <w:lvl w:ilvl="0">
      <w:lvlJc w:val="left"/>
      <w:lvlText w:val="(%1)"/>
      <w:numFmt w:val="lowerLetter"/>
      <w:start w:val="3"/>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lowerLetter"/>
      <w:start w:val="4"/>
    </w:lvl>
  </w:abstractNum>
  <w:abstractNum w:abstractNumId="14">
    <w:nsid w:val="5E884ADC"/>
    <w:multiLevelType w:val="hybridMultilevel"/>
    <w:lvl w:ilvl="0">
      <w:lvlJc w:val="left"/>
      <w:lvlText w:val="(%1)"/>
      <w:numFmt w:val="lowerLetter"/>
      <w:start w:val="5"/>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2"/>
    </w:lvl>
  </w:abstractNum>
  <w:abstractNum w:abstractNumId="17">
    <w:nsid w:val="580BD78F"/>
    <w:multiLevelType w:val="hybridMultilevel"/>
    <w:lvl w:ilvl="0">
      <w:lvlJc w:val="left"/>
      <w:lvlText w:val="(%1)"/>
      <w:numFmt w:val="lowerLetter"/>
      <w:start w:val="3"/>
    </w:lvl>
  </w:abstractNum>
  <w:abstractNum w:abstractNumId="18">
    <w:nsid w:val="153EA438"/>
    <w:multiLevelType w:val="hybridMultilevel"/>
    <w:lvl w:ilvl="0">
      <w:lvlJc w:val="left"/>
      <w:lvlText w:val="(%1)"/>
      <w:numFmt w:val="lowerLetter"/>
      <w:start w:val="4"/>
    </w:lvl>
  </w:abstractNum>
  <w:abstractNum w:abstractNumId="19">
    <w:nsid w:val="3855585C"/>
    <w:multiLevelType w:val="hybridMultilevel"/>
    <w:lvl w:ilvl="0">
      <w:lvlJc w:val="left"/>
      <w:lvlText w:val="(%1)"/>
      <w:numFmt w:val="lowerLetter"/>
      <w:start w:val="5"/>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amp;"/>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4"/>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lowerRoman"/>
      <w:start w:val="2"/>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3"/>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2019-12-10T06:16:22Z</dcterms:created>
  <dcterms:modified xsi:type="dcterms:W3CDTF">2019-12-10T06:16:22Z</dcterms:modified>
</cp:coreProperties>
</file>