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57150</wp:posOffset>
            </wp:positionV>
            <wp:extent cx="18427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155"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37465</wp:posOffset>
            </wp:positionV>
            <wp:extent cx="18516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10" w:lineRule="exact"/>
        <w:rPr>
          <w:sz w:val="24"/>
          <w:szCs w:val="24"/>
          <w:color w:val="auto"/>
        </w:rPr>
      </w:pPr>
    </w:p>
    <w:p>
      <w:pPr>
        <w:ind w:left="4380" w:right="2100" w:hanging="4354"/>
        <w:spacing w:after="0" w:line="360" w:lineRule="auto"/>
        <w:tabs>
          <w:tab w:leader="none" w:pos="37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July 31, 2023</w:t>
      </w:r>
    </w:p>
    <w:p>
      <w:pPr>
        <w:ind w:left="55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57" w:lineRule="exact"/>
        <w:rPr>
          <w:rFonts w:ascii="MS PGothic" w:cs="MS PGothic" w:eastAsia="MS PGothic" w:hAnsi="MS PGothic"/>
          <w:sz w:val="18"/>
          <w:szCs w:val="18"/>
          <w:color w:val="auto"/>
        </w:rPr>
      </w:pPr>
    </w:p>
    <w:p>
      <w:pPr>
        <w:ind w:left="380" w:hanging="341"/>
        <w:spacing w:after="0"/>
        <w:tabs>
          <w:tab w:leader="none" w:pos="38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700"/>
        <w:spacing w:after="0"/>
        <w:tabs>
          <w:tab w:leader="none" w:pos="69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Commission file number 1-14959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68580</wp:posOffset>
            </wp:positionV>
            <wp:extent cx="18427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16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BRADY CORPORATION</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64770</wp:posOffset>
            </wp:positionV>
            <wp:extent cx="1842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42770" cy="8255"/>
                    </a:xfrm>
                    <a:prstGeom prst="rect">
                      <a:avLst/>
                    </a:prstGeom>
                    <a:noFill/>
                  </pic:spPr>
                </pic:pic>
              </a:graphicData>
            </a:graphic>
          </wp:anchor>
        </w:drawing>
      </w:r>
    </w:p>
    <w:p>
      <w:pPr>
        <w:spacing w:after="0" w:line="208" w:lineRule="exact"/>
        <w:rPr>
          <w:sz w:val="24"/>
          <w:szCs w:val="24"/>
          <w:color w:val="auto"/>
        </w:rPr>
      </w:pPr>
    </w:p>
    <w:tbl>
      <w:tblPr>
        <w:tblLayout w:type="fixed"/>
        <w:tblInd w:w="10" w:type="dxa"/>
        <w:tblCellMar>
          <w:top w:w="0" w:type="dxa"/>
          <w:left w:w="0" w:type="dxa"/>
          <w:bottom w:w="0" w:type="dxa"/>
          <w:right w:w="0" w:type="dxa"/>
        </w:tblCellMar>
      </w:tblPr>
      <w:tr>
        <w:trPr>
          <w:trHeight w:val="186"/>
        </w:trPr>
        <w:tc>
          <w:tcPr>
            <w:tcW w:w="3980" w:type="dxa"/>
            <w:vAlign w:val="bottom"/>
          </w:tcPr>
          <w:p>
            <w:pPr>
              <w:ind w:left="3280"/>
              <w:spacing w:after="0"/>
              <w:rPr>
                <w:sz w:val="20"/>
                <w:szCs w:val="20"/>
                <w:color w:val="auto"/>
              </w:rPr>
            </w:pPr>
            <w:r>
              <w:rPr>
                <w:rFonts w:ascii="Arial" w:cs="Arial" w:eastAsia="Arial" w:hAnsi="Arial"/>
                <w:sz w:val="14"/>
                <w:szCs w:val="14"/>
                <w:b w:val="1"/>
                <w:bCs w:val="1"/>
                <w:color w:val="auto"/>
                <w:w w:val="97"/>
              </w:rPr>
              <w:t>Wisconsin</w:t>
            </w:r>
          </w:p>
        </w:tc>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500" w:type="dxa"/>
            <w:vAlign w:val="bottom"/>
            <w:gridSpan w:val="2"/>
          </w:tcPr>
          <w:p>
            <w:pPr>
              <w:jc w:val="right"/>
              <w:ind w:right="2108"/>
              <w:spacing w:after="0"/>
              <w:rPr>
                <w:sz w:val="20"/>
                <w:szCs w:val="20"/>
                <w:color w:val="auto"/>
              </w:rPr>
            </w:pPr>
            <w:r>
              <w:rPr>
                <w:rFonts w:ascii="Arial" w:cs="Arial" w:eastAsia="Arial" w:hAnsi="Arial"/>
                <w:sz w:val="14"/>
                <w:szCs w:val="14"/>
                <w:b w:val="1"/>
                <w:bCs w:val="1"/>
                <w:color w:val="auto"/>
              </w:rPr>
              <w:t>39-0178960</w:t>
            </w:r>
          </w:p>
        </w:tc>
        <w:tc>
          <w:tcPr>
            <w:tcW w:w="0" w:type="dxa"/>
            <w:vAlign w:val="bottom"/>
          </w:tcPr>
          <w:p>
            <w:pPr>
              <w:spacing w:after="0"/>
              <w:rPr>
                <w:sz w:val="1"/>
                <w:szCs w:val="1"/>
                <w:color w:val="auto"/>
              </w:rPr>
            </w:pPr>
          </w:p>
        </w:tc>
      </w:tr>
      <w:tr>
        <w:trPr>
          <w:trHeight w:val="203"/>
        </w:trPr>
        <w:tc>
          <w:tcPr>
            <w:tcW w:w="6760" w:type="dxa"/>
            <w:vAlign w:val="bottom"/>
            <w:gridSpan w:val="4"/>
          </w:tcPr>
          <w:p>
            <w:pPr>
              <w:ind w:left="1860"/>
              <w:spacing w:after="0"/>
              <w:rPr>
                <w:sz w:val="20"/>
                <w:szCs w:val="20"/>
                <w:color w:val="auto"/>
              </w:rPr>
            </w:pPr>
            <w:r>
              <w:rPr>
                <w:rFonts w:ascii="Arial" w:cs="Arial" w:eastAsia="Arial" w:hAnsi="Arial"/>
                <w:sz w:val="14"/>
                <w:szCs w:val="14"/>
                <w:color w:val="auto"/>
              </w:rPr>
              <w:t>(State or other jurisdiction of incorporation or organization)</w:t>
            </w:r>
          </w:p>
        </w:tc>
        <w:tc>
          <w:tcPr>
            <w:tcW w:w="300" w:type="dxa"/>
            <w:vAlign w:val="bottom"/>
          </w:tcPr>
          <w:p>
            <w:pPr>
              <w:spacing w:after="0"/>
              <w:rPr>
                <w:sz w:val="17"/>
                <w:szCs w:val="17"/>
                <w:color w:val="auto"/>
              </w:rPr>
            </w:pPr>
          </w:p>
        </w:tc>
        <w:tc>
          <w:tcPr>
            <w:tcW w:w="4200" w:type="dxa"/>
            <w:vAlign w:val="bottom"/>
          </w:tcPr>
          <w:p>
            <w:pPr>
              <w:jc w:val="center"/>
              <w:ind w:right="788"/>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313"/>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6555 West Good Hope Road</w:t>
            </w:r>
          </w:p>
        </w:tc>
        <w:tc>
          <w:tcPr>
            <w:tcW w:w="3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3"/>
              </w:rPr>
              <w:t>Milwaukee, Wisconsin 53223</w:t>
            </w:r>
          </w:p>
        </w:tc>
        <w:tc>
          <w:tcPr>
            <w:tcW w:w="30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980" w:type="dxa"/>
            <w:vAlign w:val="bottom"/>
          </w:tcPr>
          <w:p>
            <w:pPr>
              <w:spacing w:after="0"/>
              <w:rPr>
                <w:sz w:val="15"/>
                <w:szCs w:val="15"/>
                <w:color w:val="auto"/>
              </w:rPr>
            </w:pPr>
          </w:p>
        </w:tc>
        <w:tc>
          <w:tcPr>
            <w:tcW w:w="7280" w:type="dxa"/>
            <w:vAlign w:val="bottom"/>
            <w:gridSpan w:val="5"/>
          </w:tcPr>
          <w:p>
            <w:pPr>
              <w:jc w:val="center"/>
              <w:ind w:right="3908"/>
              <w:spacing w:after="0"/>
              <w:rPr>
                <w:sz w:val="20"/>
                <w:szCs w:val="20"/>
                <w:color w:val="auto"/>
              </w:rPr>
            </w:pPr>
            <w:r>
              <w:rPr>
                <w:rFonts w:ascii="Arial" w:cs="Arial" w:eastAsia="Arial" w:hAnsi="Arial"/>
                <w:sz w:val="14"/>
                <w:szCs w:val="14"/>
                <w:color w:val="auto"/>
                <w:w w:val="94"/>
              </w:rPr>
              <w:t>(Address of principal executive offices and Zip Code)</w:t>
            </w:r>
          </w:p>
        </w:tc>
        <w:tc>
          <w:tcPr>
            <w:tcW w:w="0" w:type="dxa"/>
            <w:vAlign w:val="bottom"/>
          </w:tcPr>
          <w:p>
            <w:pPr>
              <w:spacing w:after="0"/>
              <w:rPr>
                <w:sz w:val="1"/>
                <w:szCs w:val="1"/>
                <w:color w:val="auto"/>
              </w:rPr>
            </w:pPr>
          </w:p>
        </w:tc>
      </w:tr>
      <w:tr>
        <w:trPr>
          <w:trHeight w:val="277"/>
        </w:trPr>
        <w:tc>
          <w:tcPr>
            <w:tcW w:w="3980" w:type="dxa"/>
            <w:vAlign w:val="bottom"/>
          </w:tcPr>
          <w:p>
            <w:pPr>
              <w:spacing w:after="0"/>
              <w:rPr>
                <w:sz w:val="24"/>
                <w:szCs w:val="24"/>
                <w:color w:val="auto"/>
              </w:rPr>
            </w:pPr>
          </w:p>
        </w:tc>
        <w:tc>
          <w:tcPr>
            <w:tcW w:w="2780" w:type="dxa"/>
            <w:vAlign w:val="bottom"/>
            <w:gridSpan w:val="3"/>
          </w:tcPr>
          <w:p>
            <w:pPr>
              <w:jc w:val="center"/>
              <w:ind w:left="448"/>
              <w:spacing w:after="0"/>
              <w:rPr>
                <w:sz w:val="20"/>
                <w:szCs w:val="20"/>
                <w:color w:val="auto"/>
              </w:rPr>
            </w:pPr>
            <w:r>
              <w:rPr>
                <w:rFonts w:ascii="Arial" w:cs="Arial" w:eastAsia="Arial" w:hAnsi="Arial"/>
                <w:sz w:val="14"/>
                <w:szCs w:val="14"/>
                <w:b w:val="1"/>
                <w:bCs w:val="1"/>
                <w:color w:val="auto"/>
                <w:w w:val="93"/>
              </w:rPr>
              <w:t>(414) 358-6600</w:t>
            </w:r>
          </w:p>
        </w:tc>
        <w:tc>
          <w:tcPr>
            <w:tcW w:w="3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980" w:type="dxa"/>
            <w:vAlign w:val="bottom"/>
          </w:tcPr>
          <w:p>
            <w:pPr>
              <w:spacing w:after="0"/>
              <w:rPr>
                <w:sz w:val="15"/>
                <w:szCs w:val="15"/>
                <w:color w:val="auto"/>
              </w:rPr>
            </w:pPr>
          </w:p>
        </w:tc>
        <w:tc>
          <w:tcPr>
            <w:tcW w:w="7280" w:type="dxa"/>
            <w:vAlign w:val="bottom"/>
            <w:gridSpan w:val="5"/>
          </w:tcPr>
          <w:p>
            <w:pPr>
              <w:jc w:val="center"/>
              <w:ind w:right="3928"/>
              <w:spacing w:after="0"/>
              <w:rPr>
                <w:sz w:val="20"/>
                <w:szCs w:val="20"/>
                <w:color w:val="auto"/>
              </w:rPr>
            </w:pPr>
            <w:r>
              <w:rPr>
                <w:rFonts w:ascii="Arial" w:cs="Arial" w:eastAsia="Arial" w:hAnsi="Arial"/>
                <w:sz w:val="14"/>
                <w:szCs w:val="14"/>
                <w:color w:val="auto"/>
                <w:w w:val="92"/>
              </w:rPr>
              <w:t>(Registrant’s telephone number, including area code)</w:t>
            </w:r>
          </w:p>
        </w:tc>
        <w:tc>
          <w:tcPr>
            <w:tcW w:w="0" w:type="dxa"/>
            <w:vAlign w:val="bottom"/>
          </w:tcPr>
          <w:p>
            <w:pPr>
              <w:spacing w:after="0"/>
              <w:rPr>
                <w:sz w:val="1"/>
                <w:szCs w:val="1"/>
                <w:color w:val="auto"/>
              </w:rPr>
            </w:pPr>
          </w:p>
        </w:tc>
      </w:tr>
      <w:tr>
        <w:trPr>
          <w:trHeight w:val="79"/>
        </w:trPr>
        <w:tc>
          <w:tcPr>
            <w:tcW w:w="3980" w:type="dxa"/>
            <w:vAlign w:val="bottom"/>
            <w:vMerge w:val="restart"/>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8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398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39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45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9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Title of each class</w:t>
            </w:r>
          </w:p>
        </w:tc>
        <w:tc>
          <w:tcPr>
            <w:tcW w:w="180" w:type="dxa"/>
            <w:vAlign w:val="bottom"/>
            <w:tcBorders>
              <w:bottom w:val="single" w:sz="8" w:color="auto"/>
            </w:tcBorders>
          </w:tcPr>
          <w:p>
            <w:pPr>
              <w:spacing w:after="0"/>
              <w:rPr>
                <w:sz w:val="16"/>
                <w:szCs w:val="16"/>
                <w:color w:val="auto"/>
              </w:rPr>
            </w:pPr>
          </w:p>
        </w:tc>
        <w:tc>
          <w:tcPr>
            <w:tcW w:w="400" w:type="dxa"/>
            <w:vAlign w:val="bottom"/>
            <w:tcBorders>
              <w:bottom w:val="single" w:sz="8" w:color="auto"/>
              <w:right w:val="single" w:sz="8" w:color="auto"/>
            </w:tcBorders>
          </w:tcPr>
          <w:p>
            <w:pPr>
              <w:spacing w:after="0"/>
              <w:rPr>
                <w:sz w:val="16"/>
                <w:szCs w:val="16"/>
                <w:color w:val="auto"/>
              </w:rPr>
            </w:pPr>
          </w:p>
        </w:tc>
        <w:tc>
          <w:tcPr>
            <w:tcW w:w="22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Trading Symbol</w:t>
            </w:r>
          </w:p>
        </w:tc>
        <w:tc>
          <w:tcPr>
            <w:tcW w:w="45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2"/>
        </w:trPr>
        <w:tc>
          <w:tcPr>
            <w:tcW w:w="3980" w:type="dxa"/>
            <w:vAlign w:val="bottom"/>
            <w:tcBorders>
              <w:left w:val="single" w:sz="8" w:color="auto"/>
            </w:tcBorders>
          </w:tcPr>
          <w:p>
            <w:pPr>
              <w:ind w:left="40"/>
              <w:spacing w:after="0"/>
              <w:rPr>
                <w:sz w:val="20"/>
                <w:szCs w:val="20"/>
                <w:color w:val="auto"/>
              </w:rPr>
            </w:pPr>
            <w:r>
              <w:rPr>
                <w:rFonts w:ascii="Arial" w:cs="Arial" w:eastAsia="Arial" w:hAnsi="Arial"/>
                <w:sz w:val="14"/>
                <w:szCs w:val="14"/>
                <w:color w:val="auto"/>
              </w:rPr>
              <w:t>Class A Nonvoting Common Stock, par value $0.01 per share</w:t>
            </w:r>
          </w:p>
        </w:tc>
        <w:tc>
          <w:tcPr>
            <w:tcW w:w="180" w:type="dxa"/>
            <w:vAlign w:val="bottom"/>
          </w:tcPr>
          <w:p>
            <w:pPr>
              <w:spacing w:after="0"/>
              <w:rPr>
                <w:sz w:val="15"/>
                <w:szCs w:val="15"/>
                <w:color w:val="auto"/>
              </w:rPr>
            </w:pPr>
          </w:p>
        </w:tc>
        <w:tc>
          <w:tcPr>
            <w:tcW w:w="400" w:type="dxa"/>
            <w:vAlign w:val="bottom"/>
            <w:tcBorders>
              <w:right w:val="single" w:sz="8" w:color="auto"/>
            </w:tcBorders>
          </w:tcPr>
          <w:p>
            <w:pPr>
              <w:spacing w:after="0"/>
              <w:rPr>
                <w:sz w:val="15"/>
                <w:szCs w:val="15"/>
                <w:color w:val="auto"/>
              </w:rPr>
            </w:pPr>
          </w:p>
        </w:tc>
        <w:tc>
          <w:tcPr>
            <w:tcW w:w="22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BRC</w:t>
            </w:r>
          </w:p>
        </w:tc>
        <w:tc>
          <w:tcPr>
            <w:tcW w:w="450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r>
        <w:trPr>
          <w:trHeight w:val="20"/>
        </w:trPr>
        <w:tc>
          <w:tcPr>
            <w:tcW w:w="398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3980" w:type="dxa"/>
            <w:vAlign w:val="bottom"/>
          </w:tcPr>
          <w:p>
            <w:pPr>
              <w:spacing w:after="0"/>
              <w:rPr>
                <w:sz w:val="20"/>
                <w:szCs w:val="20"/>
                <w:color w:val="auto"/>
              </w:rPr>
            </w:pPr>
            <w:r>
              <w:rPr>
                <w:rFonts w:ascii="Arial" w:cs="Arial" w:eastAsia="Arial" w:hAnsi="Arial"/>
                <w:sz w:val="14"/>
                <w:szCs w:val="14"/>
                <w:color w:val="auto"/>
              </w:rPr>
              <w:t>Securities registered pursuant to Section 12(g) of the Act: None</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6760" w:type="dxa"/>
            <w:vAlign w:val="bottom"/>
            <w:gridSpan w:val="4"/>
          </w:tcPr>
          <w:p>
            <w:pPr>
              <w:spacing w:after="0"/>
              <w:rPr>
                <w:sz w:val="20"/>
                <w:szCs w:val="20"/>
                <w:color w:val="auto"/>
              </w:rPr>
            </w:pPr>
            <w:r>
              <w:rPr>
                <w:rFonts w:ascii="Arial" w:cs="Arial" w:eastAsia="Arial" w:hAnsi="Arial"/>
                <w:sz w:val="14"/>
                <w:szCs w:val="14"/>
                <w:color w:val="auto"/>
                <w:w w:val="92"/>
              </w:rPr>
              <w:t>Indicate by check mark if the registrant is a well-known seasoned issuer, as defined in Rule 405 of the Securities Act.</w:t>
            </w:r>
          </w:p>
        </w:tc>
        <w:tc>
          <w:tcPr>
            <w:tcW w:w="4500" w:type="dxa"/>
            <w:vAlign w:val="bottom"/>
            <w:gridSpan w:val="2"/>
          </w:tcPr>
          <w:p>
            <w:pPr>
              <w:ind w:left="140"/>
              <w:spacing w:after="0" w:line="184"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310"/>
        </w:trPr>
        <w:tc>
          <w:tcPr>
            <w:tcW w:w="11260" w:type="dxa"/>
            <w:vAlign w:val="bottom"/>
            <w:gridSpan w:val="6"/>
          </w:tcPr>
          <w:p>
            <w:pPr>
              <w:spacing w:after="0" w:line="184"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69" w:lineRule="exact"/>
        <w:rPr>
          <w:sz w:val="24"/>
          <w:szCs w:val="24"/>
          <w:color w:val="auto"/>
        </w:rPr>
      </w:pPr>
    </w:p>
    <w:p>
      <w:pPr>
        <w:jc w:val="both"/>
        <w:ind w:right="40"/>
        <w:spacing w:after="0" w:line="20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jc w:val="both"/>
        <w:ind w:right="20"/>
        <w:spacing w:after="0" w:line="20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71" w:lineRule="exact"/>
        <w:rPr>
          <w:sz w:val="24"/>
          <w:szCs w:val="24"/>
          <w:color w:val="auto"/>
        </w:rPr>
      </w:pPr>
    </w:p>
    <w:p>
      <w:pPr>
        <w:jc w:val="both"/>
        <w:ind w:right="40"/>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229" w:right="319" w:bottom="1440" w:gutter="0" w:footer="0" w:header="0"/>
        </w:sectPr>
      </w:pPr>
    </w:p>
    <w:p>
      <w:pPr>
        <w:spacing w:after="0" w:line="42" w:lineRule="exact"/>
        <w:rPr>
          <w:sz w:val="24"/>
          <w:szCs w:val="24"/>
          <w:color w:val="auto"/>
        </w:rPr>
      </w:pPr>
    </w:p>
    <w:p>
      <w:pPr>
        <w:ind w:left="20" w:right="420"/>
        <w:spacing w:after="0" w:line="420" w:lineRule="auto"/>
        <w:rPr>
          <w:sz w:val="20"/>
          <w:szCs w:val="20"/>
          <w:color w:val="auto"/>
        </w:rPr>
      </w:pPr>
      <w:r>
        <w:rPr>
          <w:rFonts w:ascii="Arial" w:cs="Arial" w:eastAsia="Arial" w:hAnsi="Arial"/>
          <w:sz w:val="13"/>
          <w:szCs w:val="13"/>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MS PGothic" w:cs="MS PGothic" w:eastAsia="MS PGothic" w:hAnsi="MS PGothic"/>
          <w:sz w:val="14"/>
          <w:szCs w:val="14"/>
          <w:color w:val="auto"/>
        </w:rPr>
        <w:t>☐</w:t>
      </w:r>
    </w:p>
    <w:p>
      <w:pPr>
        <w:spacing w:after="0" w:line="13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200"/>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MS PGothic" w:cs="MS PGothic" w:eastAsia="MS PGothic" w:hAnsi="MS PGothic"/>
          <w:sz w:val="14"/>
          <w:szCs w:val="14"/>
          <w:color w:val="auto"/>
        </w:rPr>
        <w:t>☐</w:t>
      </w:r>
    </w:p>
    <w:p>
      <w:pPr>
        <w:spacing w:after="0" w:line="417" w:lineRule="exact"/>
        <w:rPr>
          <w:sz w:val="24"/>
          <w:szCs w:val="24"/>
          <w:color w:val="auto"/>
        </w:rPr>
      </w:pPr>
    </w:p>
    <w:p>
      <w:pPr>
        <w:sectPr>
          <w:pgSz w:w="11900" w:h="16838" w:orient="portrait"/>
          <w:cols w:equalWidth="0" w:num="6">
            <w:col w:w="1740" w:space="720"/>
            <w:col w:w="320" w:space="720"/>
            <w:col w:w="1780" w:space="720"/>
            <w:col w:w="320" w:space="720"/>
            <w:col w:w="1760" w:space="720"/>
            <w:col w:w="1740"/>
          </w:cols>
          <w:pgMar w:left="320" w:top="229" w:right="319" w:bottom="1440" w:gutter="0" w:footer="0" w:header="0"/>
          <w:type w:val="continuous"/>
        </w:sectPr>
      </w:pPr>
    </w:p>
    <w:p>
      <w:pPr>
        <w:jc w:val="both"/>
        <w:ind w:right="20"/>
        <w:spacing w:after="0" w:line="19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8" w:lineRule="exact"/>
        <w:rPr>
          <w:sz w:val="24"/>
          <w:szCs w:val="24"/>
          <w:color w:val="auto"/>
        </w:rPr>
      </w:pPr>
    </w:p>
    <w:p>
      <w:pPr>
        <w:jc w:val="both"/>
        <w:ind w:right="20"/>
        <w:spacing w:after="0" w:line="202"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0" w:lineRule="exact"/>
        <w:rPr>
          <w:sz w:val="24"/>
          <w:szCs w:val="24"/>
          <w:color w:val="auto"/>
        </w:rPr>
      </w:pPr>
    </w:p>
    <w:p>
      <w:pPr>
        <w:jc w:val="both"/>
        <w:ind w:right="20"/>
        <w:spacing w:after="0" w:line="208"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1" w:lineRule="exact"/>
        <w:rPr>
          <w:sz w:val="24"/>
          <w:szCs w:val="24"/>
          <w:color w:val="auto"/>
        </w:rPr>
      </w:pPr>
    </w:p>
    <w:p>
      <w:pPr>
        <w:jc w:val="both"/>
        <w:ind w:right="20"/>
        <w:spacing w:after="0" w:line="208"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26" w:lineRule="exact"/>
        <w:rPr>
          <w:sz w:val="24"/>
          <w:szCs w:val="24"/>
          <w:color w:val="auto"/>
        </w:rPr>
      </w:pPr>
    </w:p>
    <w:p>
      <w:pPr>
        <w:spacing w:after="0" w:line="184" w:lineRule="exact"/>
        <w:tabs>
          <w:tab w:leader="none" w:pos="6060" w:val="left"/>
          <w:tab w:leader="none" w:pos="66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58" w:lineRule="exact"/>
        <w:rPr>
          <w:sz w:val="24"/>
          <w:szCs w:val="24"/>
          <w:color w:val="auto"/>
        </w:rPr>
      </w:pPr>
    </w:p>
    <w:p>
      <w:pPr>
        <w:jc w:val="both"/>
        <w:ind w:right="20"/>
        <w:spacing w:after="0" w:line="308" w:lineRule="auto"/>
        <w:rPr>
          <w:sz w:val="20"/>
          <w:szCs w:val="20"/>
          <w:color w:val="auto"/>
        </w:rPr>
      </w:pPr>
      <w:r>
        <w:rPr>
          <w:rFonts w:ascii="Arial" w:cs="Arial" w:eastAsia="Arial" w:hAnsi="Arial"/>
          <w:sz w:val="13"/>
          <w:szCs w:val="13"/>
          <w:color w:val="auto"/>
        </w:rPr>
        <w:t>The aggregate market value of the non-voting common stock held by non-affiliates of the registrant as of January 31, 2023, was approximately $2,362,342,797 based on the closing sale price of $53.47 per share on that date as reported for the New York Stock Exchange. As of August 31, 2023, there were 44,825,183 outstanding shares of Class A Nonvoting Common Stock (the “Class A Common Stock”), and 3,538,628 shares of Class B Common Stock. The Class B Common Stock, all of which is held by affiliates of the registrant, is the only voting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551180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5340"/>
              <w:spacing w:after="0"/>
              <w:rPr>
                <w:sz w:val="20"/>
                <w:szCs w:val="20"/>
                <w:color w:val="auto"/>
              </w:rPr>
            </w:pPr>
            <w:r>
              <w:rPr>
                <w:rFonts w:ascii="Arial" w:cs="Arial" w:eastAsia="Arial" w:hAnsi="Arial"/>
                <w:sz w:val="18"/>
                <w:szCs w:val="18"/>
                <w:b w:val="1"/>
                <w:bCs w:val="1"/>
                <w:color w:val="auto"/>
              </w:rPr>
              <w:t>INDEX</w:t>
            </w:r>
          </w:p>
        </w:tc>
        <w:tc>
          <w:tcPr>
            <w:tcW w:w="1480" w:type="dxa"/>
            <w:vAlign w:val="bottom"/>
          </w:tcPr>
          <w:p>
            <w:pPr>
              <w:spacing w:after="0"/>
              <w:rPr>
                <w:sz w:val="20"/>
                <w:szCs w:val="20"/>
                <w:color w:val="auto"/>
              </w:rPr>
            </w:pPr>
          </w:p>
        </w:tc>
      </w:tr>
      <w:tr>
        <w:trPr>
          <w:trHeight w:val="499"/>
        </w:trPr>
        <w:tc>
          <w:tcPr>
            <w:tcW w:w="9760" w:type="dxa"/>
            <w:vAlign w:val="bottom"/>
          </w:tcPr>
          <w:p>
            <w:pPr>
              <w:jc w:val="center"/>
              <w:spacing w:after="0"/>
              <w:rPr>
                <w:sz w:val="20"/>
                <w:szCs w:val="20"/>
                <w:color w:val="auto"/>
              </w:rPr>
            </w:pPr>
            <w:r>
              <w:rPr>
                <w:rFonts w:ascii="Arial" w:cs="Arial" w:eastAsia="Arial" w:hAnsi="Arial"/>
                <w:sz w:val="18"/>
                <w:szCs w:val="18"/>
                <w:b w:val="1"/>
                <w:bCs w:val="1"/>
                <w:color w:val="auto"/>
                <w:w w:val="98"/>
              </w:rPr>
              <w:t>PART I</w:t>
            </w: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Page</w:t>
            </w:r>
          </w:p>
        </w:tc>
      </w:tr>
      <w:tr>
        <w:trPr>
          <w:trHeight w:val="222"/>
        </w:trPr>
        <w:tc>
          <w:tcPr>
            <w:tcW w:w="9760" w:type="dxa"/>
            <w:vAlign w:val="bottom"/>
          </w:tcPr>
          <w:p>
            <w:pPr>
              <w:ind w:left="20"/>
              <w:spacing w:after="0"/>
              <w:rPr>
                <w:sz w:val="20"/>
                <w:szCs w:val="20"/>
                <w:color w:val="auto"/>
              </w:rPr>
            </w:pPr>
            <w:r>
              <w:rPr>
                <w:rFonts w:ascii="Arial" w:cs="Arial" w:eastAsia="Arial" w:hAnsi="Arial"/>
                <w:sz w:val="18"/>
                <w:szCs w:val="18"/>
                <w:color w:val="0000FF"/>
              </w:rPr>
              <w:t>Item 1. Business</w:t>
            </w:r>
          </w:p>
        </w:tc>
        <w:tc>
          <w:tcPr>
            <w:tcW w:w="1480" w:type="dxa"/>
            <w:vAlign w:val="bottom"/>
          </w:tcPr>
          <w:p>
            <w:pPr>
              <w:jc w:val="right"/>
              <w:spacing w:after="0"/>
              <w:rPr>
                <w:sz w:val="20"/>
                <w:szCs w:val="20"/>
                <w:color w:val="auto"/>
              </w:rPr>
            </w:pPr>
            <w:r>
              <w:rPr>
                <w:rFonts w:ascii="Arial" w:cs="Arial" w:eastAsia="Arial" w:hAnsi="Arial"/>
                <w:sz w:val="18"/>
                <w:szCs w:val="18"/>
                <w:color w:val="0000FF"/>
              </w:rPr>
              <w:t>3</w:t>
            </w: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0000FF"/>
              </w:rPr>
              <w:t>General Development of Business</w:t>
            </w:r>
          </w:p>
        </w:tc>
        <w:tc>
          <w:tcPr>
            <w:tcW w:w="1480" w:type="dxa"/>
            <w:vAlign w:val="bottom"/>
          </w:tcPr>
          <w:p>
            <w:pPr>
              <w:jc w:val="right"/>
              <w:spacing w:after="0"/>
              <w:rPr>
                <w:sz w:val="20"/>
                <w:szCs w:val="20"/>
                <w:color w:val="auto"/>
              </w:rPr>
            </w:pPr>
            <w:r>
              <w:rPr>
                <w:rFonts w:ascii="Arial" w:cs="Arial" w:eastAsia="Arial" w:hAnsi="Arial"/>
                <w:sz w:val="18"/>
                <w:szCs w:val="18"/>
                <w:color w:val="0000FF"/>
              </w:rPr>
              <w:t>3</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0000FF"/>
              </w:rPr>
              <w:t>Narrative Description of Business</w:t>
            </w:r>
          </w:p>
        </w:tc>
        <w:tc>
          <w:tcPr>
            <w:tcW w:w="1480" w:type="dxa"/>
            <w:vAlign w:val="bottom"/>
          </w:tcPr>
          <w:p>
            <w:pPr>
              <w:jc w:val="right"/>
              <w:spacing w:after="0"/>
              <w:rPr>
                <w:sz w:val="20"/>
                <w:szCs w:val="20"/>
                <w:color w:val="auto"/>
              </w:rPr>
            </w:pPr>
            <w:r>
              <w:rPr>
                <w:rFonts w:ascii="Arial" w:cs="Arial" w:eastAsia="Arial" w:hAnsi="Arial"/>
                <w:sz w:val="18"/>
                <w:szCs w:val="18"/>
                <w:color w:val="0000FF"/>
              </w:rPr>
              <w:t>4</w:t>
            </w:r>
          </w:p>
        </w:tc>
      </w:tr>
      <w:tr>
        <w:trPr>
          <w:trHeight w:val="229"/>
        </w:trPr>
        <w:tc>
          <w:tcPr>
            <w:tcW w:w="9760" w:type="dxa"/>
            <w:vAlign w:val="bottom"/>
          </w:tcPr>
          <w:p>
            <w:pPr>
              <w:ind w:left="680"/>
              <w:spacing w:after="0"/>
              <w:rPr>
                <w:sz w:val="20"/>
                <w:szCs w:val="20"/>
                <w:color w:val="auto"/>
              </w:rPr>
            </w:pPr>
            <w:r>
              <w:rPr>
                <w:rFonts w:ascii="Arial" w:cs="Arial" w:eastAsia="Arial" w:hAnsi="Arial"/>
                <w:sz w:val="18"/>
                <w:szCs w:val="18"/>
                <w:color w:val="0000FF"/>
              </w:rPr>
              <w:t>Overview</w:t>
            </w:r>
          </w:p>
        </w:tc>
        <w:tc>
          <w:tcPr>
            <w:tcW w:w="1480" w:type="dxa"/>
            <w:vAlign w:val="bottom"/>
          </w:tcPr>
          <w:p>
            <w:pPr>
              <w:jc w:val="right"/>
              <w:spacing w:after="0"/>
              <w:rPr>
                <w:sz w:val="20"/>
                <w:szCs w:val="20"/>
                <w:color w:val="auto"/>
              </w:rPr>
            </w:pPr>
            <w:r>
              <w:rPr>
                <w:rFonts w:ascii="Arial" w:cs="Arial" w:eastAsia="Arial" w:hAnsi="Arial"/>
                <w:sz w:val="18"/>
                <w:szCs w:val="18"/>
                <w:color w:val="0000FF"/>
              </w:rPr>
              <w:t>4</w:t>
            </w:r>
          </w:p>
        </w:tc>
      </w:tr>
      <w:tr>
        <w:trPr>
          <w:trHeight w:val="229"/>
        </w:trPr>
        <w:tc>
          <w:tcPr>
            <w:tcW w:w="9760" w:type="dxa"/>
            <w:vAlign w:val="bottom"/>
          </w:tcPr>
          <w:p>
            <w:pPr>
              <w:ind w:left="680"/>
              <w:spacing w:after="0"/>
              <w:rPr>
                <w:sz w:val="20"/>
                <w:szCs w:val="20"/>
                <w:color w:val="auto"/>
              </w:rPr>
            </w:pPr>
            <w:r>
              <w:rPr>
                <w:rFonts w:ascii="Arial" w:cs="Arial" w:eastAsia="Arial" w:hAnsi="Arial"/>
                <w:sz w:val="18"/>
                <w:szCs w:val="18"/>
                <w:color w:val="0000FF"/>
              </w:rPr>
              <w:t>Research and Development</w:t>
            </w:r>
          </w:p>
        </w:tc>
        <w:tc>
          <w:tcPr>
            <w:tcW w:w="1480" w:type="dxa"/>
            <w:vAlign w:val="bottom"/>
          </w:tcPr>
          <w:p>
            <w:pPr>
              <w:jc w:val="right"/>
              <w:spacing w:after="0"/>
              <w:rPr>
                <w:sz w:val="20"/>
                <w:szCs w:val="20"/>
                <w:color w:val="auto"/>
              </w:rPr>
            </w:pPr>
            <w:r>
              <w:rPr>
                <w:rFonts w:ascii="Arial" w:cs="Arial" w:eastAsia="Arial" w:hAnsi="Arial"/>
                <w:sz w:val="18"/>
                <w:szCs w:val="18"/>
                <w:color w:val="0000FF"/>
              </w:rPr>
              <w:t>6</w:t>
            </w:r>
          </w:p>
        </w:tc>
      </w:tr>
      <w:tr>
        <w:trPr>
          <w:trHeight w:val="230"/>
        </w:trPr>
        <w:tc>
          <w:tcPr>
            <w:tcW w:w="9760" w:type="dxa"/>
            <w:vAlign w:val="bottom"/>
          </w:tcPr>
          <w:p>
            <w:pPr>
              <w:ind w:left="680"/>
              <w:spacing w:after="0"/>
              <w:rPr>
                <w:sz w:val="20"/>
                <w:szCs w:val="20"/>
                <w:color w:val="auto"/>
              </w:rPr>
            </w:pPr>
            <w:r>
              <w:rPr>
                <w:rFonts w:ascii="Arial" w:cs="Arial" w:eastAsia="Arial" w:hAnsi="Arial"/>
                <w:sz w:val="18"/>
                <w:szCs w:val="18"/>
                <w:color w:val="0000FF"/>
              </w:rPr>
              <w:t>Operations</w:t>
            </w:r>
          </w:p>
        </w:tc>
        <w:tc>
          <w:tcPr>
            <w:tcW w:w="1480" w:type="dxa"/>
            <w:vAlign w:val="bottom"/>
          </w:tcPr>
          <w:p>
            <w:pPr>
              <w:jc w:val="right"/>
              <w:spacing w:after="0"/>
              <w:rPr>
                <w:sz w:val="20"/>
                <w:szCs w:val="20"/>
                <w:color w:val="auto"/>
              </w:rPr>
            </w:pPr>
            <w:r>
              <w:rPr>
                <w:rFonts w:ascii="Arial" w:cs="Arial" w:eastAsia="Arial" w:hAnsi="Arial"/>
                <w:sz w:val="18"/>
                <w:szCs w:val="18"/>
                <w:color w:val="0000FF"/>
              </w:rPr>
              <w:t>6</w:t>
            </w:r>
          </w:p>
        </w:tc>
      </w:tr>
      <w:tr>
        <w:trPr>
          <w:trHeight w:val="229"/>
        </w:trPr>
        <w:tc>
          <w:tcPr>
            <w:tcW w:w="9760" w:type="dxa"/>
            <w:vAlign w:val="bottom"/>
          </w:tcPr>
          <w:p>
            <w:pPr>
              <w:ind w:left="680"/>
              <w:spacing w:after="0"/>
              <w:rPr>
                <w:sz w:val="20"/>
                <w:szCs w:val="20"/>
                <w:color w:val="auto"/>
              </w:rPr>
            </w:pPr>
            <w:r>
              <w:rPr>
                <w:rFonts w:ascii="Arial" w:cs="Arial" w:eastAsia="Arial" w:hAnsi="Arial"/>
                <w:sz w:val="18"/>
                <w:szCs w:val="18"/>
                <w:color w:val="0000FF"/>
              </w:rPr>
              <w:t>Human Capital Management</w:t>
            </w:r>
          </w:p>
        </w:tc>
        <w:tc>
          <w:tcPr>
            <w:tcW w:w="1480" w:type="dxa"/>
            <w:vAlign w:val="bottom"/>
          </w:tcPr>
          <w:p>
            <w:pPr>
              <w:jc w:val="right"/>
              <w:spacing w:after="0"/>
              <w:rPr>
                <w:sz w:val="20"/>
                <w:szCs w:val="20"/>
                <w:color w:val="auto"/>
              </w:rPr>
            </w:pPr>
            <w:r>
              <w:rPr>
                <w:rFonts w:ascii="Arial" w:cs="Arial" w:eastAsia="Arial" w:hAnsi="Arial"/>
                <w:sz w:val="18"/>
                <w:szCs w:val="18"/>
                <w:color w:val="0000FF"/>
              </w:rPr>
              <w:t>7</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0000FF"/>
              </w:rPr>
              <w:t>Information Available on the Internet</w:t>
            </w:r>
          </w:p>
        </w:tc>
        <w:tc>
          <w:tcPr>
            <w:tcW w:w="1480" w:type="dxa"/>
            <w:vAlign w:val="bottom"/>
          </w:tcPr>
          <w:p>
            <w:pPr>
              <w:jc w:val="right"/>
              <w:spacing w:after="0"/>
              <w:rPr>
                <w:sz w:val="20"/>
                <w:szCs w:val="20"/>
                <w:color w:val="auto"/>
              </w:rPr>
            </w:pPr>
            <w:r>
              <w:rPr>
                <w:rFonts w:ascii="Arial" w:cs="Arial" w:eastAsia="Arial" w:hAnsi="Arial"/>
                <w:sz w:val="18"/>
                <w:szCs w:val="18"/>
                <w:color w:val="0000FF"/>
              </w:rPr>
              <w:t>8</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0000FF"/>
              </w:rPr>
              <w:t>Item 1A. Risk Factors</w:t>
            </w:r>
          </w:p>
        </w:tc>
        <w:tc>
          <w:tcPr>
            <w:tcW w:w="1480" w:type="dxa"/>
            <w:vAlign w:val="bottom"/>
          </w:tcPr>
          <w:p>
            <w:pPr>
              <w:jc w:val="right"/>
              <w:spacing w:after="0"/>
              <w:rPr>
                <w:sz w:val="20"/>
                <w:szCs w:val="20"/>
                <w:color w:val="auto"/>
              </w:rPr>
            </w:pPr>
            <w:r>
              <w:rPr>
                <w:rFonts w:ascii="Arial" w:cs="Arial" w:eastAsia="Arial" w:hAnsi="Arial"/>
                <w:sz w:val="18"/>
                <w:szCs w:val="18"/>
                <w:color w:val="0000FF"/>
              </w:rPr>
              <w:t>8</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0000FF"/>
              </w:rPr>
              <w:t>Item 1B. Unresolved Staff Comments</w:t>
            </w:r>
          </w:p>
        </w:tc>
        <w:tc>
          <w:tcPr>
            <w:tcW w:w="1480" w:type="dxa"/>
            <w:vAlign w:val="bottom"/>
          </w:tcPr>
          <w:p>
            <w:pPr>
              <w:jc w:val="right"/>
              <w:spacing w:after="0"/>
              <w:rPr>
                <w:sz w:val="20"/>
                <w:szCs w:val="20"/>
                <w:color w:val="auto"/>
              </w:rPr>
            </w:pPr>
            <w:r>
              <w:rPr>
                <w:rFonts w:ascii="Arial" w:cs="Arial" w:eastAsia="Arial" w:hAnsi="Arial"/>
                <w:sz w:val="18"/>
                <w:szCs w:val="18"/>
                <w:color w:val="0000FF"/>
              </w:rPr>
              <w:t>13</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0000FF"/>
              </w:rPr>
              <w:t>Item 2. Properties</w:t>
            </w:r>
          </w:p>
        </w:tc>
        <w:tc>
          <w:tcPr>
            <w:tcW w:w="1480" w:type="dxa"/>
            <w:vAlign w:val="bottom"/>
          </w:tcPr>
          <w:p>
            <w:pPr>
              <w:jc w:val="right"/>
              <w:spacing w:after="0"/>
              <w:rPr>
                <w:sz w:val="20"/>
                <w:szCs w:val="20"/>
                <w:color w:val="auto"/>
              </w:rPr>
            </w:pPr>
            <w:r>
              <w:rPr>
                <w:rFonts w:ascii="Arial" w:cs="Arial" w:eastAsia="Arial" w:hAnsi="Arial"/>
                <w:sz w:val="18"/>
                <w:szCs w:val="18"/>
                <w:color w:val="0000FF"/>
              </w:rPr>
              <w:t>13</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0000FF"/>
              </w:rPr>
              <w:t>Item 3. Legal Proceedings</w:t>
            </w:r>
          </w:p>
        </w:tc>
        <w:tc>
          <w:tcPr>
            <w:tcW w:w="1480" w:type="dxa"/>
            <w:vAlign w:val="bottom"/>
          </w:tcPr>
          <w:p>
            <w:pPr>
              <w:jc w:val="right"/>
              <w:spacing w:after="0"/>
              <w:rPr>
                <w:sz w:val="20"/>
                <w:szCs w:val="20"/>
                <w:color w:val="auto"/>
              </w:rPr>
            </w:pPr>
            <w:r>
              <w:rPr>
                <w:rFonts w:ascii="Arial" w:cs="Arial" w:eastAsia="Arial" w:hAnsi="Arial"/>
                <w:sz w:val="18"/>
                <w:szCs w:val="18"/>
                <w:color w:val="0000FF"/>
              </w:rPr>
              <w:t>13</w:t>
            </w:r>
          </w:p>
        </w:tc>
      </w:tr>
      <w:tr>
        <w:trPr>
          <w:trHeight w:val="226"/>
        </w:trPr>
        <w:tc>
          <w:tcPr>
            <w:tcW w:w="9760" w:type="dxa"/>
            <w:vAlign w:val="bottom"/>
          </w:tcPr>
          <w:p>
            <w:pPr>
              <w:ind w:left="20"/>
              <w:spacing w:after="0"/>
              <w:rPr>
                <w:sz w:val="20"/>
                <w:szCs w:val="20"/>
                <w:color w:val="auto"/>
              </w:rPr>
            </w:pPr>
            <w:r>
              <w:rPr>
                <w:rFonts w:ascii="Arial" w:cs="Arial" w:eastAsia="Arial" w:hAnsi="Arial"/>
                <w:sz w:val="18"/>
                <w:szCs w:val="18"/>
                <w:color w:val="0000FF"/>
              </w:rPr>
              <w:t>Item 4. Mine Safety Disclosures</w:t>
            </w:r>
          </w:p>
        </w:tc>
        <w:tc>
          <w:tcPr>
            <w:tcW w:w="1480" w:type="dxa"/>
            <w:vAlign w:val="bottom"/>
          </w:tcPr>
          <w:p>
            <w:pPr>
              <w:jc w:val="right"/>
              <w:spacing w:after="0"/>
              <w:rPr>
                <w:sz w:val="20"/>
                <w:szCs w:val="20"/>
                <w:color w:val="auto"/>
              </w:rPr>
            </w:pPr>
            <w:r>
              <w:rPr>
                <w:rFonts w:ascii="Arial" w:cs="Arial" w:eastAsia="Arial" w:hAnsi="Arial"/>
                <w:sz w:val="18"/>
                <w:szCs w:val="18"/>
                <w:color w:val="0000FF"/>
              </w:rPr>
              <w:t>13</w:t>
            </w:r>
          </w:p>
        </w:tc>
      </w:tr>
      <w:tr>
        <w:trPr>
          <w:trHeight w:val="233"/>
        </w:trPr>
        <w:tc>
          <w:tcPr>
            <w:tcW w:w="9760" w:type="dxa"/>
            <w:vAlign w:val="bottom"/>
          </w:tcPr>
          <w:p>
            <w:pPr>
              <w:jc w:val="center"/>
              <w:spacing w:after="0"/>
              <w:rPr>
                <w:sz w:val="20"/>
                <w:szCs w:val="20"/>
                <w:color w:val="auto"/>
              </w:rPr>
            </w:pPr>
            <w:r>
              <w:rPr>
                <w:rFonts w:ascii="Arial" w:cs="Arial" w:eastAsia="Arial" w:hAnsi="Arial"/>
                <w:sz w:val="18"/>
                <w:szCs w:val="18"/>
                <w:b w:val="1"/>
                <w:bCs w:val="1"/>
                <w:color w:val="auto"/>
              </w:rPr>
              <w:t>PART II</w:t>
            </w:r>
          </w:p>
        </w:tc>
        <w:tc>
          <w:tcPr>
            <w:tcW w:w="1480" w:type="dxa"/>
            <w:vAlign w:val="bottom"/>
          </w:tcPr>
          <w:p>
            <w:pPr>
              <w:spacing w:after="0"/>
              <w:rPr>
                <w:sz w:val="20"/>
                <w:szCs w:val="20"/>
                <w:color w:val="auto"/>
              </w:rPr>
            </w:pP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0000FF"/>
              </w:rPr>
              <w:t>Item 5. Market for Registrant’s Common Equity, Related Stockholder Matters and Issuer Purchases of Equity Securities</w:t>
            </w:r>
          </w:p>
        </w:tc>
        <w:tc>
          <w:tcPr>
            <w:tcW w:w="1480" w:type="dxa"/>
            <w:vAlign w:val="bottom"/>
          </w:tcPr>
          <w:p>
            <w:pPr>
              <w:jc w:val="right"/>
              <w:spacing w:after="0"/>
              <w:rPr>
                <w:sz w:val="20"/>
                <w:szCs w:val="20"/>
                <w:color w:val="auto"/>
              </w:rPr>
            </w:pPr>
            <w:r>
              <w:rPr>
                <w:rFonts w:ascii="Arial" w:cs="Arial" w:eastAsia="Arial" w:hAnsi="Arial"/>
                <w:sz w:val="18"/>
                <w:szCs w:val="18"/>
                <w:color w:val="0000FF"/>
              </w:rPr>
              <w:t>14</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0000FF"/>
              </w:rPr>
              <w:t>Item 6. [Reserved]</w:t>
            </w:r>
          </w:p>
        </w:tc>
        <w:tc>
          <w:tcPr>
            <w:tcW w:w="1480" w:type="dxa"/>
            <w:vAlign w:val="bottom"/>
          </w:tcPr>
          <w:p>
            <w:pPr>
              <w:jc w:val="right"/>
              <w:spacing w:after="0"/>
              <w:rPr>
                <w:sz w:val="20"/>
                <w:szCs w:val="20"/>
                <w:color w:val="auto"/>
              </w:rPr>
            </w:pPr>
            <w:r>
              <w:rPr>
                <w:rFonts w:ascii="Arial" w:cs="Arial" w:eastAsia="Arial" w:hAnsi="Arial"/>
                <w:sz w:val="18"/>
                <w:szCs w:val="18"/>
                <w:color w:val="0000FF"/>
              </w:rPr>
              <w:t>16</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0000FF"/>
              </w:rPr>
              <w:t>Item 7. Management’s Discussion and Analysis of Financial Condition and Results of Operations</w:t>
            </w:r>
          </w:p>
        </w:tc>
        <w:tc>
          <w:tcPr>
            <w:tcW w:w="1480" w:type="dxa"/>
            <w:vAlign w:val="bottom"/>
          </w:tcPr>
          <w:p>
            <w:pPr>
              <w:jc w:val="right"/>
              <w:spacing w:after="0"/>
              <w:rPr>
                <w:sz w:val="20"/>
                <w:szCs w:val="20"/>
                <w:color w:val="auto"/>
              </w:rPr>
            </w:pPr>
            <w:r>
              <w:rPr>
                <w:rFonts w:ascii="Arial" w:cs="Arial" w:eastAsia="Arial" w:hAnsi="Arial"/>
                <w:sz w:val="18"/>
                <w:szCs w:val="18"/>
                <w:color w:val="0000FF"/>
              </w:rPr>
              <w:t>16</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0000FF"/>
              </w:rPr>
              <w:t>Item 7A. Quantitative and Qualitative Disclosures About Market Risk</w:t>
            </w:r>
          </w:p>
        </w:tc>
        <w:tc>
          <w:tcPr>
            <w:tcW w:w="1480" w:type="dxa"/>
            <w:vAlign w:val="bottom"/>
          </w:tcPr>
          <w:p>
            <w:pPr>
              <w:jc w:val="right"/>
              <w:spacing w:after="0"/>
              <w:rPr>
                <w:sz w:val="20"/>
                <w:szCs w:val="20"/>
                <w:color w:val="auto"/>
              </w:rPr>
            </w:pPr>
            <w:r>
              <w:rPr>
                <w:rFonts w:ascii="Arial" w:cs="Arial" w:eastAsia="Arial" w:hAnsi="Arial"/>
                <w:sz w:val="18"/>
                <w:szCs w:val="18"/>
                <w:color w:val="0000FF"/>
              </w:rPr>
              <w:t>24</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0000FF"/>
              </w:rPr>
              <w:t>Item 8. Financial Statements and Supplementary Data</w:t>
            </w:r>
          </w:p>
        </w:tc>
        <w:tc>
          <w:tcPr>
            <w:tcW w:w="1480" w:type="dxa"/>
            <w:vAlign w:val="bottom"/>
          </w:tcPr>
          <w:p>
            <w:pPr>
              <w:jc w:val="right"/>
              <w:spacing w:after="0"/>
              <w:rPr>
                <w:sz w:val="20"/>
                <w:szCs w:val="20"/>
                <w:color w:val="auto"/>
              </w:rPr>
            </w:pPr>
            <w:r>
              <w:rPr>
                <w:rFonts w:ascii="Arial" w:cs="Arial" w:eastAsia="Arial" w:hAnsi="Arial"/>
                <w:sz w:val="18"/>
                <w:szCs w:val="18"/>
                <w:color w:val="0000FF"/>
              </w:rPr>
              <w:t>26</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1480" w:type="dxa"/>
            <w:vAlign w:val="bottom"/>
          </w:tcPr>
          <w:p>
            <w:pPr>
              <w:jc w:val="right"/>
              <w:spacing w:after="0"/>
              <w:rPr>
                <w:sz w:val="20"/>
                <w:szCs w:val="20"/>
                <w:color w:val="auto"/>
              </w:rPr>
            </w:pPr>
            <w:r>
              <w:rPr>
                <w:rFonts w:ascii="Arial" w:cs="Arial" w:eastAsia="Arial" w:hAnsi="Arial"/>
                <w:sz w:val="18"/>
                <w:szCs w:val="18"/>
                <w:color w:val="0000FF"/>
              </w:rPr>
              <w:t>54</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0000FF"/>
              </w:rPr>
              <w:t>Item 9A. Controls and Procedures</w:t>
            </w:r>
          </w:p>
        </w:tc>
        <w:tc>
          <w:tcPr>
            <w:tcW w:w="1480" w:type="dxa"/>
            <w:vAlign w:val="bottom"/>
          </w:tcPr>
          <w:p>
            <w:pPr>
              <w:jc w:val="right"/>
              <w:spacing w:after="0"/>
              <w:rPr>
                <w:sz w:val="20"/>
                <w:szCs w:val="20"/>
                <w:color w:val="auto"/>
              </w:rPr>
            </w:pPr>
            <w:r>
              <w:rPr>
                <w:rFonts w:ascii="Arial" w:cs="Arial" w:eastAsia="Arial" w:hAnsi="Arial"/>
                <w:sz w:val="18"/>
                <w:szCs w:val="18"/>
                <w:color w:val="0000FF"/>
              </w:rPr>
              <w:t>54</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0000FF"/>
              </w:rPr>
              <w:t>Item 9B. Other Information</w:t>
            </w:r>
          </w:p>
        </w:tc>
        <w:tc>
          <w:tcPr>
            <w:tcW w:w="1480" w:type="dxa"/>
            <w:vAlign w:val="bottom"/>
          </w:tcPr>
          <w:p>
            <w:pPr>
              <w:jc w:val="right"/>
              <w:spacing w:after="0"/>
              <w:rPr>
                <w:sz w:val="20"/>
                <w:szCs w:val="20"/>
                <w:color w:val="auto"/>
              </w:rPr>
            </w:pPr>
            <w:r>
              <w:rPr>
                <w:rFonts w:ascii="Arial" w:cs="Arial" w:eastAsia="Arial" w:hAnsi="Arial"/>
                <w:sz w:val="18"/>
                <w:szCs w:val="18"/>
                <w:color w:val="0000FF"/>
              </w:rPr>
              <w:t>57</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0000FF"/>
              </w:rPr>
              <w:t>Item 9C. Disclosure Regarding Foreign Jurisdictions That Prevent Inspections</w:t>
            </w:r>
          </w:p>
        </w:tc>
        <w:tc>
          <w:tcPr>
            <w:tcW w:w="1480" w:type="dxa"/>
            <w:vAlign w:val="bottom"/>
          </w:tcPr>
          <w:p>
            <w:pPr>
              <w:jc w:val="right"/>
              <w:spacing w:after="0"/>
              <w:rPr>
                <w:sz w:val="20"/>
                <w:szCs w:val="20"/>
                <w:color w:val="auto"/>
              </w:rPr>
            </w:pPr>
            <w:r>
              <w:rPr>
                <w:rFonts w:ascii="Arial" w:cs="Arial" w:eastAsia="Arial" w:hAnsi="Arial"/>
                <w:sz w:val="18"/>
                <w:szCs w:val="18"/>
                <w:color w:val="0000FF"/>
              </w:rPr>
              <w:t>57</w:t>
            </w:r>
          </w:p>
        </w:tc>
      </w:tr>
      <w:tr>
        <w:trPr>
          <w:trHeight w:val="233"/>
        </w:trPr>
        <w:tc>
          <w:tcPr>
            <w:tcW w:w="9760" w:type="dxa"/>
            <w:vAlign w:val="bottom"/>
          </w:tcPr>
          <w:p>
            <w:pPr>
              <w:jc w:val="center"/>
              <w:spacing w:after="0"/>
              <w:rPr>
                <w:sz w:val="20"/>
                <w:szCs w:val="20"/>
                <w:color w:val="auto"/>
              </w:rPr>
            </w:pPr>
            <w:r>
              <w:rPr>
                <w:rFonts w:ascii="Arial" w:cs="Arial" w:eastAsia="Arial" w:hAnsi="Arial"/>
                <w:sz w:val="18"/>
                <w:szCs w:val="18"/>
                <w:b w:val="1"/>
                <w:bCs w:val="1"/>
                <w:color w:val="auto"/>
              </w:rPr>
              <w:t>PART III</w:t>
            </w:r>
          </w:p>
        </w:tc>
        <w:tc>
          <w:tcPr>
            <w:tcW w:w="1480" w:type="dxa"/>
            <w:vAlign w:val="bottom"/>
          </w:tcPr>
          <w:p>
            <w:pPr>
              <w:spacing w:after="0"/>
              <w:rPr>
                <w:sz w:val="20"/>
                <w:szCs w:val="20"/>
                <w:color w:val="auto"/>
              </w:rPr>
            </w:pP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0000FF"/>
              </w:rPr>
              <w:t>Item 10. Directors, Executive Officers and Corporate Governance</w:t>
            </w:r>
          </w:p>
        </w:tc>
        <w:tc>
          <w:tcPr>
            <w:tcW w:w="1480" w:type="dxa"/>
            <w:vAlign w:val="bottom"/>
          </w:tcPr>
          <w:p>
            <w:pPr>
              <w:jc w:val="right"/>
              <w:spacing w:after="0"/>
              <w:rPr>
                <w:sz w:val="20"/>
                <w:szCs w:val="20"/>
                <w:color w:val="auto"/>
              </w:rPr>
            </w:pPr>
            <w:r>
              <w:rPr>
                <w:rFonts w:ascii="Arial" w:cs="Arial" w:eastAsia="Arial" w:hAnsi="Arial"/>
                <w:sz w:val="18"/>
                <w:szCs w:val="18"/>
                <w:color w:val="0000FF"/>
              </w:rPr>
              <w:t>58</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0000FF"/>
              </w:rPr>
              <w:t>Item 11. Executive Compensation</w:t>
            </w:r>
          </w:p>
        </w:tc>
        <w:tc>
          <w:tcPr>
            <w:tcW w:w="1480" w:type="dxa"/>
            <w:vAlign w:val="bottom"/>
          </w:tcPr>
          <w:p>
            <w:pPr>
              <w:jc w:val="right"/>
              <w:spacing w:after="0"/>
              <w:rPr>
                <w:sz w:val="20"/>
                <w:szCs w:val="20"/>
                <w:color w:val="auto"/>
              </w:rPr>
            </w:pPr>
            <w:r>
              <w:rPr>
                <w:rFonts w:ascii="Arial" w:cs="Arial" w:eastAsia="Arial" w:hAnsi="Arial"/>
                <w:sz w:val="18"/>
                <w:szCs w:val="18"/>
                <w:color w:val="0000FF"/>
              </w:rPr>
              <w:t>63</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0000FF"/>
              </w:rPr>
              <w:t>Compensation Discussion and Analysis</w:t>
            </w:r>
          </w:p>
        </w:tc>
        <w:tc>
          <w:tcPr>
            <w:tcW w:w="1480" w:type="dxa"/>
            <w:vAlign w:val="bottom"/>
          </w:tcPr>
          <w:p>
            <w:pPr>
              <w:jc w:val="right"/>
              <w:spacing w:after="0"/>
              <w:rPr>
                <w:sz w:val="20"/>
                <w:szCs w:val="20"/>
                <w:color w:val="auto"/>
              </w:rPr>
            </w:pPr>
            <w:r>
              <w:rPr>
                <w:rFonts w:ascii="Arial" w:cs="Arial" w:eastAsia="Arial" w:hAnsi="Arial"/>
                <w:sz w:val="18"/>
                <w:szCs w:val="18"/>
                <w:color w:val="0000FF"/>
              </w:rPr>
              <w:t>63</w:t>
            </w: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0000FF"/>
              </w:rPr>
              <w:t>Management Development and Compensation Committee Interlocks and Insider Participation</w:t>
            </w:r>
          </w:p>
        </w:tc>
        <w:tc>
          <w:tcPr>
            <w:tcW w:w="1480" w:type="dxa"/>
            <w:vAlign w:val="bottom"/>
          </w:tcPr>
          <w:p>
            <w:pPr>
              <w:jc w:val="right"/>
              <w:spacing w:after="0"/>
              <w:rPr>
                <w:sz w:val="20"/>
                <w:szCs w:val="20"/>
                <w:color w:val="auto"/>
              </w:rPr>
            </w:pPr>
            <w:r>
              <w:rPr>
                <w:rFonts w:ascii="Arial" w:cs="Arial" w:eastAsia="Arial" w:hAnsi="Arial"/>
                <w:sz w:val="18"/>
                <w:szCs w:val="18"/>
                <w:color w:val="0000FF"/>
              </w:rPr>
              <w:t>77</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0000FF"/>
              </w:rPr>
              <w:t>Management Development and Compensation Committee Report</w:t>
            </w:r>
          </w:p>
        </w:tc>
        <w:tc>
          <w:tcPr>
            <w:tcW w:w="1480" w:type="dxa"/>
            <w:vAlign w:val="bottom"/>
          </w:tcPr>
          <w:p>
            <w:pPr>
              <w:jc w:val="right"/>
              <w:spacing w:after="0"/>
              <w:rPr>
                <w:sz w:val="20"/>
                <w:szCs w:val="20"/>
                <w:color w:val="auto"/>
              </w:rPr>
            </w:pPr>
            <w:r>
              <w:rPr>
                <w:rFonts w:ascii="Arial" w:cs="Arial" w:eastAsia="Arial" w:hAnsi="Arial"/>
                <w:sz w:val="18"/>
                <w:szCs w:val="18"/>
                <w:color w:val="0000FF"/>
              </w:rPr>
              <w:t>77</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0000FF"/>
              </w:rPr>
              <w:t>Compensation Policies and Practices</w:t>
            </w:r>
          </w:p>
        </w:tc>
        <w:tc>
          <w:tcPr>
            <w:tcW w:w="1480" w:type="dxa"/>
            <w:vAlign w:val="bottom"/>
          </w:tcPr>
          <w:p>
            <w:pPr>
              <w:jc w:val="right"/>
              <w:spacing w:after="0"/>
              <w:rPr>
                <w:sz w:val="20"/>
                <w:szCs w:val="20"/>
                <w:color w:val="auto"/>
              </w:rPr>
            </w:pPr>
            <w:r>
              <w:rPr>
                <w:rFonts w:ascii="Arial" w:cs="Arial" w:eastAsia="Arial" w:hAnsi="Arial"/>
                <w:sz w:val="18"/>
                <w:szCs w:val="18"/>
                <w:color w:val="0000FF"/>
              </w:rPr>
              <w:t>77</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0000FF"/>
              </w:rPr>
              <w:t>Summary Compensation Table</w:t>
            </w:r>
          </w:p>
        </w:tc>
        <w:tc>
          <w:tcPr>
            <w:tcW w:w="1480" w:type="dxa"/>
            <w:vAlign w:val="bottom"/>
          </w:tcPr>
          <w:p>
            <w:pPr>
              <w:jc w:val="right"/>
              <w:spacing w:after="0"/>
              <w:rPr>
                <w:sz w:val="20"/>
                <w:szCs w:val="20"/>
                <w:color w:val="auto"/>
              </w:rPr>
            </w:pPr>
            <w:r>
              <w:rPr>
                <w:rFonts w:ascii="Arial" w:cs="Arial" w:eastAsia="Arial" w:hAnsi="Arial"/>
                <w:sz w:val="18"/>
                <w:szCs w:val="18"/>
                <w:color w:val="0000FF"/>
              </w:rPr>
              <w:t>78</w:t>
            </w: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0000FF"/>
              </w:rPr>
              <w:t>Grants of Plan-Based Awards for 2023</w:t>
            </w:r>
          </w:p>
        </w:tc>
        <w:tc>
          <w:tcPr>
            <w:tcW w:w="1480" w:type="dxa"/>
            <w:vAlign w:val="bottom"/>
          </w:tcPr>
          <w:p>
            <w:pPr>
              <w:jc w:val="right"/>
              <w:spacing w:after="0"/>
              <w:rPr>
                <w:sz w:val="20"/>
                <w:szCs w:val="20"/>
                <w:color w:val="auto"/>
              </w:rPr>
            </w:pPr>
            <w:r>
              <w:rPr>
                <w:rFonts w:ascii="Arial" w:cs="Arial" w:eastAsia="Arial" w:hAnsi="Arial"/>
                <w:sz w:val="18"/>
                <w:szCs w:val="18"/>
                <w:color w:val="0000FF"/>
              </w:rPr>
              <w:t>81</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0000FF"/>
              </w:rPr>
              <w:t>Outstanding Equity Awards at 2023 Fiscal Year End</w:t>
            </w:r>
          </w:p>
        </w:tc>
        <w:tc>
          <w:tcPr>
            <w:tcW w:w="1480" w:type="dxa"/>
            <w:vAlign w:val="bottom"/>
          </w:tcPr>
          <w:p>
            <w:pPr>
              <w:jc w:val="right"/>
              <w:spacing w:after="0"/>
              <w:rPr>
                <w:sz w:val="20"/>
                <w:szCs w:val="20"/>
                <w:color w:val="auto"/>
              </w:rPr>
            </w:pPr>
            <w:r>
              <w:rPr>
                <w:rFonts w:ascii="Arial" w:cs="Arial" w:eastAsia="Arial" w:hAnsi="Arial"/>
                <w:sz w:val="18"/>
                <w:szCs w:val="18"/>
                <w:color w:val="0000FF"/>
              </w:rPr>
              <w:t>82</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0000FF"/>
              </w:rPr>
              <w:t>Option Exercises and Stock Vested for Fiscal 2023</w:t>
            </w:r>
          </w:p>
        </w:tc>
        <w:tc>
          <w:tcPr>
            <w:tcW w:w="1480" w:type="dxa"/>
            <w:vAlign w:val="bottom"/>
          </w:tcPr>
          <w:p>
            <w:pPr>
              <w:jc w:val="right"/>
              <w:spacing w:after="0"/>
              <w:rPr>
                <w:sz w:val="20"/>
                <w:szCs w:val="20"/>
                <w:color w:val="auto"/>
              </w:rPr>
            </w:pPr>
            <w:r>
              <w:rPr>
                <w:rFonts w:ascii="Arial" w:cs="Arial" w:eastAsia="Arial" w:hAnsi="Arial"/>
                <w:sz w:val="18"/>
                <w:szCs w:val="18"/>
                <w:color w:val="0000FF"/>
              </w:rPr>
              <w:t>85</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0000FF"/>
              </w:rPr>
              <w:t>Non-Qualified Deferred Compensation for Fiscal 2023</w:t>
            </w:r>
          </w:p>
        </w:tc>
        <w:tc>
          <w:tcPr>
            <w:tcW w:w="1480" w:type="dxa"/>
            <w:vAlign w:val="bottom"/>
          </w:tcPr>
          <w:p>
            <w:pPr>
              <w:jc w:val="right"/>
              <w:spacing w:after="0"/>
              <w:rPr>
                <w:sz w:val="20"/>
                <w:szCs w:val="20"/>
                <w:color w:val="auto"/>
              </w:rPr>
            </w:pPr>
            <w:r>
              <w:rPr>
                <w:rFonts w:ascii="Arial" w:cs="Arial" w:eastAsia="Arial" w:hAnsi="Arial"/>
                <w:sz w:val="18"/>
                <w:szCs w:val="18"/>
                <w:color w:val="0000FF"/>
              </w:rPr>
              <w:t>86</w:t>
            </w:r>
          </w:p>
        </w:tc>
      </w:tr>
      <w:tr>
        <w:trPr>
          <w:trHeight w:val="229"/>
        </w:trPr>
        <w:tc>
          <w:tcPr>
            <w:tcW w:w="9760" w:type="dxa"/>
            <w:vAlign w:val="bottom"/>
          </w:tcPr>
          <w:p>
            <w:pPr>
              <w:ind w:left="360"/>
              <w:spacing w:after="0"/>
              <w:rPr>
                <w:sz w:val="20"/>
                <w:szCs w:val="20"/>
                <w:color w:val="auto"/>
              </w:rPr>
            </w:pPr>
            <w:r>
              <w:rPr>
                <w:rFonts w:ascii="Arial" w:cs="Arial" w:eastAsia="Arial" w:hAnsi="Arial"/>
                <w:sz w:val="18"/>
                <w:szCs w:val="18"/>
                <w:color w:val="0000FF"/>
              </w:rPr>
              <w:t>Potential Payments Upon Termination or Change in Control</w:t>
            </w:r>
          </w:p>
        </w:tc>
        <w:tc>
          <w:tcPr>
            <w:tcW w:w="1480" w:type="dxa"/>
            <w:vAlign w:val="bottom"/>
          </w:tcPr>
          <w:p>
            <w:pPr>
              <w:jc w:val="right"/>
              <w:spacing w:after="0"/>
              <w:rPr>
                <w:sz w:val="20"/>
                <w:szCs w:val="20"/>
                <w:color w:val="auto"/>
              </w:rPr>
            </w:pPr>
            <w:r>
              <w:rPr>
                <w:rFonts w:ascii="Arial" w:cs="Arial" w:eastAsia="Arial" w:hAnsi="Arial"/>
                <w:sz w:val="18"/>
                <w:szCs w:val="18"/>
                <w:color w:val="0000FF"/>
              </w:rPr>
              <w:t>87</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0000FF"/>
              </w:rPr>
              <w:t>CEO Pay Ratio Disclosure</w:t>
            </w:r>
          </w:p>
        </w:tc>
        <w:tc>
          <w:tcPr>
            <w:tcW w:w="1480" w:type="dxa"/>
            <w:vAlign w:val="bottom"/>
          </w:tcPr>
          <w:p>
            <w:pPr>
              <w:jc w:val="right"/>
              <w:spacing w:after="0"/>
              <w:rPr>
                <w:sz w:val="20"/>
                <w:szCs w:val="20"/>
                <w:color w:val="auto"/>
              </w:rPr>
            </w:pPr>
            <w:r>
              <w:rPr>
                <w:rFonts w:ascii="Arial" w:cs="Arial" w:eastAsia="Arial" w:hAnsi="Arial"/>
                <w:sz w:val="18"/>
                <w:szCs w:val="18"/>
                <w:color w:val="0000FF"/>
              </w:rPr>
              <w:t>87</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0000FF"/>
              </w:rPr>
              <w:t>Compensation of Directors</w:t>
            </w:r>
          </w:p>
        </w:tc>
        <w:tc>
          <w:tcPr>
            <w:tcW w:w="1480" w:type="dxa"/>
            <w:vAlign w:val="bottom"/>
          </w:tcPr>
          <w:p>
            <w:pPr>
              <w:jc w:val="right"/>
              <w:spacing w:after="0"/>
              <w:rPr>
                <w:sz w:val="20"/>
                <w:szCs w:val="20"/>
                <w:color w:val="auto"/>
              </w:rPr>
            </w:pPr>
            <w:r>
              <w:rPr>
                <w:rFonts w:ascii="Arial" w:cs="Arial" w:eastAsia="Arial" w:hAnsi="Arial"/>
                <w:sz w:val="18"/>
                <w:szCs w:val="18"/>
                <w:color w:val="0000FF"/>
              </w:rPr>
              <w:t>95</w:t>
            </w:r>
          </w:p>
        </w:tc>
      </w:tr>
      <w:tr>
        <w:trPr>
          <w:trHeight w:val="230"/>
        </w:trPr>
        <w:tc>
          <w:tcPr>
            <w:tcW w:w="9760" w:type="dxa"/>
            <w:vAlign w:val="bottom"/>
          </w:tcPr>
          <w:p>
            <w:pPr>
              <w:ind w:left="360"/>
              <w:spacing w:after="0"/>
              <w:rPr>
                <w:sz w:val="20"/>
                <w:szCs w:val="20"/>
                <w:color w:val="auto"/>
              </w:rPr>
            </w:pPr>
            <w:r>
              <w:rPr>
                <w:rFonts w:ascii="Arial" w:cs="Arial" w:eastAsia="Arial" w:hAnsi="Arial"/>
                <w:sz w:val="18"/>
                <w:szCs w:val="18"/>
                <w:color w:val="0000FF"/>
              </w:rPr>
              <w:t>Director Compensation Table — Fiscal 2023</w:t>
            </w:r>
          </w:p>
        </w:tc>
        <w:tc>
          <w:tcPr>
            <w:tcW w:w="1480" w:type="dxa"/>
            <w:vAlign w:val="bottom"/>
          </w:tcPr>
          <w:p>
            <w:pPr>
              <w:jc w:val="right"/>
              <w:spacing w:after="0"/>
              <w:rPr>
                <w:sz w:val="20"/>
                <w:szCs w:val="20"/>
                <w:color w:val="auto"/>
              </w:rPr>
            </w:pPr>
            <w:r>
              <w:rPr>
                <w:rFonts w:ascii="Arial" w:cs="Arial" w:eastAsia="Arial" w:hAnsi="Arial"/>
                <w:sz w:val="18"/>
                <w:szCs w:val="18"/>
                <w:color w:val="0000FF"/>
              </w:rPr>
              <w:t>96</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0000FF"/>
              </w:rPr>
              <w:t>Item 12. Security Ownership of Certain Beneficial Owners and Management and Related Stockholder Matters</w:t>
            </w:r>
          </w:p>
        </w:tc>
        <w:tc>
          <w:tcPr>
            <w:tcW w:w="1480" w:type="dxa"/>
            <w:vAlign w:val="bottom"/>
          </w:tcPr>
          <w:p>
            <w:pPr>
              <w:jc w:val="right"/>
              <w:spacing w:after="0"/>
              <w:rPr>
                <w:sz w:val="20"/>
                <w:szCs w:val="20"/>
                <w:color w:val="auto"/>
              </w:rPr>
            </w:pPr>
            <w:r>
              <w:rPr>
                <w:rFonts w:ascii="Arial" w:cs="Arial" w:eastAsia="Arial" w:hAnsi="Arial"/>
                <w:sz w:val="18"/>
                <w:szCs w:val="18"/>
                <w:color w:val="0000FF"/>
              </w:rPr>
              <w:t>97</w:t>
            </w: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0000FF"/>
              </w:rPr>
              <w:t>Item 13. Certain Relationships, Related Transactions, and Director Independence</w:t>
            </w:r>
          </w:p>
        </w:tc>
        <w:tc>
          <w:tcPr>
            <w:tcW w:w="1480" w:type="dxa"/>
            <w:vAlign w:val="bottom"/>
          </w:tcPr>
          <w:p>
            <w:pPr>
              <w:jc w:val="right"/>
              <w:spacing w:after="0"/>
              <w:rPr>
                <w:sz w:val="20"/>
                <w:szCs w:val="20"/>
                <w:color w:val="auto"/>
              </w:rPr>
            </w:pPr>
            <w:r>
              <w:rPr>
                <w:rFonts w:ascii="Arial" w:cs="Arial" w:eastAsia="Arial" w:hAnsi="Arial"/>
                <w:sz w:val="18"/>
                <w:szCs w:val="18"/>
                <w:color w:val="0000FF"/>
              </w:rPr>
              <w:t>98</w:t>
            </w:r>
          </w:p>
        </w:tc>
      </w:tr>
      <w:tr>
        <w:trPr>
          <w:trHeight w:val="225"/>
        </w:trPr>
        <w:tc>
          <w:tcPr>
            <w:tcW w:w="9760" w:type="dxa"/>
            <w:vAlign w:val="bottom"/>
          </w:tcPr>
          <w:p>
            <w:pPr>
              <w:ind w:left="20"/>
              <w:spacing w:after="0"/>
              <w:rPr>
                <w:sz w:val="20"/>
                <w:szCs w:val="20"/>
                <w:color w:val="auto"/>
              </w:rPr>
            </w:pPr>
            <w:r>
              <w:rPr>
                <w:rFonts w:ascii="Arial" w:cs="Arial" w:eastAsia="Arial" w:hAnsi="Arial"/>
                <w:sz w:val="18"/>
                <w:szCs w:val="18"/>
                <w:color w:val="0000FF"/>
              </w:rPr>
              <w:t>Item 14. Principal Accountant Fees and Services</w:t>
            </w:r>
          </w:p>
        </w:tc>
        <w:tc>
          <w:tcPr>
            <w:tcW w:w="1480" w:type="dxa"/>
            <w:vAlign w:val="bottom"/>
          </w:tcPr>
          <w:p>
            <w:pPr>
              <w:jc w:val="right"/>
              <w:spacing w:after="0"/>
              <w:rPr>
                <w:sz w:val="20"/>
                <w:szCs w:val="20"/>
                <w:color w:val="auto"/>
              </w:rPr>
            </w:pPr>
            <w:r>
              <w:rPr>
                <w:rFonts w:ascii="Arial" w:cs="Arial" w:eastAsia="Arial" w:hAnsi="Arial"/>
                <w:sz w:val="18"/>
                <w:szCs w:val="18"/>
                <w:color w:val="0000FF"/>
              </w:rPr>
              <w:t>99</w:t>
            </w:r>
          </w:p>
        </w:tc>
      </w:tr>
      <w:tr>
        <w:trPr>
          <w:trHeight w:val="234"/>
        </w:trPr>
        <w:tc>
          <w:tcPr>
            <w:tcW w:w="9760" w:type="dxa"/>
            <w:vAlign w:val="bottom"/>
          </w:tcPr>
          <w:p>
            <w:pPr>
              <w:jc w:val="center"/>
              <w:spacing w:after="0"/>
              <w:rPr>
                <w:sz w:val="20"/>
                <w:szCs w:val="20"/>
                <w:color w:val="auto"/>
              </w:rPr>
            </w:pPr>
            <w:r>
              <w:rPr>
                <w:rFonts w:ascii="Arial" w:cs="Arial" w:eastAsia="Arial" w:hAnsi="Arial"/>
                <w:sz w:val="18"/>
                <w:szCs w:val="18"/>
                <w:b w:val="1"/>
                <w:bCs w:val="1"/>
                <w:color w:val="auto"/>
                <w:w w:val="98"/>
              </w:rPr>
              <w:t>PART IV</w:t>
            </w:r>
          </w:p>
        </w:tc>
        <w:tc>
          <w:tcPr>
            <w:tcW w:w="1480" w:type="dxa"/>
            <w:vAlign w:val="bottom"/>
          </w:tcPr>
          <w:p>
            <w:pPr>
              <w:spacing w:after="0"/>
              <w:rPr>
                <w:sz w:val="20"/>
                <w:szCs w:val="20"/>
                <w:color w:val="auto"/>
              </w:rPr>
            </w:pPr>
          </w:p>
        </w:tc>
      </w:tr>
      <w:tr>
        <w:trPr>
          <w:trHeight w:val="229"/>
        </w:trPr>
        <w:tc>
          <w:tcPr>
            <w:tcW w:w="9760" w:type="dxa"/>
            <w:vAlign w:val="bottom"/>
          </w:tcPr>
          <w:p>
            <w:pPr>
              <w:ind w:left="20"/>
              <w:spacing w:after="0"/>
              <w:rPr>
                <w:sz w:val="20"/>
                <w:szCs w:val="20"/>
                <w:color w:val="auto"/>
              </w:rPr>
            </w:pPr>
            <w:r>
              <w:rPr>
                <w:rFonts w:ascii="Arial" w:cs="Arial" w:eastAsia="Arial" w:hAnsi="Arial"/>
                <w:sz w:val="18"/>
                <w:szCs w:val="18"/>
                <w:color w:val="0000FF"/>
              </w:rPr>
              <w:t>Item 15. Exhibits and Financial Statement Schedules</w:t>
            </w:r>
          </w:p>
        </w:tc>
        <w:tc>
          <w:tcPr>
            <w:tcW w:w="1480" w:type="dxa"/>
            <w:vAlign w:val="bottom"/>
          </w:tcPr>
          <w:p>
            <w:pPr>
              <w:jc w:val="right"/>
              <w:spacing w:after="0"/>
              <w:rPr>
                <w:sz w:val="20"/>
                <w:szCs w:val="20"/>
                <w:color w:val="auto"/>
              </w:rPr>
            </w:pPr>
            <w:r>
              <w:rPr>
                <w:rFonts w:ascii="Arial" w:cs="Arial" w:eastAsia="Arial" w:hAnsi="Arial"/>
                <w:sz w:val="18"/>
                <w:szCs w:val="18"/>
                <w:color w:val="0000FF"/>
              </w:rPr>
              <w:t>100</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0000FF"/>
              </w:rPr>
              <w:t>Item 16. Form 10-K Summary</w:t>
            </w:r>
          </w:p>
        </w:tc>
        <w:tc>
          <w:tcPr>
            <w:tcW w:w="1480" w:type="dxa"/>
            <w:vAlign w:val="bottom"/>
          </w:tcPr>
          <w:p>
            <w:pPr>
              <w:jc w:val="right"/>
              <w:spacing w:after="0"/>
              <w:rPr>
                <w:sz w:val="20"/>
                <w:szCs w:val="20"/>
                <w:color w:val="auto"/>
              </w:rPr>
            </w:pPr>
            <w:r>
              <w:rPr>
                <w:rFonts w:ascii="Arial" w:cs="Arial" w:eastAsia="Arial" w:hAnsi="Arial"/>
                <w:sz w:val="18"/>
                <w:szCs w:val="18"/>
                <w:color w:val="0000FF"/>
              </w:rPr>
              <w:t>104</w:t>
            </w:r>
          </w:p>
        </w:tc>
      </w:tr>
      <w:tr>
        <w:trPr>
          <w:trHeight w:val="230"/>
        </w:trPr>
        <w:tc>
          <w:tcPr>
            <w:tcW w:w="9760" w:type="dxa"/>
            <w:vAlign w:val="bottom"/>
          </w:tcPr>
          <w:p>
            <w:pPr>
              <w:ind w:left="20"/>
              <w:spacing w:after="0"/>
              <w:rPr>
                <w:sz w:val="20"/>
                <w:szCs w:val="20"/>
                <w:color w:val="auto"/>
              </w:rPr>
            </w:pPr>
            <w:r>
              <w:rPr>
                <w:rFonts w:ascii="Arial" w:cs="Arial" w:eastAsia="Arial" w:hAnsi="Arial"/>
                <w:sz w:val="18"/>
                <w:szCs w:val="18"/>
                <w:color w:val="0000FF"/>
              </w:rPr>
              <w:t>Signatures</w:t>
            </w:r>
          </w:p>
        </w:tc>
        <w:tc>
          <w:tcPr>
            <w:tcW w:w="1480" w:type="dxa"/>
            <w:vAlign w:val="bottom"/>
          </w:tcPr>
          <w:p>
            <w:pPr>
              <w:jc w:val="right"/>
              <w:spacing w:after="0"/>
              <w:rPr>
                <w:sz w:val="20"/>
                <w:szCs w:val="20"/>
                <w:color w:val="auto"/>
              </w:rPr>
            </w:pPr>
            <w:r>
              <w:rPr>
                <w:rFonts w:ascii="Arial" w:cs="Arial" w:eastAsia="Arial" w:hAnsi="Arial"/>
                <w:sz w:val="18"/>
                <w:szCs w:val="18"/>
                <w:color w:val="0000FF"/>
              </w:rPr>
              <w:t>105</w:t>
            </w:r>
          </w:p>
        </w:tc>
      </w:tr>
      <w:tr>
        <w:trPr>
          <w:trHeight w:val="1107"/>
        </w:trPr>
        <w:tc>
          <w:tcPr>
            <w:tcW w:w="9760" w:type="dxa"/>
            <w:vAlign w:val="bottom"/>
          </w:tcPr>
          <w:p>
            <w:pPr>
              <w:ind w:left="5580"/>
              <w:spacing w:after="0"/>
              <w:rPr>
                <w:sz w:val="20"/>
                <w:szCs w:val="20"/>
                <w:color w:val="auto"/>
              </w:rPr>
            </w:pPr>
            <w:r>
              <w:rPr>
                <w:rFonts w:ascii="Arial" w:cs="Arial" w:eastAsia="Arial" w:hAnsi="Arial"/>
                <w:sz w:val="18"/>
                <w:szCs w:val="18"/>
                <w:color w:val="auto"/>
              </w:rPr>
              <w:t>2</w:t>
            </w:r>
          </w:p>
        </w:tc>
        <w:tc>
          <w:tcPr>
            <w:tcW w:w="1480" w:type="dxa"/>
            <w:vAlign w:val="bottom"/>
          </w:tcPr>
          <w:p>
            <w:pPr>
              <w:spacing w:after="0"/>
              <w:rPr>
                <w:sz w:val="24"/>
                <w:szCs w:val="24"/>
                <w:color w:val="auto"/>
              </w:rPr>
            </w:pPr>
          </w:p>
        </w:tc>
      </w:tr>
      <w:tr>
        <w:trPr>
          <w:trHeight w:val="115"/>
        </w:trPr>
        <w:tc>
          <w:tcPr>
            <w:tcW w:w="976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this Annual Report on Form 10-K for Brady Corporation ("Brady," "Company," "we," "us," or "our"), statements that are not reported financial results or other historic information are “forward-looking statements.” These forward-looking statements relate to, among other things, the Company's future financial position, business strategy, targets, projected sales, costs, income, capital expenditures, debt levels and cash flows, and plans and objectives of management for future operations.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w:t>
      </w:r>
    </w:p>
    <w:p>
      <w:pPr>
        <w:spacing w:after="0" w:line="11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Increased cost of raw materials, labor and freight as well as raw material shortages and supply chain disruptions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Decreased demand for the Company's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compete effectively or to successfully execute the Company's strategy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develop technologically advanced products that meet customer demands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Difficulties in protecting websites, networks, and systems against security breaches and difficulties in preventing phishing attacks, social engineering or malicious break-ins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Ability to identify, integrate, and grow acquired companies, and to manage contingent liabilities from divested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the loss of key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Extensive regulations by U.S. and non-U.S. governmental and self-regulatory entities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including product liability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impacts of the novel coronavirus ("COVID-19") pandemic or other pandemics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Foreign currency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write-offs of goodwill and other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legislation and tax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Differing interests of voting and non-voting shareholders</w:t>
      </w:r>
    </w:p>
    <w:p>
      <w:pPr>
        <w:spacing w:after="0" w:line="9"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Numerous other matters of national, regional and global scale, including major public health crises and government responses thereto and those of a political, economic, business, competitive, and regulatory nature contained from time to time in Brady's U.S. Securities and Exchange Commission filings, including, but not limited to, those factors listed in the “Risk Factors” section within Item 1A of Part I of this Annual Report on Form 10-K</w:t>
      </w:r>
    </w:p>
    <w:p>
      <w:pPr>
        <w:spacing w:after="0" w:line="1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Development of Business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Brady was incorporated under the laws of the state of Wisconsin in 1914. Brady is a global manufacturer and supplier of identification solutions and workplace safety products that identify and protect premises, products and people. The ability to provide customers with a broad range of proprietary, customized and diverse products for use in various applications across multiple industries and geographies, along with a commitment to quality and service, have made Brady a leader in many of its markets.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Effective February 1, 2023, the Company is organized and managed on a geographic basis with two reportable segments: Americas &amp; Asia and Europe</w:t>
      </w:r>
    </w:p>
    <w:p>
      <w:pPr>
        <w:spacing w:after="0" w:line="46" w:lineRule="exact"/>
        <w:rPr>
          <w:sz w:val="20"/>
          <w:szCs w:val="20"/>
          <w:color w:val="auto"/>
        </w:rPr>
      </w:pPr>
    </w:p>
    <w:p>
      <w:pPr>
        <w:jc w:val="both"/>
        <w:ind w:firstLine="8"/>
        <w:spacing w:after="0" w:line="255" w:lineRule="auto"/>
        <w:tabs>
          <w:tab w:leader="none" w:pos="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Australia. This change to a regional operating structure allows the Company to further integrate its businesses, support continued growth through the application of the best go-to-market strategies in key geographies, facilitate new product development within recent acquisitions and further simplify the global business. All segment-related data has been conformed to the new reportable segments.</w:t>
      </w:r>
    </w:p>
    <w:p>
      <w:pPr>
        <w:spacing w:after="0" w:line="13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Company’s primary objective is to build upon its market position and increase shareholder value by enabling a highly competent and experienced organization to focus on the following key competencies:</w:t>
      </w:r>
    </w:p>
    <w:p>
      <w:pPr>
        <w:spacing w:after="0" w:line="116" w:lineRule="exact"/>
        <w:rPr>
          <w:sz w:val="20"/>
          <w:szCs w:val="20"/>
          <w:color w:val="auto"/>
        </w:rPr>
      </w:pPr>
    </w:p>
    <w:p>
      <w:pPr>
        <w:ind w:left="660" w:right="2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Innovative products — Technologically-advanced, internally-developed proprietary products that drive revenue growth and sustain gross profit margins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service — Understanding customer needs and providing a high level of customer service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leadership position in niche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Digital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expertise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Operational excellence — Continuous productivity improvement, automation, and product customization capabilities</w:t>
      </w:r>
    </w:p>
    <w:p>
      <w:pPr>
        <w:spacing w:after="0" w:line="15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Brady's long-term sales growth and profitability will depend not only on the overall economic environment and our ability to successfully navigate changes in the macro environment, but also on our ability to develop and market innovative products, deliver a high level of customer service, advance our digital capabilities, and continuously improve the efficiency of our global operations. Our strategy for growth includes an increased focus on certain industries and products, streamlining our product offerings, expanding into higher growth end-markets, improving the overall customer experience, developing technologically advanced, innovative and proprietary products, and improving our digital capabilities.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were key initiatives supporting the strategy in fiscal 2023:</w:t>
      </w:r>
    </w:p>
    <w:p>
      <w:pPr>
        <w:spacing w:after="0" w:line="171" w:lineRule="exact"/>
        <w:rPr>
          <w:sz w:val="20"/>
          <w:szCs w:val="20"/>
          <w:color w:val="auto"/>
        </w:rPr>
      </w:pPr>
    </w:p>
    <w:p>
      <w:pPr>
        <w:ind w:left="660" w:right="20" w:hanging="328"/>
        <w:spacing w:after="0" w:line="25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Investing in organic growth by enhancing our research and development process and utilizing customer feedback and observations to develop innovative new products that solve customer needs and improve environmental sustainability.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our customers with the highest level of customer service.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Expanding and enhancing our sales capabilities through an improved digital presence and the use of data-driven marketing automation tools.</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Maintaining profitability through pricing mechanisms to mitigate the impacts of supply chain disruptions and inflationary pressures while ensuring prices are market competitive.</w:t>
      </w:r>
    </w:p>
    <w:p>
      <w:pPr>
        <w:ind w:left="660" w:hanging="328"/>
        <w:spacing w:after="0" w:line="25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Executing our reorganization to a regional operating structure to support continued growth in key geographies, facilitating new product development in our recent acquisitions, and simplifying and further integrating our businesses.</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Integrating recent acquisitions to further enhance our strategic position and accelerate long-term sales growth.</w:t>
      </w:r>
    </w:p>
    <w:p>
      <w:pPr>
        <w:spacing w:after="0" w:line="9"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Driving operational excellence and executing sustainable efficiency gains within our selling, general and administrative structures and within our global operations including insourcing of critical products and manufacturing activities while reducing our environmental footprint.</w:t>
      </w:r>
    </w:p>
    <w:p>
      <w:pPr>
        <w:ind w:left="660" w:right="20" w:hanging="328"/>
        <w:spacing w:after="0" w:line="26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Building on our culture of diversity, equity and inclusion to increase employee engagement and enhance recruitment and retention practices in order to drive differentiated performance and execute our strategy.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Narrative Description of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organized and managed on a geographic basis with two reportable segments: Americas &amp; Asia and Europe &amp; Australia. Below is a summary of sales by reportable segment during the years ended July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2023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720" w:type="dxa"/>
            <w:vAlign w:val="bottom"/>
          </w:tcPr>
          <w:p>
            <w:pPr>
              <w:jc w:val="right"/>
              <w:ind w:right="612"/>
              <w:spacing w:after="0"/>
              <w:rPr>
                <w:sz w:val="20"/>
                <w:szCs w:val="20"/>
                <w:color w:val="auto"/>
              </w:rPr>
            </w:pPr>
            <w:r>
              <w:rPr>
                <w:rFonts w:ascii="Arial" w:cs="Arial" w:eastAsia="Arial" w:hAnsi="Arial"/>
                <w:sz w:val="16"/>
                <w:szCs w:val="16"/>
                <w:b w:val="1"/>
                <w:bCs w:val="1"/>
                <w:color w:val="auto"/>
              </w:rPr>
              <w:t>2021</w:t>
            </w:r>
          </w:p>
        </w:tc>
      </w:tr>
      <w:tr>
        <w:trPr>
          <w:trHeight w:val="226"/>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Americas &amp; Asia</w:t>
            </w:r>
          </w:p>
        </w:tc>
        <w:tc>
          <w:tcPr>
            <w:tcW w:w="104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66.7 %</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66.1 %</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64.3 %</w:t>
            </w:r>
          </w:p>
        </w:tc>
      </w:tr>
      <w:tr>
        <w:trPr>
          <w:trHeight w:val="230"/>
        </w:trPr>
        <w:tc>
          <w:tcPr>
            <w:tcW w:w="6920" w:type="dxa"/>
            <w:vAlign w:val="bottom"/>
            <w:gridSpan w:val="2"/>
          </w:tcPr>
          <w:p>
            <w:pPr>
              <w:ind w:left="20"/>
              <w:spacing w:after="0"/>
              <w:rPr>
                <w:sz w:val="20"/>
                <w:szCs w:val="20"/>
                <w:color w:val="auto"/>
              </w:rPr>
            </w:pPr>
            <w:r>
              <w:rPr>
                <w:rFonts w:ascii="Arial" w:cs="Arial" w:eastAsia="Arial" w:hAnsi="Arial"/>
                <w:sz w:val="16"/>
                <w:szCs w:val="16"/>
                <w:color w:val="auto"/>
              </w:rPr>
              <w:t>Europe &amp; Australia</w:t>
            </w:r>
          </w:p>
        </w:tc>
        <w:tc>
          <w:tcPr>
            <w:tcW w:w="660" w:type="dxa"/>
            <w:vAlign w:val="bottom"/>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33.9 %</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35.7 %</w:t>
            </w:r>
          </w:p>
        </w:tc>
      </w:tr>
      <w:tr>
        <w:trPr>
          <w:trHeight w:val="248"/>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Prior to February 1, 2023, the Company operated two former segments: Identification Solutions (“IDS”) and Workplace Safety (“WPS”). IDS is primarily involved in the design, manufacturing, and distribution of high-performance and innovative identification and healthcare products, while WPS manufactures a broad range of stock and custom identification products and is a distributor of a wide variety of resale products.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is a summary of sales for IDS and WPS within each current reportable segment during the years ended July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Americas &amp; Asia</w:t>
            </w:r>
          </w:p>
        </w:tc>
        <w:tc>
          <w:tcPr>
            <w:tcW w:w="170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7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IDS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88.3 %</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WPS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9.6 %</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Europe &amp; Australia</w:t>
            </w: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5880" w:type="dxa"/>
            <w:vAlign w:val="bottom"/>
            <w:tcBorders>
              <w:bottom w:val="single" w:sz="8" w:color="CCEEFF"/>
            </w:tcBorders>
            <w:vMerge w:val="continue"/>
          </w:tcPr>
          <w:p>
            <w:pPr>
              <w:spacing w:after="0"/>
              <w:rPr>
                <w:sz w:val="24"/>
                <w:szCs w:val="24"/>
                <w:color w:val="auto"/>
              </w:rPr>
            </w:pPr>
          </w:p>
        </w:tc>
        <w:tc>
          <w:tcPr>
            <w:tcW w:w="170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24"/>
                <w:szCs w:val="24"/>
                <w:color w:val="auto"/>
              </w:rPr>
            </w:pPr>
          </w:p>
        </w:tc>
        <w:tc>
          <w:tcPr>
            <w:tcW w:w="1720" w:type="dxa"/>
            <w:vAlign w:val="bottom"/>
            <w:tcBorders>
              <w:bottom w:val="single" w:sz="8" w:color="auto"/>
            </w:tcBorders>
          </w:tcPr>
          <w:p>
            <w:pPr>
              <w:jc w:val="right"/>
              <w:ind w:right="612"/>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3"/>
        </w:trPr>
        <w:tc>
          <w:tcPr>
            <w:tcW w:w="5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IDS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52.8 %</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52.8 %</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46.9 %</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WPS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47.2 %</w:t>
            </w: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47.2 %</w:t>
            </w: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53.1 %</w:t>
            </w:r>
          </w:p>
        </w:tc>
        <w:tc>
          <w:tcPr>
            <w:tcW w:w="0" w:type="dxa"/>
            <w:vAlign w:val="bottom"/>
          </w:tcPr>
          <w:p>
            <w:pPr>
              <w:spacing w:after="0"/>
              <w:rPr>
                <w:sz w:val="1"/>
                <w:szCs w:val="1"/>
                <w:color w:val="auto"/>
              </w:rPr>
            </w:pPr>
          </w:p>
        </w:tc>
      </w:tr>
      <w:tr>
        <w:trPr>
          <w:trHeight w:val="248"/>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Identification Solutions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Primary product categories include:</w:t>
      </w:r>
    </w:p>
    <w:p>
      <w:pPr>
        <w:spacing w:after="0" w:line="171" w:lineRule="exact"/>
        <w:rPr>
          <w:sz w:val="20"/>
          <w:szCs w:val="20"/>
          <w:color w:val="auto"/>
        </w:rPr>
      </w:pPr>
    </w:p>
    <w:p>
      <w:pPr>
        <w:ind w:left="660" w:hanging="328"/>
        <w:spacing w:after="0" w:line="258"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identification, which includes materials, printing systems, RFID and bar code scanners for product identification, brand protection labeling, work in process labeling, finished product identification, and industrial track and trace applications.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Facility safety and identification and protection, which includes safety signs, floor-marking tape, pipe markers, labeling systems, spill control products, lockout/tagout devices, and software and services for safety compliance auditing, procedures writing and training.</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Wire identification, which includes hand-held printers, wire markers, sleeves, and tags.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People identification, which includes name tags, badges, lanyards, rigid card printing systems, and access control software.</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Patient identification, which includes wristbands, labels, printing systems, and other products used in hospital, laboratories, and other healthcare settings for tracking and improving the safety of patients.</w:t>
      </w:r>
    </w:p>
    <w:p>
      <w:pPr>
        <w:spacing w:after="0" w:line="1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Approximately 64% of IDS products are sold under the Brady brand, with other primary brands including identification products for the utility industry which are marketed under the Electromark brand and security and identification badges and systems which are marketed under the PromoVision, Brady People ID, BIG, and MAGiCARD brands. Spill control products are marketed under the SPC brand, lockout/tagout products are offered under the Scafftag brand, RFID products are marketed under the Nordic ID brand, and barcode scanners are marketed under the Code brand. Identification and patient safety products in the healthcare industry are available under the PDC Healthcare brand and custom wristbands for the leisure and entertainment industry are available under the PDC brand.</w:t>
      </w:r>
    </w:p>
    <w:p>
      <w:pPr>
        <w:spacing w:after="0" w:line="13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Each region markets and sells high-quality and rapid response IDS products through multiple channels including distribution, a direct sales force, and digital channels. The direct sales force within each region partners with end-users and distributors by providing technical application and product expertise.</w:t>
      </w:r>
    </w:p>
    <w:p>
      <w:pPr>
        <w:spacing w:after="0" w:line="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manufactures differentiated, proprietary products, most of which have been internally developed. These internally developed products include materials; printing, identification and tracking systems; and software. Competition is present based upon several factors, including product innovation, customer service, breadth of product offering, product quality, price, expertise, production capabilities, and for multinational customers, our global footprint. Competition is highly fragmented, ranging from smaller companies offering minimal product variety, to some of the world's largest adhesive and electrical product companies offering competing products as part of their overall product lines.</w:t>
      </w:r>
    </w:p>
    <w:p>
      <w:pPr>
        <w:spacing w:after="0" w:line="12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These products serve customers in many industries within each region, which include industrial manufacturing, electronic manufacturing, healthcare, chemical, oil, gas, alternative energy, automotive, aerospace, governments, mass transit, electrical contractors, education, leisure and entertainment and telecommunications, among others.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Workplace Safety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Primary product categories include:</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identification, which includes asset tracking labels and asset tags.</w:t>
      </w:r>
    </w:p>
    <w:p>
      <w:pPr>
        <w:spacing w:after="0" w:line="23"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Facility, safety and identification and protection, which includes safety signs, traffic signs and control products, floor-marking tape, pipe markers, lockout/tagout devices, personal protection equipment, first aid products, and other workplace compliance products.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Wire identification, which includes handheld printers, wire markers, sleeves and tags.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Products are sold under a variety of brands including: safety and facility identification products offered under the Seton, Emedco, Signals, Safety Signs, SafetyShop, Signs &amp; Labels, and Pervaco brands; first aid supplies marketed under the Accidental Health and Safety, Trafalgar, and Securimed brands; and wire identification products marketed under the Carroll brand.</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manufactures a broad range of stock and custom identification products, and also sells a broad range of related resale products. Manufactured products comprise approximately 40% of WPS product sales. Historically, both the Company and many of our competitors focused their businesses on catalog marketing, often with varying product niches. Many of our competitors extensively utilize e-commerce to promote the sale of their products. A consequence of e-commerce is price transparency, as prices on non-proprietary products can be easily compared. Therefore, to compete effectively, we focus on pricing our products competitively, building out our e-commerce capabilities, developing unique or customized solutions, enhancing the customer experience, and providing compliance expertise as these factors are critical to retain existing customers and convert new customers. WPS primarily sells to businesses and serves many industries, including manufacturers, process industries, government, education, construction, and utilities.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focuses its research and development ("R&amp;D") efforts on track and trace applications, pressure sensitive materials, identification and printing systems, software, and the development of other workplace safety-related products. The Company spent $61.4 million, $58.5 million, and $44.6 million on its R&amp;D activities during the years ended July 31, 2023, 2022, and 2021, respectively. The majority of R&amp;D spend supports the Company's identification products. Material development involves the application of surface chemistry concepts for top coatings and adhesives applied to a variety of base materials. The design of our identification and printing systems integrates materials, embedded software, a variety of printing technologies and product scanning and identification technologies to form a complete solution for customer applications. In addition, the R&amp;D team supports production and marketing efforts by providing application and technical expertise.</w:t>
      </w:r>
    </w:p>
    <w:p>
      <w:pPr>
        <w:spacing w:after="0" w:line="1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owns patents and tradenames relating to certain products in the United States and internationally. Although the Company believes patents are a significant driver in maintaining its position for certain products, technology in the areas covered by many of the patents continues to evolve and may limit the value of such patents. The Company's business is not dependent on any single patent or group of patents. Patents applicable to specific products extend for up to 20 years according to the date of patent application filing or patent grant, depending upon the legal term of patents in the various countries where patent protection is obtained. The Company's tradenames are generally valid ten years from the date of registration, and are typically renewed on an ongoing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7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materials used in the products manufactured by the Company consist of a variety of plastic and synthetic films, paper, metal and metal foil, cloth, fiberglass, inks, dyes, adhesives, pigments, natural and synthetic rubber, organic chemicals, polymers, and solvents for consumable identification products in addition to molded parts, electronic components, chips, and sub-assemblies for identification and printing systems. The Company operates coating facilities that manufacture bulk rolls of label stock for internal and external customers. In addition, the Company purchases finished products for resale.</w:t>
      </w:r>
    </w:p>
    <w:p>
      <w:pPr>
        <w:spacing w:after="0" w:line="1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purchases raw materials, components and finished products from many suppliers. Overall, we are not dependent upon any single supplier for our most critical base materials or components. However, we have chosen in certain situations to sole source, or limit the sources of materials, components, or finished items for design or cost reasons. As a result, disruptions in supply could have an impact on results for a period of time, but we believe any disruptions would simply require qualification of new suppliers and the disruption would be modest. In certain instances, the qualification process could be more costly or take a longer period of time and in certain situations, such as a global shortage of critical materials or components, the financial impact could be material.</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carries working capital mainly related to accounts receivable and inventory. Inventory consists of raw materials, work in process and finished goods. Generally, custom products are made to order while an on-hand quantity of stock product is maintained to provide customers with timely delivery. Average time to fulfill customer orders varies from same-day to one month, depending on the type of product, customer request, and whether the product is stock or custom-designed and manufactured. Normal and customary payment terms primarily range from net 10 to 90 days from date of invoice and vary by geography.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a broad customer base, and no individual customer represents 10% or more of total net sales.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31, 2023, the Company employed approximately 5,600 individuals worldwide, of which approximately 1,650 were employed in the United States and approximately 3,950 were employed outside the United States.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Vice President of Human Resources is responsible for developing the Company’s human capital strategy, which includes the attraction, acquisition, development, engagement and retention of talent to deliver on the Company’s strategy as well as the design of employee compensation and benefits programs. Management is responsible for executing the Company's human capital strategy. The Vice President of Human Resources is also responsible for leading the Company’s diversity, equity, and inclusion initiatives. The Company’s Board of Directors and its committees receive regular updates on the operation and status of these initiatives and human capital trends and activities from the Vice President of Human Resources, the CEO and others within senior management.</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Key areas of focus with respect to human capital include:</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Health and Safety</w:t>
      </w:r>
      <w:r>
        <w:rPr>
          <w:rFonts w:ascii="Arial" w:cs="Arial" w:eastAsia="Arial" w:hAnsi="Arial"/>
          <w:sz w:val="17"/>
          <w:szCs w:val="17"/>
          <w:color w:val="auto"/>
        </w:rPr>
        <w:t>: The Company’s health and safety programs are designed around global standards with appropriate variations addressing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multiple jurisdictions and regulations, specific hazards and unique working environments of the Company’s manufacturing, distribution and headquarter operations. The Company requires each of its locations to perform regular safety audits to ensure proper safety policies, program procedures, analyses and trainings are in place. The Company utilizes a mixture of leading and lagging indicators to assess the health and safety performance of its operations. Lagging indicators include the OSHA Total Recordable Incident Rate (“TRIR”) and the Lost Time Case Rate (“LTCR”) based upon the number of incidents per 100 employees. Leading indicators include reporting and closure of all near miss events. The Company also utilizes trainings such as Environmental, Health and Safety (“EHS”) coaching and engagement conversations as preventative measure. During the year ended July 31, 2023, the Company had a TRIR of 0.60, a LTCR of 0.28 and no work-related fatalities.</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Diversity, Equity, and Inclusion</w:t>
      </w:r>
      <w:r>
        <w:rPr>
          <w:rFonts w:ascii="Arial" w:cs="Arial" w:eastAsia="Arial" w:hAnsi="Arial"/>
          <w:sz w:val="17"/>
          <w:szCs w:val="17"/>
          <w:color w:val="auto"/>
        </w:rPr>
        <w:t>: Fostering a culture of diversity, equity and inclusion in the workplace means employees are and believe that they are</w:t>
      </w:r>
      <w:r>
        <w:rPr>
          <w:rFonts w:ascii="Arial" w:cs="Arial" w:eastAsia="Arial" w:hAnsi="Arial"/>
          <w:sz w:val="17"/>
          <w:szCs w:val="17"/>
          <w:i w:val="1"/>
          <w:iCs w:val="1"/>
          <w:color w:val="auto"/>
        </w:rPr>
        <w:t xml:space="preserve"> </w:t>
      </w:r>
      <w:r>
        <w:rPr>
          <w:rFonts w:ascii="Arial" w:cs="Arial" w:eastAsia="Arial" w:hAnsi="Arial"/>
          <w:sz w:val="17"/>
          <w:szCs w:val="17"/>
          <w:color w:val="auto"/>
        </w:rPr>
        <w:t>valued and listened to, and the Company has made this a top priority. The Company believes that its culture of diversity, equity and inclusion enables it to create, develop and fully leverage the strengths of its workforce to exceed customer expectations and successfully pursue its growth objectives. To this end, the Company engages employees through various employee resource groups staffed by employees with diverse backgrounds, experiences and characteristics who share a common interest in professional development, improving corporate culture and delivering improved business results. Each employee resource group is sponsored and supported by senior leaders throughout the organization.</w:t>
      </w:r>
    </w:p>
    <w:p>
      <w:pPr>
        <w:spacing w:after="0" w:line="12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 has implemented several steps to drive accountability for increasing diversity, equity and inclusion throughout the global organization. The CEO and other senior leaders have diversity, equity and inclusion objectives embedded in their annual performance goals. The Company also strives to build a diverse talent pipeline by partnering with its business units in their workforce planning to develop initiatives and goals to recruit diverse talent across defined organizational levels and skill areas. The Company trains its recruiting workforce in diversity sourcing strategies and partners with external organizations that develop and supply diverse talent. The Company has also expanded its university outreach programs to access diverse organizations, has implemented interview guides to mitigate bias in interviewing, has implemented mentoring programs and employee resource groups to increase employee engagement and retention and has implemented required training for all managers on diversity, equity and inclusion compliance and unconscious bias. As of July 31, 2023, 44% of the members of the Company’s Board of Directors were women and 60% of Board committee chairs were women.</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Training and Talent Development</w:t>
      </w:r>
      <w:r>
        <w:rPr>
          <w:rFonts w:ascii="Arial" w:cs="Arial" w:eastAsia="Arial" w:hAnsi="Arial"/>
          <w:sz w:val="17"/>
          <w:szCs w:val="17"/>
          <w:color w:val="auto"/>
        </w:rPr>
        <w:t>: The Company is committed to the continued development of its people. Strategic talent reviews and succession</w:t>
      </w:r>
      <w:r>
        <w:rPr>
          <w:rFonts w:ascii="Arial" w:cs="Arial" w:eastAsia="Arial" w:hAnsi="Arial"/>
          <w:sz w:val="17"/>
          <w:szCs w:val="17"/>
          <w:i w:val="1"/>
          <w:iCs w:val="1"/>
          <w:color w:val="auto"/>
        </w:rPr>
        <w:t xml:space="preserve"> </w:t>
      </w:r>
      <w:r>
        <w:rPr>
          <w:rFonts w:ascii="Arial" w:cs="Arial" w:eastAsia="Arial" w:hAnsi="Arial"/>
          <w:sz w:val="17"/>
          <w:szCs w:val="17"/>
          <w:color w:val="auto"/>
        </w:rPr>
        <w:t>planning occur on a planned cadence annually. The CEO and the Vice President of Human Resources convene meetings with senior Company leadership and the Board of Directors to review top enterprise talent and discuss succession planning for key leadership roles.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provides technical training to employees, customers and suppliers who work for or with the Company’s products. Training is provided in a variety of formats to accommodate the respective learner’s style, pace, location, technical knowledge and access.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Compensation and Benefits: </w:t>
      </w:r>
      <w:r>
        <w:rPr>
          <w:rFonts w:ascii="Arial" w:cs="Arial" w:eastAsia="Arial" w:hAnsi="Arial"/>
          <w:sz w:val="18"/>
          <w:szCs w:val="18"/>
          <w:color w:val="auto"/>
        </w:rPr>
        <w:t>The Company values its people and strives to deliver compensation and benefit programs and plans that are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external market. The Company provides subsidized health and welfare benefits, as well as postretirement, incentive and equity-based compensation plans and programs to eligible employees. Refer to the Compensation Discussion &amp; Analysis for additional information regarding the Company’s compensation and benefits programs.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Available on the Internet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Corporate Internet address is www.bradyid.com. The Company makes available, free of charge, on or through its website, copies of its Annual Report on Form 10-K, Quarterly Reports on Form 10-Q, Current Reports on Form 8-K, and amendments to all such reports as soon as reasonably practicable after such reports are electronically filed with or furnished to the Securities and Exchange Commission (“SEC”). The Company is not including the information contained on or available through its website as part of, or incorporating such information by reference into, this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Investors should carefully consider the risks set forth below and all other information contained in this report and other documents we file with the SEC. The risks and uncertainties described below are those that we have identified as material, but are not the only risks and uncertainties facing us. Our business is also subject to general risks and uncertainties that affect many other companies, such as market conditions, geopolitical events, changes in laws or accounting rules, fluctuations in interest rates, terrorism, wars or conflicts, major health concerns, natural disasters or other disruptions of expected economic or business conditions. Additional risks and uncertainties not currently known to us or that we currently believe are immaterial also may impair our business and financial results.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Risks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Raw material and other cost inflation as well as product shortages could adversely affect our business and financial results.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manufacture certain parts and components of our products and therefore require raw materials from suppliers, which could be interrupted for a variety of reasons, including availability and pricing. Our prices and lead times for raw materials and other components necessary for production have fluctuated in the past year, including increased raw production costs, increased wage rates, and extended lead times. Significant increases could adversely affect our profit margins and results of operations. Changes in trade policies; shortages due to the residual effects of the COVID-19 pandemic, other pandemics, or any other reason; and the imposition of duties and tariffs and potential retaliatory countermeasures could adversely impact the price or availability of raw materials. In addition, labor shortages or an increase in the cost of labor could adversely affect our profit margins and results of operations. Due to competitive pressures or other factors, we may not be able to pass along increased raw material and component part costs to our customers in the form of price increases or our ability to do so could be delayed, which could adversely impact our business and financial results.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costs of certain raw materials, components, transportation and energy necessary for our operations and the production and distribution of our products have increased significantly. While we have implemented certain cost containment measures and selective price increases, as well as taken other actions to offset these inflationary pressures in our supply chain, we may not be able to offset all of the increases in our operational costs, which could adversely impact our business and financial results.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Demand for our products may be adversely affected by numerous factors, some of which we cannot predict or control. This could adversely affect our business and financial results.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Numerous factors may affect the demand for our products, including:</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Deterioration of economic conditions in major markets served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Residual economic and operational impact of the COVID-19 pandemic, or the impact of other pandemics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and operational impact of the war between Russia and Ukraine or other wars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Consolidation in the marketplace allowing competitors to be more efficient and more price competitive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Competitors entering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Decreasing product life cycles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customer preferences</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Ability to achieve strong operational performance, including the manufacture and sale of high-quality products and the ability to meet customer delivery expectations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any of these factors occur, the demand for our products could suffer, and this could adversely impact our business and financial results.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Failure to compete effectively or to successfully execute our strategy may have a negative impact on our business and financial results.</w:t>
      </w:r>
    </w:p>
    <w:p>
      <w:pPr>
        <w:spacing w:after="0" w:line="1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actively compete with companies that produce and market the same or similar products, and in some instances, with companies that sell different products that are designed for the same target markets. Competition may force us to reduce prices or incur additional costs to remain competitive in an environment in which business models, including the development and use of artificial intelligence technologies, are changing rapidly. We compete on the basis of several factors, including customer support, product innovation, product offering, product quality, price, expertise, digital capabilities, production capabilities, and for multinational customers, our global footprint. Present or future competitors may develop and introduce new and enhanced products, offer products based on alternative technologies and processes, accept lower profit, have greater financial, technical or other resources, or have lower production costs or other pricing advantages. Any of these could put us at a disadvantage by threatening our share of sales or reducing our profit margins, which could adversely impact our business and financial results.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throughout our global business, distributors and customers may not accept our price increases or may seek lower cost sourcing opportunities, which could result in a loss of business that may adversely impact our business and financial results.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strategy is to expand into higher-growth adjacent product categories and markets with technologically advanced new products, as well as to grow our sales generated through the digital channel. While traditional direct marketing channels such as catalogs are an important means of advertising and selling our products, an increasing number of customers are purchasing products on the internet. Our strategy to increase sales through the digital channel is an investment in our internet sales capabilities. There is a risk that we may not continue to successfully implement this strategy, or if successfully implemented, we may not realize its expected benefits due to increased competition and pricing pressure brought about by the internet. Our failure to successfully implement our strategy could adversely impact our business and financial results.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Failure to develop or acquire technologically advanced products that meet customer demands, including price expectations, could adversely impact our business and financial results.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develop technologically advanced new products to promote our organic growth and profitability. Technology is changing rapidly and our competitors are innovating quickly. If we do not keep pace with developing technologically advanced products, we risk product commoditization, deterioration of the value of our brand, and reduced ability to effectively compete. We must continue to develop innovative products, as well as acquire and retain the necessary intellectual property rights in these products. If we fail to innovate, or we launch products with quality problems, or if customers do not accept our products, then our business and financial results could be adversely affected.</w:t>
      </w:r>
    </w:p>
    <w:p>
      <w:pPr>
        <w:spacing w:after="0" w:line="12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The failure to properly identify, integrate and grow acquired companies, and to manage contingent liabilities from divested businesses could adversely affect our business and financial results.</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historical growth has included acquisitions and our future growth strategy includes acquisitions. We completed the acquisitions of Code, Magicard and Nordic ID in fiscal 2021 for a total purchase price of $244.0 million. Acquisitions place significant demands on management, operational, and financial resources. Recent and future acquisitions will require integration of operations, sales and marketing, information technology, finance, and administrative operations, which could decrease the time available to focus on our other growth strategies. We cannot assure that we will be able to successfully integrate acquisitions, that these acquisitions will operate profitably, or that we will be able to achieve the desired sales growth or operational success. Our sales, results of operations, cash flow, and liquidity could be adversely affected if we do not successfully integrate acquired businesses, including realizing synergies, or if our other businesses suffer due to the increased focus on the acquired businesses.</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continually assess the strategic fit of our existing businesses and may divest businesses that we determine do not align with our strategic plan, or that are not achieving the desired return on investment. Divestitures pose risks and challenges that could negatively impact our business. When we decide to sell a business or specific assets, we may be unable to do so on satisfactory terms or within our anticipated timeframe, and even after reaching a definitive agreement to sell a business, the sale is typically subject to pre-closing conditions which may not be satisfied. In addition, the impact of the divestiture on our revenue and net income may be larger than projected, which could distract management, and disputes may arise with buyers. We have retained responsibility for and have agreed to indemnify buyers against certain contingent liabilities related to several businesses that we have sold. The resolution of these contingencies has not had a material adverse impact on our financial results, but we cannot be certain that this favorable pattern will continue.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COVID-19 pandemic has adversely impacted our operations and business.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COVID-19 pandemic disrupted the global economy and adversely impacted our businesses, including demand for our products across multiple end-markets as well as our supply chain and operations. Any future resurgence of the COVID-19 pandemic, or other health epidemics, may have an impact on our business, operations and financial results depending on factors that cannot be accurately predicted at this time, such as the severity and transmission rate of any health epidemic, the extent and effectiveness of containment actions, the extent to which vaccines or other medical treatments are developed and made available to and accepted by the public, and the impact of these and other factors on our stakeholders.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Operating Risks</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b w:val="1"/>
          <w:bCs w:val="1"/>
          <w:i w:val="1"/>
          <w:iCs w:val="1"/>
          <w:color w:val="auto"/>
        </w:rPr>
        <w:t>Our failure or the failure of third-party service providers to protect our sites, networks and systems against security breaches, to protect our confidential information, or to facilitate our digital strategy, could adversely affect our business and financial results.</w:t>
      </w:r>
    </w:p>
    <w:p>
      <w:pPr>
        <w:spacing w:after="0" w:line="9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business systems collect, transmit and store data about our customers, vendors and others, including credit card information and personally identifiable information. We also employ third-party service providers that store, process and transmit proprietary, personal and confidential information on our behalf. We rely on encryption and authentication technology licensed from third parties in an effort to securely transmit confidential and sensitive information, including credit card numbers. Our security measures, and those of our third-party service providers, may not detect or prevent all attempts to hack our systems, denial-of-service attacks, viruses, malicious software, break-ins, phishing attacks, social engineering, security breaches or other similar disruptions that may jeopardize the security of information stored in or transmitted by our sites, networks and systems or that we or our third-party service providers otherwise maintain. We engage third-party service providers to assist with certain of our website and digital platform upgrades, which may result in a decline in sales when initially deployed, which could have an adverse effect on our business and financial results.</w:t>
      </w:r>
    </w:p>
    <w:p>
      <w:pPr>
        <w:spacing w:after="0" w:line="1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and our service providers may not have the resources or technical sophistication to anticipate or prevent all types of attacks, and techniques used to obtain unauthorized access to or to sabotage systems change frequently and may not be known until launched against us or our third-party service providers. In addition, security breaches can also occur as a result of non-technical issues, including intentional or inadvertent breaches by our employees or by persons with whom we have commercial relationships. Although we maintain privacy, data breach and network security liability insurance, we cannot be certain that our coverage will be adequate or will cover liabilities actually incurred, or that insurance will continue to be available to us on economically reasonable terms, or at all. Any compromise or breach of our security measures, or those of our third-party service providers, could adversely impact our ability to conduct business, violate applicable privacy, data security and other laws, and cause significant legal and financial exposure, adverse publicity, and a loss of confidence in our security measures, which could have an adverse effect on our business and financial results.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depend on key employees and the loss of these individuals could have an adverse effect on our business and financial results.</w:t>
      </w:r>
    </w:p>
    <w:p>
      <w:pPr>
        <w:spacing w:after="0" w:line="18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financial results could be adversely affected by increased competition for employees, difficulty in recruiting employees, higher employee turnover or increased compensation and benefit costs. Our employees are important to our success and we are dependent on our ability to retain the services of our employees in key roles. We have built our business on a set of core values, and we attempt to hire and retain employees who are committed to these values and our culture of providing exceptional service to our customers. In order to compete and to continue to grow, we must attract, retain and motivate our employees. We need qualified managers and skilled employees with technical and industry experience to operate our business successfully. If we are unable to attract and retain qualified individuals, or if our costs to do so increase significantly, or if internal realignment of responsibilities are not executed properly, our business and financial results could be adversely affected.</w:t>
      </w:r>
    </w:p>
    <w:p>
      <w:pPr>
        <w:spacing w:after="0" w:line="12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We are a global company headquartered in the United States. We are subject to extensive regulations by U.S. and non-U.S. governmental and self-regulatory entities at various levels of the governing bodies. Failure to comply with laws and regulations could adversely affect our business and financial results.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Approximately 50% of our sales are derived outside of the United States. Our operations are subject to the risks of doing business domestically and globally, including the following:</w:t>
      </w:r>
    </w:p>
    <w:p>
      <w:pPr>
        <w:spacing w:after="0" w:line="11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or disruptions in product deliveries and payments in connection with international manufacturing and sales.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Regulations resulting from political and economic instability and disruptions.</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Imposition of new or changes in existing duties, tariffs and trade agreements, which could have a direct or indirect impact on our ability to manufacture products, on our customers' demand for our products, or on our suppliers' ability to deliver raw materials.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Import, export and economic sanction laws.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Current and changing governmental policies, regulatory, and business environments.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Disadvantages from competing against companies from countries that are not subject to U.S. laws and regulations including the Foreign Corrupt Practices Act.</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labor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Regulations relating to climate change, air emissions, wastewater discharges, handling and disposal of hazardous materials and wastes.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Regulations relating to product content, health, safety and the protection of the environment.</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trade or travel restrictions as a result of any continuing effects of the COVID-19 pandemic, or as a result of other pandemics or global health crises.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Specific country regulations where our products are manufactured or sold.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Regulations relating to compliance with data protection and privacy laws throughout our global business.</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Laws and regulations that apply to companies doing business with the government, including audit requirements of government contracts related to procurement integrity, export control, employment practices, and the accuracy of records and recording of costs.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Further, these laws and regulations are constantly evolving and it is difficult to accurately predict the effect they may have upon our business and financial results.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cannot provide assurance that our internal controls and compliance systems will always protect us from acts committed by employees, agents or business partners that would violate U.S. and/or non-U.S. laws, including the laws governing payments to government officials, bribery, fraud, anti-kickback and false claims rules, competition, export and import compliance, money laundering and data privacy. Any such improper actions could subject us to civil or criminal investigations in the U.S. and in other jurisdictions, lead to substantial civil or criminal, monetary and non-monetary penalties and related lawsuits by shareholders and others, damage our reputation, and adversely impact our business and financial results.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subject to litigation that could adversely impact our business, financial results, and reputation.</w:t>
      </w:r>
    </w:p>
    <w:p>
      <w:pPr>
        <w:spacing w:after="0" w:line="17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are a party to litigation that arises in the normal course of our business operations, including product liability and recall (strict liability and negligence) claims, patent and trademark matters, contract disputes and environmental, employment and other litigation matters. We face an inherent risk that our competitors will allege that aspects of our products infringe their intellectual property or that our intellectual property is invalid, such that we could be prevented from manufacturing and selling our products or prevented from stopping others from manufacturing and selling competing products. We face an inherent business risk of exposure to product liability claims in the event that the use of our products is alleged to have resulted in injury or other damage. To date, we have not incurred material costs related to these types of claims. However, while we currently maintain insurance coverage for certain types of claims that we believe is adequate, we cannot be certain that we will be able to maintain this insurance on acceptable terms or that this insurance will provide sufficient coverage against potential liabilities that may arise. Any claims brought against us, with or without merit, may have an adverse effect on our business, financial results and reputation as a result of potential adverse outcomes. The expenses associated with defending such claims and the diversion of our management’s resources and time may have an adverse effect on our business and financial results.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Global climate change and related emphasis on ESG matters by various stakeholders could negatively affect our business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Increased public awareness and concern regarding global climate change may result in more regional and/or federal requirements to reduce or mitigate the effects of greenhouse gas emissions. There continues to be a lack of consistent climate legislation, which creates economic and regulatory uncertainty. Further, our customers and the markets we serve may impose emissions or other environmental standards through regulation, market-based emissions policies or consumer preference that we may not be able to timely meet due to the required level of capital investment or technological advancement.</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the enhanced stakeholder focus on ESG issues relating to our business requires the continuous monitoring of various and evolving standards and the associated reporting requirements. A failure to adequately meet stakeholder expectations may result in the loss of business, diluted market valuation, an inability to attract customers or an inability to attract and retain top talent.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Security Ownership Risks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The global nature of our business exposes us to foreign currency fluctuations that could adversely affect our business and financial results.</w:t>
      </w:r>
    </w:p>
    <w:p>
      <w:pPr>
        <w:spacing w:after="0" w:line="1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Approximately 50% of our sales are derived outside the United States. Sales and purchases in currencies other than the U.S. dollar expose us to fluctuations in foreign currencies relative to the U.S. dollar, and may adversely affect our financial results. Increased strength of the U.S. dollar will increase the effective price of our products sold in currencies other than U.S. dollars into other countries. Decreased strength of the U.S. dollar could adversely affect the cost of materials, products, and services purchased overseas. Our sales and expenses are translated into U.S. dollars for reporting purposes, and further strengthening of the U.S. dollar could result in unfavorable translation effects, which occurred during fiscal years 2020 and 2022. In addition, certain of our subsidiaries may invoice customers in a currency other than its functional currency or may be invoiced by suppliers in a currency other than its functional currency, which could result in unfavorable translation effects on our business and financial results.</w:t>
      </w:r>
    </w:p>
    <w:p>
      <w:pPr>
        <w:spacing w:after="0" w:line="12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Failure to execute our strategies could result in impairment of goodwill or other intangible assets, which may negatively impact income and profitability</w:t>
      </w:r>
      <w:r>
        <w:rPr>
          <w:rFonts w:ascii="Arial" w:cs="Arial" w:eastAsia="Arial" w:hAnsi="Arial"/>
          <w:sz w:val="18"/>
          <w:szCs w:val="18"/>
          <w:b w:val="1"/>
          <w:bCs w:val="1"/>
          <w:color w:val="auto"/>
        </w:rPr>
        <w:t>.</w:t>
      </w:r>
    </w:p>
    <w:p>
      <w:pPr>
        <w:spacing w:after="0" w:line="11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goodwill of $592.6 million and other intangible assets of $62.1 million as of July 31, 2023, which represents 47.1% of our total assets, and we have recognized impairment charges in the past. We evaluate goodwill and other intangible assets for impairment on an annual basis, or more frequently if impairment indicators are present, based upon the fair value of each respective asset. The valuations prepared for the required impairment test include management's estimates of sales, profitability, cash flow generation, capital structure, cost of debt, interest rates, capital expenditures, and other assumptions. Significant negative industry or economic trends, disruptions to our business, inability to achieve sales projections or cost savings, inability to effectively integrate acquired businesses, unexpected changes in the use of the assets, and divestitures may adversely impact the assumptions used in the valuations. If the estimated fair value of our goodwill or other intangible assets change in future periods, we may be required to record an impairment charge, which would reduce net income in such period. Indicators of other-than-temporary impairment were present in our equity investment in React Mobile, Inc., an employee safety software and hardware company, and we recognized an other-than-temporary impairment charge of $5.0 million in fiscal 2021.</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Changes in tax legislation or tax rates could adversely affect results of operations and financial statements. Additionally, audits by taxing authorities could result in tax payments for prior periods.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subject to income taxes in the U.S. and in many non-U.S. jurisdictions. As such, our income is subject to risk due to changing tax laws and tax rates around the world. Our tax filings are subject to audit by U.S. federal, state and local tax authorities and by non-U.S. tax authorities. If these audits result in payments or assessments that differ from our reserves, our future net income may be adversely impacted.</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review the probability of the realization of our deferred tax assets quarterly based on forecasts of taxable income in both the U.S. and foreign jurisdictions. As part of this review, we utilize historical results, projected future operating results, eligible carry-forward periods, tax planning opportunities, and other relevant considerations. Changes in profitability and financial outlook in both the U.S. and/or foreign jurisdictions, or changes in our geographic footprint may require modifications in the valuation allowance for deferred tax assets. At any point in time, there are a number of tax proposals at various stages of legislation throughout the globe. While it is impossible for us to predict whether some or all of these proposals will be enacted, many will likely have an impact on our business and financial results.</w:t>
      </w:r>
    </w:p>
    <w:p>
      <w:pPr>
        <w:spacing w:after="0" w:line="13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Substantially all of our voting stock is controlled by two shareholders, while our public investors hold non-voting stock. The interests of the voting and non-voting shareholders could differ, potentially resulting in decisions that affect the value of the non-voting shares.</w:t>
      </w:r>
    </w:p>
    <w:p>
      <w:pPr>
        <w:spacing w:after="0" w:line="9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Substantially all of our voting stock is controlled by Elizabeth P. Bruno, one of our directors, and William H. Brady III, both of whom are descendants of the Company's founder. All of our publicly traded shares are non-voting. Therefore, the voting shareholders have control in most matters requiring approval or acquiescence by shareholders, including the composition of our Board of Directors and many corporate actions, and their interests may not align with those of the non-voting shareholders. Such concentration of ownership may discourage a potential acquirer from making a purchase offer that our public shareholders may find favorable and it may adversely affect the trading price for our non-voting common stock because investors may perceive disadvantages in owning stock in companies whose voting stock is controlled by a limited number of shareholders. Additionally, certain private investors, mutual funds and index sponsors have implemented rules restricting ownership, or excluding from indices, companies with non-voting publicly traded shares. For example, the Company was removed from the Russell 2000 Index in the fourth quarter of fiscal 2023 for not meeting the minimum voting rights hurdle.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currently operates 38 manufacturing and distribution facilities across the globe and are split by reporting segment as follows:</w:t>
      </w:r>
    </w:p>
    <w:p>
      <w:pPr>
        <w:spacing w:after="0" w:line="17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 xml:space="preserve">Americas &amp; Asia: </w:t>
      </w:r>
      <w:r>
        <w:rPr>
          <w:rFonts w:ascii="Arial" w:cs="Arial" w:eastAsia="Arial" w:hAnsi="Arial"/>
          <w:sz w:val="17"/>
          <w:szCs w:val="17"/>
          <w:color w:val="auto"/>
        </w:rPr>
        <w:t>Twenty-one manufacturing and distribution facilities are used for our Americas &amp; Asia business. Six facilities are located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United States; four in China; two each in Brazil, India, and Mexico; and one each in Canada, Japan, Malaysia, Singapore, and Thailand.</w:t>
      </w:r>
    </w:p>
    <w:p>
      <w:pPr>
        <w:spacing w:after="0" w:line="8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Europe &amp; Australia: </w:t>
      </w:r>
      <w:r>
        <w:rPr>
          <w:rFonts w:ascii="Arial" w:cs="Arial" w:eastAsia="Arial" w:hAnsi="Arial"/>
          <w:sz w:val="18"/>
          <w:szCs w:val="18"/>
          <w:color w:val="auto"/>
        </w:rPr>
        <w:t>Seventeen manufacturing and distribution facilities are used for our Europe &amp; Australia business. Four facilities each are located</w:t>
      </w:r>
      <w:r>
        <w:rPr>
          <w:rFonts w:ascii="Arial" w:cs="Arial" w:eastAsia="Arial" w:hAnsi="Arial"/>
          <w:sz w:val="18"/>
          <w:szCs w:val="18"/>
          <w:b w:val="1"/>
          <w:bCs w:val="1"/>
          <w:color w:val="auto"/>
        </w:rPr>
        <w:t xml:space="preserve"> </w:t>
      </w:r>
      <w:r>
        <w:rPr>
          <w:rFonts w:ascii="Arial" w:cs="Arial" w:eastAsia="Arial" w:hAnsi="Arial"/>
          <w:sz w:val="18"/>
          <w:szCs w:val="18"/>
          <w:color w:val="auto"/>
        </w:rPr>
        <w:t>in Belgium and the United Kingdom, three are located in France; two are located in Australia; and one each in Germany, Norway, South Africa, and Turkey.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believes that its equipment and facilities are modern, well maintained, and adequate for present needs.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is, and may in the future be, named as a defendant in various legal proceedings and claims that arise in the normal course of business in which claims are asserted against the Company. The Company records a liability for these legal actions when a loss is known or considered probable and the amount can be reasonably estimated. The Company is not currently a party to any material pending legal proceedings in which management believes the ultimate resolution would have a material effect on the Company’s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Market Information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Brady Corporation Class A Nonvoting Common Stock trades on the New York Stock Exchange ("NYSE") under the symbol BRC. There is no trading market for the Company’s Class B Voting Common Stock.</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 Holders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August 31, 2023, there were approximately 1,000 Class A Common Stock shareholders of record and approximately 12,000 beneficial shareholders. There are three Class B Common Stock shareholders.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  Dividends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has historically paid quarterly dividends on outstanding common stock. Before any dividend may be paid on the Class B Common Stock, holders of the Class A Common Stock are entitled to receive an annual, noncumulative cash dividend of $0.01665 per share (subject to adjustment in the event of future stock splits, stock dividends or similar events involving shares of Class A Common Stock). Thereafter, any further dividend in that fiscal year must be paid on all shares of Class A Common Stock and Class B Common Stock on an equal basis. The Company believes that based on its historic dividend practice, this requirement will not impede it in following a similar dividend practice in the future.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two most recent years ended July 31 and for the first quarter of fiscal 2024, the Company declared the following dividends per share on its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Class A and Class B Common Stock:</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10"/>
        </w:trPr>
        <w:tc>
          <w:tcPr>
            <w:tcW w:w="2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auto"/>
              </w:rPr>
              <w:t>1st Qtr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4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Arial" w:cs="Arial" w:eastAsia="Arial" w:hAnsi="Arial"/>
                <w:sz w:val="16"/>
                <w:szCs w:val="16"/>
                <w:b w:val="1"/>
                <w:bCs w:val="1"/>
                <w:color w:val="auto"/>
              </w:rPr>
              <w:t>2nd Qtr</w:t>
            </w:r>
          </w:p>
        </w:tc>
        <w:tc>
          <w:tcPr>
            <w:tcW w:w="16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Arial" w:cs="Arial" w:eastAsia="Arial" w:hAnsi="Arial"/>
                <w:sz w:val="16"/>
                <w:szCs w:val="16"/>
                <w:b w:val="1"/>
                <w:bCs w:val="1"/>
                <w:color w:val="auto"/>
              </w:rPr>
              <w:t>3rd Qtr</w:t>
            </w:r>
          </w:p>
        </w:tc>
        <w:tc>
          <w:tcPr>
            <w:tcW w:w="160" w:type="dxa"/>
            <w:vAlign w:val="bottom"/>
          </w:tcPr>
          <w:p>
            <w:pPr>
              <w:spacing w:after="0"/>
              <w:rPr>
                <w:sz w:val="18"/>
                <w:szCs w:val="18"/>
                <w:color w:val="auto"/>
              </w:rPr>
            </w:pPr>
          </w:p>
        </w:tc>
        <w:tc>
          <w:tcPr>
            <w:tcW w:w="760" w:type="dxa"/>
            <w:vAlign w:val="bottom"/>
          </w:tcPr>
          <w:p>
            <w:pPr>
              <w:jc w:val="right"/>
              <w:ind w:right="119"/>
              <w:spacing w:after="0"/>
              <w:rPr>
                <w:sz w:val="20"/>
                <w:szCs w:val="20"/>
                <w:color w:val="auto"/>
              </w:rPr>
            </w:pPr>
            <w:r>
              <w:rPr>
                <w:rFonts w:ascii="Arial" w:cs="Arial" w:eastAsia="Arial" w:hAnsi="Arial"/>
                <w:sz w:val="16"/>
                <w:szCs w:val="16"/>
                <w:b w:val="1"/>
                <w:bCs w:val="1"/>
                <w:color w:val="auto"/>
              </w:rPr>
              <w:t>4th Qtr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1st Qtr</w:t>
            </w:r>
          </w:p>
        </w:tc>
        <w:tc>
          <w:tcPr>
            <w:tcW w:w="14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b w:val="1"/>
                <w:bCs w:val="1"/>
                <w:color w:val="auto"/>
              </w:rPr>
              <w:t>2nd Qtr</w:t>
            </w:r>
          </w:p>
        </w:tc>
        <w:tc>
          <w:tcPr>
            <w:tcW w:w="14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Arial" w:cs="Arial" w:eastAsia="Arial" w:hAnsi="Arial"/>
                <w:sz w:val="16"/>
                <w:szCs w:val="16"/>
                <w:b w:val="1"/>
                <w:bCs w:val="1"/>
                <w:color w:val="auto"/>
              </w:rPr>
              <w:t>3rd Qtr</w:t>
            </w:r>
          </w:p>
        </w:tc>
        <w:tc>
          <w:tcPr>
            <w:tcW w:w="1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4th Qtr</w:t>
            </w:r>
          </w:p>
        </w:tc>
      </w:tr>
      <w:tr>
        <w:trPr>
          <w:trHeight w:val="212"/>
        </w:trPr>
        <w:tc>
          <w:tcPr>
            <w:tcW w:w="2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Class A</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0.2300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0.2250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0.2250</w:t>
            </w:r>
          </w:p>
        </w:tc>
      </w:tr>
      <w:tr>
        <w:trPr>
          <w:trHeight w:val="210"/>
        </w:trPr>
        <w:tc>
          <w:tcPr>
            <w:tcW w:w="2000" w:type="dxa"/>
            <w:vAlign w:val="bottom"/>
          </w:tcPr>
          <w:p>
            <w:pPr>
              <w:ind w:left="20"/>
              <w:spacing w:after="0"/>
              <w:rPr>
                <w:sz w:val="20"/>
                <w:szCs w:val="20"/>
                <w:color w:val="auto"/>
              </w:rPr>
            </w:pPr>
            <w:r>
              <w:rPr>
                <w:rFonts w:ascii="Arial" w:cs="Arial" w:eastAsia="Arial" w:hAnsi="Arial"/>
                <w:sz w:val="16"/>
                <w:szCs w:val="16"/>
                <w:color w:val="auto"/>
              </w:rPr>
              <w:t>Class B</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0.2184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0.2134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0.2300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0.2300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0.2084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0.2250</w:t>
            </w:r>
          </w:p>
        </w:tc>
      </w:tr>
    </w:tbl>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 Issuer Purchases of Equity Securities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has a share repurchase program for the Company’s Class A Nonvoting Common Stock. The plan may be implemented by purchasing shares in the open market or in privately negotiated transactions, with repurchased shares delivered to treasury and available for use in connection with the Company’s stock-based plans and for other corporate purposes. On May 24, 2022, the Company's Board of Directors authorized an increase in the Company's share repurchase program, authorizing the repurchase of up to $100.0 million of the Company's Class A Nonvoting Common Stock, with no expiration date associated with the authorization. As of July 31, 2023, there were $10.0 million worth of shares authorized to purchase remaining pursuant to this share repurchase program.</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30, 2023, the Company's Board of Directors authorized an increase in the Company's share repurchase program, authorizing the repurchase of an additional $100.0 million of the Company's Class A Nonvoting Common Stock. The share repurchase program may be implemented from time to time on the open market or in privately negotiated transactions and has no expiration date. The repurchased shares will be available for use in connection with the Company's stock-based plans and for other corporate purposes.</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provides information with respect to the purchases by the Company of Class A Nonvoting Common Stock during the three months ended July 31,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1"/>
              </w:rPr>
              <w:t>Total Number of Shares</w:t>
            </w:r>
          </w:p>
        </w:tc>
        <w:tc>
          <w:tcPr>
            <w:tcW w:w="20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 Number of Shares</w:t>
            </w:r>
          </w:p>
        </w:tc>
        <w:tc>
          <w:tcPr>
            <w:tcW w:w="180" w:type="dxa"/>
            <w:vAlign w:val="bottom"/>
          </w:tcPr>
          <w:p>
            <w:pPr>
              <w:spacing w:after="0"/>
              <w:rPr>
                <w:sz w:val="14"/>
                <w:szCs w:val="14"/>
                <w:color w:val="auto"/>
              </w:rPr>
            </w:pPr>
          </w:p>
        </w:tc>
        <w:tc>
          <w:tcPr>
            <w:tcW w:w="198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Average Price Paid per</w:t>
            </w:r>
          </w:p>
        </w:tc>
        <w:tc>
          <w:tcPr>
            <w:tcW w:w="2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2"/>
              </w:rPr>
              <w:t>Shares that May Yet Be</w:t>
            </w:r>
          </w:p>
        </w:tc>
        <w:tc>
          <w:tcPr>
            <w:tcW w:w="0" w:type="dxa"/>
            <w:vAlign w:val="bottom"/>
          </w:tcPr>
          <w:p>
            <w:pPr>
              <w:spacing w:after="0"/>
              <w:rPr>
                <w:sz w:val="1"/>
                <w:szCs w:val="1"/>
                <w:color w:val="auto"/>
              </w:rPr>
            </w:pPr>
          </w:p>
        </w:tc>
      </w:tr>
      <w:tr>
        <w:trPr>
          <w:trHeight w:val="162"/>
        </w:trPr>
        <w:tc>
          <w:tcPr>
            <w:tcW w:w="2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80" w:type="dxa"/>
            <w:vAlign w:val="bottom"/>
            <w:vMerge w:val="restart"/>
          </w:tcPr>
          <w:p>
            <w:pPr>
              <w:spacing w:after="0"/>
              <w:rPr>
                <w:sz w:val="14"/>
                <w:szCs w:val="14"/>
                <w:color w:val="auto"/>
              </w:rPr>
            </w:pPr>
          </w:p>
        </w:tc>
        <w:tc>
          <w:tcPr>
            <w:tcW w:w="21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21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0"/>
              </w:rPr>
              <w:t>Purchased as Part of Publicly</w:t>
            </w:r>
          </w:p>
        </w:tc>
        <w:tc>
          <w:tcPr>
            <w:tcW w:w="120" w:type="dxa"/>
            <w:vAlign w:val="bottom"/>
          </w:tcPr>
          <w:p>
            <w:pPr>
              <w:spacing w:after="0"/>
              <w:rPr>
                <w:sz w:val="14"/>
                <w:szCs w:val="14"/>
                <w:color w:val="auto"/>
              </w:rPr>
            </w:pPr>
          </w:p>
        </w:tc>
        <w:tc>
          <w:tcPr>
            <w:tcW w:w="196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1"/>
              </w:rPr>
              <w:t>Purchased Under the Plan</w:t>
            </w:r>
          </w:p>
        </w:tc>
        <w:tc>
          <w:tcPr>
            <w:tcW w:w="0" w:type="dxa"/>
            <w:vAlign w:val="bottom"/>
          </w:tcPr>
          <w:p>
            <w:pPr>
              <w:spacing w:after="0"/>
              <w:rPr>
                <w:sz w:val="1"/>
                <w:szCs w:val="1"/>
                <w:color w:val="auto"/>
              </w:rPr>
            </w:pPr>
          </w:p>
        </w:tc>
      </w:tr>
      <w:tr>
        <w:trPr>
          <w:trHeight w:val="213"/>
        </w:trPr>
        <w:tc>
          <w:tcPr>
            <w:tcW w:w="2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0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Purchased</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Share</w:t>
            </w:r>
          </w:p>
        </w:tc>
        <w:tc>
          <w:tcPr>
            <w:tcW w:w="8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Announced Plans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2"/>
              </w:rPr>
              <w:t>(Dollars in Thousands)</w:t>
            </w:r>
          </w:p>
        </w:tc>
        <w:tc>
          <w:tcPr>
            <w:tcW w:w="0" w:type="dxa"/>
            <w:vAlign w:val="bottom"/>
          </w:tcPr>
          <w:p>
            <w:pPr>
              <w:spacing w:after="0"/>
              <w:rPr>
                <w:sz w:val="1"/>
                <w:szCs w:val="1"/>
                <w:color w:val="auto"/>
              </w:rPr>
            </w:pPr>
          </w:p>
        </w:tc>
      </w:tr>
      <w:tr>
        <w:trPr>
          <w:trHeight w:val="212"/>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May 1, 2023 - May 31, 2023</w:t>
            </w: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194,962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45,643</w:t>
            </w:r>
          </w:p>
        </w:tc>
        <w:tc>
          <w:tcPr>
            <w:tcW w:w="0" w:type="dxa"/>
            <w:vAlign w:val="bottom"/>
          </w:tcPr>
          <w:p>
            <w:pPr>
              <w:spacing w:after="0"/>
              <w:rPr>
                <w:sz w:val="1"/>
                <w:szCs w:val="1"/>
                <w:color w:val="auto"/>
              </w:rPr>
            </w:pPr>
          </w:p>
        </w:tc>
      </w:tr>
      <w:tr>
        <w:trPr>
          <w:trHeight w:val="213"/>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June 1, 2023 - June 30, 2023</w:t>
            </w:r>
          </w:p>
        </w:tc>
        <w:tc>
          <w:tcPr>
            <w:tcW w:w="2080" w:type="dxa"/>
            <w:vAlign w:val="bottom"/>
          </w:tcPr>
          <w:p>
            <w:pPr>
              <w:jc w:val="right"/>
              <w:spacing w:after="0"/>
              <w:rPr>
                <w:sz w:val="20"/>
                <w:szCs w:val="20"/>
                <w:color w:val="auto"/>
              </w:rPr>
            </w:pPr>
            <w:r>
              <w:rPr>
                <w:rFonts w:ascii="Arial" w:cs="Arial" w:eastAsia="Arial" w:hAnsi="Arial"/>
                <w:sz w:val="16"/>
                <w:szCs w:val="16"/>
                <w:color w:val="auto"/>
              </w:rPr>
              <w:t>503,541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48.86</w:t>
            </w:r>
          </w:p>
        </w:tc>
        <w:tc>
          <w:tcPr>
            <w:tcW w:w="8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503,541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6"/>
                <w:szCs w:val="16"/>
                <w:color w:val="auto"/>
              </w:rPr>
              <w:t>21,040</w:t>
            </w:r>
          </w:p>
        </w:tc>
        <w:tc>
          <w:tcPr>
            <w:tcW w:w="0" w:type="dxa"/>
            <w:vAlign w:val="bottom"/>
          </w:tcPr>
          <w:p>
            <w:pPr>
              <w:spacing w:after="0"/>
              <w:rPr>
                <w:sz w:val="1"/>
                <w:szCs w:val="1"/>
                <w:color w:val="auto"/>
              </w:rPr>
            </w:pPr>
          </w:p>
        </w:tc>
      </w:tr>
      <w:tr>
        <w:trPr>
          <w:trHeight w:val="219"/>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July 1, 2023 - July 31, 2023</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230,128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47.92</w:t>
            </w:r>
          </w:p>
        </w:tc>
        <w:tc>
          <w:tcPr>
            <w:tcW w:w="8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230,128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10,013</w:t>
            </w:r>
          </w:p>
        </w:tc>
        <w:tc>
          <w:tcPr>
            <w:tcW w:w="0" w:type="dxa"/>
            <w:vAlign w:val="bottom"/>
          </w:tcPr>
          <w:p>
            <w:pPr>
              <w:spacing w:after="0"/>
              <w:rPr>
                <w:sz w:val="1"/>
                <w:szCs w:val="1"/>
                <w:color w:val="auto"/>
              </w:rPr>
            </w:pPr>
          </w:p>
        </w:tc>
      </w:tr>
      <w:tr>
        <w:trPr>
          <w:trHeight w:val="206"/>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928,631</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48.70</w:t>
            </w:r>
          </w:p>
        </w:tc>
        <w:tc>
          <w:tcPr>
            <w:tcW w:w="80" w:type="dxa"/>
            <w:vAlign w:val="bottom"/>
          </w:tcPr>
          <w:p>
            <w:pPr>
              <w:spacing w:after="0"/>
              <w:rPr>
                <w:sz w:val="17"/>
                <w:szCs w:val="17"/>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928,631</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10,013</w:t>
            </w:r>
          </w:p>
        </w:tc>
        <w:tc>
          <w:tcPr>
            <w:tcW w:w="0" w:type="dxa"/>
            <w:vAlign w:val="bottom"/>
          </w:tcPr>
          <w:p>
            <w:pPr>
              <w:spacing w:after="0"/>
              <w:rPr>
                <w:sz w:val="1"/>
                <w:szCs w:val="1"/>
                <w:color w:val="auto"/>
              </w:rPr>
            </w:pPr>
          </w:p>
        </w:tc>
      </w:tr>
      <w:tr>
        <w:trPr>
          <w:trHeight w:val="24"/>
        </w:trPr>
        <w:tc>
          <w:tcPr>
            <w:tcW w:w="2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  Common Stock Price Performance Graph</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graph below shows a comparison of the cumulative return over the last five fiscal years had $100 been invested at the close of business on July 31, 2018, in each of Brady Corporation Class A Common Stock, the Standard &amp; Poor’s ("S&amp;P") 500 Index, the S&amp;P SmallCap 600 Index, the S&amp;P SmallCap 600 Industrials Index, and the Russell 2000 Index.</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S&amp;P SmallCap 600 Industrials Index will replace the S&amp;P SmallCap 600 Index in future years. This change creates consistency between the index included in this Common Stock Price Performance Graph and the Pay Versus Performance table included in 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5863590" cy="3600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359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r>
      <w:tr>
        <w:trPr>
          <w:trHeight w:val="212"/>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Corporation</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150.84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147.74</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S&amp;P 500 Index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107.99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120.90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177.78</w:t>
            </w: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S&amp;P SmallCap 600 Index</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131.92</w:t>
            </w:r>
          </w:p>
        </w:tc>
      </w:tr>
      <w:tr>
        <w:trPr>
          <w:trHeight w:val="213"/>
        </w:trPr>
        <w:tc>
          <w:tcPr>
            <w:tcW w:w="3660" w:type="dxa"/>
            <w:vAlign w:val="bottom"/>
          </w:tcPr>
          <w:p>
            <w:pPr>
              <w:ind w:left="20"/>
              <w:spacing w:after="0"/>
              <w:rPr>
                <w:sz w:val="20"/>
                <w:szCs w:val="20"/>
                <w:color w:val="auto"/>
              </w:rPr>
            </w:pPr>
            <w:r>
              <w:rPr>
                <w:rFonts w:ascii="Arial" w:cs="Arial" w:eastAsia="Arial" w:hAnsi="Arial"/>
                <w:sz w:val="16"/>
                <w:szCs w:val="16"/>
                <w:color w:val="auto"/>
              </w:rPr>
              <w:t>S&amp;P SmallCap 600 Industrials Index</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132.55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156.84</w:t>
            </w:r>
          </w:p>
        </w:tc>
      </w:tr>
      <w:tr>
        <w:trPr>
          <w:trHeight w:val="219"/>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Russell 2000 Index</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Copyright (C) 2023, Standard &amp; Poor’s, Inc. and Russell Investments. All rights reserved.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00" w:lineRule="exact"/>
        <w:rPr>
          <w:sz w:val="20"/>
          <w:szCs w:val="20"/>
          <w:color w:val="auto"/>
        </w:rPr>
      </w:pPr>
    </w:p>
    <w:p>
      <w:pPr>
        <w:spacing w:after="0" w:line="376" w:lineRule="exact"/>
        <w:rPr>
          <w:sz w:val="20"/>
          <w:szCs w:val="20"/>
          <w:color w:val="auto"/>
        </w:rPr>
      </w:pPr>
    </w:p>
    <w:p>
      <w:pPr>
        <w:ind w:right="3980"/>
        <w:spacing w:after="0" w:line="440"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Overview</w:t>
      </w:r>
    </w:p>
    <w:p>
      <w:pPr>
        <w:spacing w:after="0" w:line="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Brady Corporation is a global manufacturer and supplier of identification solutions and workplace safety products that identify and protect premises, products and people. Effective February 1, 2023, the Company is organized and managed on a geographic basis with two reportable segments: Americas &amp; Asia and Europe &amp; Australia. As such, all segment-related data has been recast to reflect our new reportable segments in the Management's Discussion and Analysis of Financial Condition and Results of Operations section. Prior to February 1, 2023, the Company operated two former segments: IDS and WPS. IDS products include high-performance and innovative identification and healthcare products that are designed, manufactured, and distributed within the Company's value chain. WPS products include a broad range of stock and custom identification products that the Company manufactures, as well as a wide variety of products that the Company purchases and resells as a distributor.</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should be read in conjunction with our audited consolidated financial statements and the notes to those statements (Item 8) in this Annual Report on Form 10-K. The following discussion is intended to help the reader understand the results of operations and financial condition of the Company for the year ended July 31, 2023 compared to the year ended July 31, 2022 and the year ended July 31, 2022 compared to the year ended July 31, 2021.</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References in this Annual Report on Form 10-K to “organic sales” refer to sales calculated in accordance with U.S. GAAP, excluding the impact of foreign currency translation, sales recorded from divested companies up to the first anniversary of their divestiture and sales recorded from acquired companies prior to the first anniversary date of their acquisition. The Company’s organic sales disclosures exclude the effects of foreign currency translation as foreign currency translation is subject to volatility that can obscure underlying business trends. Management believes that the non-GAAP financial measure of organic sales is meaningful to investors as it provides them with useful information to aid in identifying underlying sales trends in our businesses and facilitating comparisons of our sales performance with prior periods.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Macroeconomic Conditions and Trends</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Company has experienced, and expects to continue to experience, inflationary pressures and supply chain and other business disruptions. The Company has taken and will continue to take actions to mitigate inflation issues through pricing actions and the execution of sustainable efficiency gains.</w:t>
      </w:r>
    </w:p>
    <w:p>
      <w:pPr>
        <w:spacing w:after="0" w:line="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believe we have the financial strength to continue to invest in organic sales growth opportunities including sales, marketing, R&amp;D and inorganic sales opportunities including acquisitions, while continuing to drive sustainable efficiency gains and automation in our operations and selling, general and administrative ("SG&amp;A") functions and return capital to our shareholders in the form of dividends and share repurchases. At July 31, 2023, we had cash of $151.5 million, as well as a credit agreement with $248.3 million available for future borrowing, which can be increased up to $1,068.3 million at the Company's option and subject to certain conditions, for total available liquidity of $1,219.8 million.</w:t>
      </w:r>
    </w:p>
    <w:p>
      <w:pPr>
        <w:spacing w:after="0" w:line="12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that our financial resources and liquidity levels including the remaining undrawn amount of the credit agreement and our ability to increase that credit line as necessary are sufficient to manage the continuing impact of economic or geopolitical events which may result in reduced sales, net income, or cash provided by operating activities. Refer to Risk Factors, included in Part I, Item 1A of this Annual Report on Form 10-K for the year ended July 31, 2023, for further discussion of the possible impact of global economic or geopolitical events on our business.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comparability of the operating results for the year ended July 31, 2022 to the year ended July 31, 2021 has been impacted by the following acquisitions: Magicard Holdings Limited ("Magicard") and Nordic ID Oyj ("Nordic ID") which were completed in May 2021, and The Code Corporation ("Code") which was completed in June 2021. All three acquisitions operate within both of our reportable segments. In addition, in March 2023 the Company divested the PremiSys business which impacted the Americas &amp; Asia reportable segment.</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comparison of results of operating income for the years ended July 31, 2023, 2022, and 2021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Sales</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 Sales</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Sales</w:t>
            </w:r>
          </w:p>
        </w:tc>
      </w:tr>
      <w:tr>
        <w:trPr>
          <w:trHeight w:val="212"/>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1,331,863</w:t>
            </w:r>
          </w:p>
        </w:tc>
        <w:tc>
          <w:tcPr>
            <w:tcW w:w="1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1,302,062</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1,144,698</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Gross margin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657,275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631,552</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48.5 %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561,446</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49.0 %</w:t>
            </w:r>
          </w:p>
        </w:tc>
      </w:tr>
      <w:tr>
        <w:trPr>
          <w:trHeight w:val="21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3380" w:type="dxa"/>
            <w:vAlign w:val="bottom"/>
          </w:tcPr>
          <w:p>
            <w:pPr>
              <w:ind w:left="34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61,365</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58,548</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44,551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3.9 %</w:t>
            </w:r>
          </w:p>
        </w:tc>
      </w:tr>
      <w:tr>
        <w:trPr>
          <w:trHeight w:val="219"/>
        </w:trPr>
        <w:tc>
          <w:tcPr>
            <w:tcW w:w="3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370,697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27.8 %</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379,992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29.2 %</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349,768</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30.6 %</w:t>
            </w:r>
          </w:p>
        </w:tc>
      </w:tr>
      <w:tr>
        <w:trPr>
          <w:trHeight w:val="207"/>
        </w:trPr>
        <w:tc>
          <w:tcPr>
            <w:tcW w:w="3380" w:type="dxa"/>
            <w:vAlign w:val="bottom"/>
            <w:tcBorders>
              <w:bottom w:val="single" w:sz="8" w:color="CCEEFF"/>
            </w:tcBorders>
          </w:tcPr>
          <w:p>
            <w:pPr>
              <w:ind w:left="5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432,062</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32.4 %</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438,540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33.7 %</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394,319</w:t>
            </w:r>
          </w:p>
        </w:tc>
        <w:tc>
          <w:tcPr>
            <w:tcW w:w="10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34.4 %</w:t>
            </w:r>
          </w:p>
        </w:tc>
      </w:tr>
      <w:tr>
        <w:trPr>
          <w:trHeight w:val="229"/>
        </w:trPr>
        <w:tc>
          <w:tcPr>
            <w:tcW w:w="33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income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225,213</w:t>
            </w:r>
          </w:p>
        </w:tc>
        <w:tc>
          <w:tcPr>
            <w:tcW w:w="10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16.9 %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193,012</w:t>
            </w: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14.8 %  $</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167,127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14.6 %</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2023 Compared to Fiscal 2022</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sales increased 2.3% to $1,331.9 million in fiscal 2023 compared to $1,302.1 million in fiscal 2022, which consisted of organic sales growth of 5.5%, partially offset by a decrease from foreign currency translation of 3.0% and a decrease of 0.2% due to the divestiture of a business. Organic sales grew 4.4% in the Americas &amp; Asia segment and 7.6% in the Europe &amp; Australia segment.</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Gross margin increased 4.1% to $657.3 million in fiscal 2023 compared to $631.6 million in fiscal 2022. As a percentage of net sales, gross margin increased to 49.4% in fiscal 2023 from 48.5% in fiscal 2022. The increase in gross margin as a percentage of net sales was primarily due to operating efficiencies resulting from investment in process automation and reductions in freight expense, partially offset by an increase in material costs due to inflationary pressures.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R&amp;D expenses increased 4.8% to $61.4 million in fiscal 2023 compared to $58.5 million in fiscal 2022. As a percentage of net sales, R&amp;D expenses increased to 4.6% in fiscal 2023 compared to 4.5% in fiscal 2022. The increase in R&amp;D spending in fiscal 2023 was primarily due to increased headcount as well as increased project spend. The Company remains committed to investing in new product development to increase sales within our businesses. Investments in new printing systems, materials and the build out of industrial track and trace solutions were the primary focus of R&amp;D expenditures in fiscal 2023.</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SG&amp;A expenses include selling and administrative costs directly attributed to the Americas &amp; Asia and Europe &amp; Australia segments, as well as certain other corporate administrative expenses including finance, information technology, human resources and other administrative expenses. SG&amp;A expenses decreased 2.4% to $370.7 million in fiscal 2023 compared to $380.0 million in fiscal 2022. As a percentage of net sales, SG&amp;A expense decreased to 27.8% in fiscal 2023 compared to 29.2% in fiscal 2022. The decrease in SG&amp;A expenses in fiscal 2023 was due to foreign currency translation. The decrease in SG&amp;A expenses as a percentage of sales in fiscal 2023 was primarily due to reduced headcount, lower advertising spend and a decrease in amortization expense of $3.2 million, which was partially offset by costs associated with the change to a regional reporting structure.</w:t>
      </w:r>
    </w:p>
    <w:p>
      <w:pPr>
        <w:spacing w:after="0" w:line="11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Operating income increased 16.7% to $225.2 million in fiscal 2023 compared to $193.0 million in fiscal 2022. The increase in operating income in fiscal 2023 was primarily due to the increase in segment profit in the Americas &amp; Asia segment as a result of organic sales growth, improved gross profit margin primarily due to reductions in freight costs as well as price increases, and operational efficiencies throughout the region.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2022 Compared to Fiscal 2021</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sales increased 13.7% to $1,302.1 million in fiscal 2022 compared to $1,144.7 million in fiscal 2021, which consisted of organic sales growth of 9.4% and growth from acquisitions of 6.9%, partially offset by a decrease from foreign currency translation of 2.6%. Organic sales grew 10.3% in the Americas &amp; Asia segment and 7.9% in the Europe &amp; Australia segment.</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margin increased 12.5% to $631.6 million in fiscal 2022 compared to $561.4 million in fiscal 2021. As a percentage of net sales, gross margin decreased to 48.5% in fiscal 2022 compared to 49.0% in fiscal 2021. The decrease in gross margin as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percentage of net sales was primarily due to an increase in the cost of materials, labor and freight, which was partially mitigated by pricing actions and operational efficiencies including streamlining manufacturing processes.</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R&amp;D expenses increased 31.4% to $58.5 million in fiscal 2022 compared to $44.6 million in fiscal 2021. As a percentage of net sales, R&amp;D expenses increased to 4.5% in fiscal 2022 compared to 3.9% in fiscal 2021. The increase in R&amp;D spending in fiscal 2022 was primarily due to the acquisitions of Code and Nordic ID, as these companies operate with a greater amount of R&amp;D spend as a percentage of net sales compared to Brady's organic business. In addition, the R&amp;D headcount increased in the Americas &amp; Asia segment. Investments in new printing systems, materials and the build out of a comprehensive industrial track and trace solution were the primary focus of R&amp;D expenditures in fiscal 2022.</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SG&amp;A expenses increased 8.6% to $380.0 million in fiscal 2022 compared to $349.8 million in fiscal 2021. As a percentage of net sales, SG&amp;A expense decreased to 29.2% in fiscal 2022 compared to 30.6% in fiscal 2021. The increase in SG&amp;A expenses in fiscal 2022 was primarily due to the acquisitions of Code, Magicard and Nordic ID, and to a lesser extent an increase in sales personnel, which was partially offset by a decrease due to foreign currency translation. The decrease in SG&amp;A expense as a percentage of net sales from the prior year was due to ongoing efficiency activities throughout SG&amp;A.</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Operating income increased 15.5% to $193.0 million in fiscal 2022 compared to $167.1 million in fiscal 2021. The increase in operating income in fiscal 2022 was primarily due to the increase in segment profit in the Americas &amp; Asia segment as a result of organic sales growth and to a lesser extent, positive earnings from the acquisitions completed in the fourth quarter of fiscal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TO NET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080" w:type="dxa"/>
            <w:vAlign w:val="bottom"/>
            <w:gridSpan w:val="2"/>
          </w:tcPr>
          <w:p>
            <w:pPr>
              <w:ind w:left="220"/>
              <w:spacing w:after="0"/>
              <w:rPr>
                <w:sz w:val="20"/>
                <w:szCs w:val="20"/>
                <w:color w:val="auto"/>
              </w:rPr>
            </w:pPr>
            <w:r>
              <w:rPr>
                <w:rFonts w:ascii="Arial" w:cs="Arial" w:eastAsia="Arial" w:hAnsi="Arial"/>
                <w:sz w:val="16"/>
                <w:szCs w:val="16"/>
                <w:b w:val="1"/>
                <w:bCs w:val="1"/>
                <w:color w:val="auto"/>
              </w:rPr>
              <w:t>% Sales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080" w:type="dxa"/>
            <w:vAlign w:val="bottom"/>
            <w:gridSpan w:val="2"/>
          </w:tcPr>
          <w:p>
            <w:pPr>
              <w:ind w:left="200"/>
              <w:spacing w:after="0"/>
              <w:rPr>
                <w:sz w:val="20"/>
                <w:szCs w:val="20"/>
                <w:color w:val="auto"/>
              </w:rPr>
            </w:pPr>
            <w:r>
              <w:rPr>
                <w:rFonts w:ascii="Arial" w:cs="Arial" w:eastAsia="Arial" w:hAnsi="Arial"/>
                <w:sz w:val="16"/>
                <w:szCs w:val="16"/>
                <w:b w:val="1"/>
                <w:bCs w:val="1"/>
                <w:color w:val="auto"/>
              </w:rPr>
              <w:t>% Sales</w:t>
            </w:r>
          </w:p>
        </w:tc>
        <w:tc>
          <w:tcPr>
            <w:tcW w:w="240" w:type="dxa"/>
            <w:vAlign w:val="bottom"/>
          </w:tcPr>
          <w:p>
            <w:pPr>
              <w:spacing w:after="0"/>
              <w:rPr>
                <w:sz w:val="18"/>
                <w:szCs w:val="18"/>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980" w:type="dxa"/>
            <w:vAlign w:val="bottom"/>
          </w:tcPr>
          <w:p>
            <w:pPr>
              <w:jc w:val="right"/>
              <w:ind w:right="139"/>
              <w:spacing w:after="0"/>
              <w:rPr>
                <w:sz w:val="20"/>
                <w:szCs w:val="20"/>
                <w:color w:val="auto"/>
              </w:rPr>
            </w:pPr>
            <w:r>
              <w:rPr>
                <w:rFonts w:ascii="Arial" w:cs="Arial" w:eastAsia="Arial" w:hAnsi="Arial"/>
                <w:sz w:val="16"/>
                <w:szCs w:val="16"/>
                <w:b w:val="1"/>
                <w:bCs w:val="1"/>
                <w:color w:val="auto"/>
              </w:rPr>
              <w:t>% Sales</w:t>
            </w:r>
          </w:p>
        </w:tc>
      </w:tr>
      <w:tr>
        <w:trPr>
          <w:trHeight w:val="212"/>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225,213</w:t>
            </w: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193,012</w:t>
            </w:r>
          </w:p>
        </w:tc>
        <w:tc>
          <w:tcPr>
            <w:tcW w:w="1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14.8 %</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167,127</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14.6 %</w:t>
            </w: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45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Investment and other income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4,022</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13"/>
        </w:trPr>
        <w:tc>
          <w:tcPr>
            <w:tcW w:w="4520" w:type="dxa"/>
            <w:vAlign w:val="bottom"/>
            <w:tcBorders>
              <w:bottom w:val="single" w:sz="8" w:color="CCEEFF"/>
            </w:tcBorders>
          </w:tcPr>
          <w:p>
            <w:pPr>
              <w:ind w:left="40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(3,539)</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r>
      <w:tr>
        <w:trPr>
          <w:trHeight w:val="212"/>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Income before income taxes and losses of unconsolidated affiliate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225,696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191,980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171,023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14.9 %</w:t>
            </w:r>
          </w:p>
        </w:tc>
      </w:tr>
      <w:tr>
        <w:trPr>
          <w:trHeight w:val="213"/>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50,839</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42,001</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35,610</w:t>
            </w:r>
          </w:p>
        </w:tc>
        <w:tc>
          <w:tcPr>
            <w:tcW w:w="1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r>
      <w:tr>
        <w:trPr>
          <w:trHeight w:val="213"/>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losses of unconsolidated affiliate</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174,857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149,979</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135,413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11.8 %</w:t>
            </w:r>
          </w:p>
        </w:tc>
      </w:tr>
      <w:tr>
        <w:trPr>
          <w:trHeight w:val="213"/>
        </w:trPr>
        <w:tc>
          <w:tcPr>
            <w:tcW w:w="4520" w:type="dxa"/>
            <w:vAlign w:val="bottom"/>
          </w:tcPr>
          <w:p>
            <w:pPr>
              <w:ind w:left="20"/>
              <w:spacing w:after="0"/>
              <w:rPr>
                <w:sz w:val="20"/>
                <w:szCs w:val="20"/>
                <w:color w:val="auto"/>
              </w:rPr>
            </w:pPr>
            <w:r>
              <w:rPr>
                <w:rFonts w:ascii="Arial" w:cs="Arial" w:eastAsia="Arial" w:hAnsi="Arial"/>
                <w:sz w:val="16"/>
                <w:szCs w:val="16"/>
                <w:color w:val="auto"/>
              </w:rPr>
              <w:t>Equity in losses of unconsolidated affiliate</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(5,754)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3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174,857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129,659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2023 Compared to Fiscal 2022</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Investment and other income was $4.0 million in fiscal 2023 compared to $0.2 million in fiscal 2022. The increase in investment and other income in fiscal 2023 was primarily due to an increase in the market value of securities held in deferred compensation plans and an increase in interest income.</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to $3.5 million in fiscal 2023 compared to $1.3 million in fiscal 2022. The increase in interest expense in fiscal 2023 was primarily due to an increase in benchmark interest rates compared to fiscal 2022.</w:t>
      </w:r>
    </w:p>
    <w:p>
      <w:pPr>
        <w:spacing w:after="0" w:line="10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Company's income tax rate was 22.5% in fiscal 2023. Refer to Note 11, "Income Taxes" for additional information on the Company's income tax 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2022 Compared to Fiscal 2021</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Investment and other income was $0.2 million in fiscal 2022 compared to $4.3 million in fiscal 2021. The decrease in investment and other income in fiscal 2022 was primarily due to a decrease in the market value of securities held in deferred compensation plans.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to $1.3 million in fiscal 2022 compared to $0.4 million in fiscal 2021. The increase in interest expense in fiscal 2022 was due to increased borrowing on our credit agreement and an increase in interest rates compared to fiscal 2021.</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income tax rate was 21.9% in fiscal 2022. Refer to Note 11, "Income Taxes" for additional information on the Company's income tax rates.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Equity in losses of unconsolidated affiliate represented the Company's 23% equity interest in React Mobile, Inc. ("React Mobile"), an employee safety software and hardware company based in the United States. During fiscal 2021, React Mobile's financial position deteriorated due to a decline in the hospitality industry from the COVID-19 pandemic, which represents its entire customer base, and increased competitive pressures from new entrants in the marketplace. As a result, management performed an analysis to determine whether the loss in value of the investment was other than temporary and recognized an other-than-temporary impairment charge of $5.0 million. The Company's equity interest in React Mobile's losses was $0.8 million in fiscal 2021.</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Segment Operating Results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evaluates short-term segment performance based on segment profit and customer sales. Interest expense, investment and other income, income tax expense, equity in losses of unconsolidated affiliate, and certain corporate administrative expenses are excluded when evaluating segment performance.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for the years ended July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gridSpan w:val="2"/>
          </w:tcPr>
          <w:p>
            <w:pPr>
              <w:ind w:left="7460"/>
              <w:spacing w:after="0"/>
              <w:rPr>
                <w:sz w:val="20"/>
                <w:szCs w:val="20"/>
                <w:color w:val="auto"/>
              </w:rPr>
            </w:pPr>
            <w:r>
              <w:rPr>
                <w:rFonts w:ascii="Arial" w:cs="Arial" w:eastAsia="Arial" w:hAnsi="Arial"/>
                <w:sz w:val="16"/>
                <w:szCs w:val="16"/>
                <w:b w:val="1"/>
                <w:bCs w:val="1"/>
                <w:color w:val="auto"/>
                <w:w w:val="89"/>
              </w:rPr>
              <w:t>2023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19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SALES GROWTH INFORMATION</w:t>
            </w: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3"/>
        </w:trPr>
        <w:tc>
          <w:tcPr>
            <w:tcW w:w="780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Americas &amp; Asia</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9"/>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r>
      <w:tr>
        <w:trPr>
          <w:trHeight w:val="213"/>
        </w:trPr>
        <w:tc>
          <w:tcPr>
            <w:tcW w:w="7800" w:type="dxa"/>
            <w:vAlign w:val="bottom"/>
            <w:gridSpan w:val="2"/>
          </w:tcPr>
          <w:p>
            <w:pPr>
              <w:ind w:left="360"/>
              <w:spacing w:after="0"/>
              <w:rPr>
                <w:sz w:val="20"/>
                <w:szCs w:val="20"/>
                <w:color w:val="auto"/>
              </w:rPr>
            </w:pPr>
            <w:r>
              <w:rPr>
                <w:rFonts w:ascii="Arial" w:cs="Arial" w:eastAsia="Arial" w:hAnsi="Arial"/>
                <w:sz w:val="16"/>
                <w:szCs w:val="16"/>
                <w:color w:val="auto"/>
              </w:rPr>
              <w:t>Currency</w:t>
            </w:r>
          </w:p>
        </w:tc>
        <w:tc>
          <w:tcPr>
            <w:tcW w:w="500" w:type="dxa"/>
            <w:vAlign w:val="bottom"/>
          </w:tcPr>
          <w:p>
            <w:pPr>
              <w:jc w:val="right"/>
              <w:spacing w:after="0"/>
              <w:rPr>
                <w:sz w:val="20"/>
                <w:szCs w:val="20"/>
                <w:color w:val="auto"/>
              </w:rPr>
            </w:pPr>
            <w:r>
              <w:rPr>
                <w:rFonts w:ascii="Arial" w:cs="Arial" w:eastAsia="Arial" w:hAnsi="Arial"/>
                <w:sz w:val="16"/>
                <w:szCs w:val="16"/>
                <w:color w:val="auto"/>
                <w:w w:val="97"/>
              </w:rPr>
              <w:t>(0.9)%</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19"/>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Divestiture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(0.3)%</w:t>
            </w: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13"/>
        </w:trPr>
        <w:tc>
          <w:tcPr>
            <w:tcW w:w="7800" w:type="dxa"/>
            <w:vAlign w:val="bottom"/>
            <w:gridSpan w:val="2"/>
          </w:tcPr>
          <w:p>
            <w:pPr>
              <w:ind w:left="360"/>
              <w:spacing w:after="0"/>
              <w:rPr>
                <w:sz w:val="20"/>
                <w:szCs w:val="20"/>
                <w:color w:val="auto"/>
              </w:rPr>
            </w:pPr>
            <w:r>
              <w:rPr>
                <w:rFonts w:ascii="Arial" w:cs="Arial" w:eastAsia="Arial" w:hAnsi="Arial"/>
                <w:sz w:val="16"/>
                <w:szCs w:val="16"/>
                <w:color w:val="auto"/>
              </w:rPr>
              <w:t>Acquisition</w:t>
            </w: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360" w:type="dxa"/>
            <w:vAlign w:val="bottom"/>
          </w:tcPr>
          <w:p>
            <w:pPr>
              <w:jc w:val="right"/>
              <w:spacing w:after="0"/>
              <w:rPr>
                <w:sz w:val="20"/>
                <w:szCs w:val="20"/>
                <w:color w:val="auto"/>
              </w:rPr>
            </w:pPr>
            <w:r>
              <w:rPr>
                <w:rFonts w:ascii="Arial" w:cs="Arial" w:eastAsia="Arial" w:hAnsi="Arial"/>
                <w:sz w:val="16"/>
                <w:szCs w:val="16"/>
                <w:color w:val="auto"/>
              </w:rPr>
              <w:t>6.9 %</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12"/>
        </w:trPr>
        <w:tc>
          <w:tcPr>
            <w:tcW w:w="69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3.2 %</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17.1 %</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193"/>
        </w:trPr>
        <w:tc>
          <w:tcPr>
            <w:tcW w:w="69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Europe &amp; Australia</w:t>
            </w: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9"/>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Organic</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3"/>
        </w:trPr>
        <w:tc>
          <w:tcPr>
            <w:tcW w:w="7800" w:type="dxa"/>
            <w:vAlign w:val="bottom"/>
            <w:gridSpan w:val="2"/>
          </w:tcPr>
          <w:p>
            <w:pPr>
              <w:ind w:left="360"/>
              <w:spacing w:after="0"/>
              <w:rPr>
                <w:sz w:val="20"/>
                <w:szCs w:val="20"/>
                <w:color w:val="auto"/>
              </w:rPr>
            </w:pPr>
            <w:r>
              <w:rPr>
                <w:rFonts w:ascii="Arial" w:cs="Arial" w:eastAsia="Arial" w:hAnsi="Arial"/>
                <w:sz w:val="16"/>
                <w:szCs w:val="16"/>
                <w:color w:val="auto"/>
              </w:rPr>
              <w:t>Currency</w:t>
            </w:r>
          </w:p>
        </w:tc>
        <w:tc>
          <w:tcPr>
            <w:tcW w:w="500" w:type="dxa"/>
            <w:vAlign w:val="bottom"/>
          </w:tcPr>
          <w:p>
            <w:pPr>
              <w:jc w:val="right"/>
              <w:spacing w:after="0"/>
              <w:rPr>
                <w:sz w:val="20"/>
                <w:szCs w:val="20"/>
                <w:color w:val="auto"/>
              </w:rPr>
            </w:pPr>
            <w:r>
              <w:rPr>
                <w:rFonts w:ascii="Arial" w:cs="Arial" w:eastAsia="Arial" w:hAnsi="Arial"/>
                <w:sz w:val="16"/>
                <w:szCs w:val="16"/>
                <w:color w:val="auto"/>
                <w:w w:val="97"/>
              </w:rPr>
              <w:t>(7.1)%</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8.1 %</w:t>
            </w:r>
          </w:p>
        </w:tc>
      </w:tr>
      <w:tr>
        <w:trPr>
          <w:trHeight w:val="219"/>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Acquisition</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06"/>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w:t>
            </w: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7.8 %</w:t>
            </w:r>
          </w:p>
        </w:tc>
        <w:tc>
          <w:tcPr>
            <w:tcW w:w="12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10.8 %</w:t>
            </w:r>
          </w:p>
        </w:tc>
      </w:tr>
      <w:tr>
        <w:trPr>
          <w:trHeight w:val="19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Total Company</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800" w:type="dxa"/>
            <w:vAlign w:val="bottom"/>
            <w:gridSpan w:val="2"/>
          </w:tcPr>
          <w:p>
            <w:pPr>
              <w:ind w:left="360"/>
              <w:spacing w:after="0"/>
              <w:rPr>
                <w:sz w:val="20"/>
                <w:szCs w:val="20"/>
                <w:color w:val="auto"/>
              </w:rPr>
            </w:pPr>
            <w:r>
              <w:rPr>
                <w:rFonts w:ascii="Arial" w:cs="Arial" w:eastAsia="Arial" w:hAnsi="Arial"/>
                <w:sz w:val="16"/>
                <w:szCs w:val="16"/>
                <w:color w:val="auto"/>
              </w:rPr>
              <w:t>Organic</w:t>
            </w:r>
          </w:p>
        </w:tc>
        <w:tc>
          <w:tcPr>
            <w:tcW w:w="500" w:type="dxa"/>
            <w:vAlign w:val="bottom"/>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9.4 %</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9"/>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Currency</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(3.0)%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3.2 %</w:t>
            </w:r>
          </w:p>
        </w:tc>
      </w:tr>
      <w:tr>
        <w:trPr>
          <w:trHeight w:val="213"/>
        </w:trPr>
        <w:tc>
          <w:tcPr>
            <w:tcW w:w="7800" w:type="dxa"/>
            <w:vAlign w:val="bottom"/>
            <w:gridSpan w:val="2"/>
          </w:tcPr>
          <w:p>
            <w:pPr>
              <w:ind w:left="360"/>
              <w:spacing w:after="0"/>
              <w:rPr>
                <w:sz w:val="20"/>
                <w:szCs w:val="20"/>
                <w:color w:val="auto"/>
              </w:rPr>
            </w:pPr>
            <w:r>
              <w:rPr>
                <w:rFonts w:ascii="Arial" w:cs="Arial" w:eastAsia="Arial" w:hAnsi="Arial"/>
                <w:sz w:val="16"/>
                <w:szCs w:val="16"/>
                <w:color w:val="auto"/>
              </w:rPr>
              <w:t>Divestiture</w:t>
            </w:r>
          </w:p>
        </w:tc>
        <w:tc>
          <w:tcPr>
            <w:tcW w:w="500" w:type="dxa"/>
            <w:vAlign w:val="bottom"/>
          </w:tcPr>
          <w:p>
            <w:pPr>
              <w:jc w:val="right"/>
              <w:spacing w:after="0"/>
              <w:rPr>
                <w:sz w:val="20"/>
                <w:szCs w:val="20"/>
                <w:color w:val="auto"/>
              </w:rPr>
            </w:pPr>
            <w:r>
              <w:rPr>
                <w:rFonts w:ascii="Arial" w:cs="Arial" w:eastAsia="Arial" w:hAnsi="Arial"/>
                <w:sz w:val="16"/>
                <w:szCs w:val="16"/>
                <w:color w:val="auto"/>
                <w:w w:val="97"/>
              </w:rPr>
              <w:t>(0.2)%</w:t>
            </w:r>
          </w:p>
        </w:tc>
        <w:tc>
          <w:tcPr>
            <w:tcW w:w="1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3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Acquisition</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7"/>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w:t>
            </w: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13.7 %</w:t>
            </w:r>
          </w:p>
        </w:tc>
        <w:tc>
          <w:tcPr>
            <w:tcW w:w="120" w:type="dxa"/>
            <w:vAlign w:val="bottom"/>
            <w:tcBorders>
              <w:bottom w:val="single" w:sz="8" w:color="CCEEFF"/>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5.9 %</w:t>
            </w:r>
          </w:p>
        </w:tc>
      </w:tr>
      <w:tr>
        <w:trPr>
          <w:trHeight w:val="19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SEGMENT PROFIT AS A PERCENT OF NET SALES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800" w:type="dxa"/>
            <w:vAlign w:val="bottom"/>
            <w:gridSpan w:val="2"/>
          </w:tcPr>
          <w:p>
            <w:pPr>
              <w:ind w:left="360"/>
              <w:spacing w:after="0"/>
              <w:rPr>
                <w:sz w:val="20"/>
                <w:szCs w:val="20"/>
                <w:color w:val="auto"/>
              </w:rPr>
            </w:pPr>
            <w:r>
              <w:rPr>
                <w:rFonts w:ascii="Arial" w:cs="Arial" w:eastAsia="Arial" w:hAnsi="Arial"/>
                <w:sz w:val="16"/>
                <w:szCs w:val="16"/>
                <w:color w:val="auto"/>
              </w:rPr>
              <w:t>Americas &amp; Asia</w:t>
            </w:r>
          </w:p>
        </w:tc>
        <w:tc>
          <w:tcPr>
            <w:tcW w:w="500" w:type="dxa"/>
            <w:vAlign w:val="bottom"/>
          </w:tcPr>
          <w:p>
            <w:pPr>
              <w:jc w:val="right"/>
              <w:spacing w:after="0"/>
              <w:rPr>
                <w:sz w:val="20"/>
                <w:szCs w:val="20"/>
                <w:color w:val="auto"/>
              </w:rPr>
            </w:pPr>
            <w:r>
              <w:rPr>
                <w:rFonts w:ascii="Arial" w:cs="Arial" w:eastAsia="Arial" w:hAnsi="Arial"/>
                <w:sz w:val="16"/>
                <w:szCs w:val="16"/>
                <w:color w:val="auto"/>
                <w:w w:val="92"/>
              </w:rPr>
              <w:t>20.3 %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18.3 %</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18.6 %</w:t>
            </w:r>
          </w:p>
        </w:tc>
      </w:tr>
      <w:tr>
        <w:trPr>
          <w:trHeight w:val="219"/>
        </w:trPr>
        <w:tc>
          <w:tcPr>
            <w:tcW w:w="7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Europe &amp; Australia</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14.8 %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13.5 %</w:t>
            </w:r>
          </w:p>
        </w:tc>
      </w:tr>
      <w:tr>
        <w:trPr>
          <w:trHeight w:val="206"/>
        </w:trPr>
        <w:tc>
          <w:tcPr>
            <w:tcW w:w="6940" w:type="dxa"/>
            <w:vAlign w:val="bottom"/>
          </w:tcPr>
          <w:p>
            <w:pPr>
              <w:ind w:left="360"/>
              <w:spacing w:after="0"/>
              <w:rPr>
                <w:sz w:val="20"/>
                <w:szCs w:val="20"/>
                <w:color w:val="auto"/>
              </w:rPr>
            </w:pPr>
            <w:r>
              <w:rPr>
                <w:rFonts w:ascii="Arial" w:cs="Arial" w:eastAsia="Arial" w:hAnsi="Arial"/>
                <w:sz w:val="16"/>
                <w:szCs w:val="16"/>
                <w:color w:val="auto"/>
              </w:rPr>
              <w:t>Total</w:t>
            </w: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18.5 %</w:t>
            </w:r>
          </w:p>
        </w:tc>
        <w:tc>
          <w:tcPr>
            <w:tcW w:w="10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16.9 %</w:t>
            </w:r>
          </w:p>
        </w:tc>
        <w:tc>
          <w:tcPr>
            <w:tcW w:w="120" w:type="dxa"/>
            <w:vAlign w:val="bottom"/>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16.8 %</w:t>
            </w:r>
          </w:p>
        </w:tc>
      </w:tr>
      <w:tr>
        <w:trPr>
          <w:trHeight w:val="24"/>
        </w:trPr>
        <w:tc>
          <w:tcPr>
            <w:tcW w:w="6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2023 Compared to Fiscal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&amp; Asia</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Americas &amp; Asia net sales increased 3.2% to $888.9 million in fiscal 2023 compared to $861.1 million in fiscal 2022. The net sales increase consisted of organic sales growth of 4.4% and decreases from foreign currency translation of 0.9% and the sale of the PremiSys business of 0.3%.</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Organic sales in the Americas increased in the mid-single digits in fiscal 2023. The increase in organic sales was primarily due to organic sales growth in IDS products with strongest growth in the safety and facility identification, healthcare identification and wire identification product lines, which was partially offset by an organic sales decline in the product identification product line. Organic growth in IDS products was partially offset by a mid-single digit decline in WPS products.</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Organic sales in Asia declined in the low-single digits in fiscal 2023. The organic sales decline was primarily driven by decreased volume in China and Malaysia, which was partially offset by increased volume in India and Japan. The organic sales decline in China was due to the spread of COVID-19 primarily during the second quarter of fiscal 2023.</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profit increased 14.7% to $180.5 million in fiscal 2023 from $157.3 million in fiscal 2022. As a percent of net sales, segment profit increased to 20.3% in fiscal 2023 from 18.3% in fiscal 2022. The increase in segment profit was primarily due increased sales volumes in the Americas, reductions in freight costs, as well as ongoing efforts to streamline processes to drive operational efficiencies, which were partially offset by an increase in material costs due to inflationary pressures.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&amp; Australia</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Europe &amp; Australia sales increased 0.5% to $443.0 million in fiscal 2023 compared to $441.0 million in fiscal 2022. The net sales increase consisted of organic sales growth of 7.6% and a decrease from foreign currency translation of 7.1%.</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Organic sales in Europe increased in the mid-single digits in fiscal 2023 which was driven by mid-single digit growth in both IDS and WPS products. Organic growth was strongest in the safety and facility identification and product identification product lines, followed by the wire identification product line. The increase in organic sales in Europe was primarily driven by a mid-single digit increase in Western Europe, partially offset by a single-digit decline in the Nordic region. Organic sales growth was approximately 21% across Eastern Europe, the Middle East and Africa. Organic sales in WPS products was driven by digital sales growth of nearly 13% from improvement in digital capabilities.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Organic sales in Australia increased in the low-teens in fiscal 2023. Organic sales growth was driven by volume in the safety and facility identification product line. Price increases implemented in the second half of fiscal 2022 and the first quarter of fiscal 2023 represented the remainder of the organic sales growth.</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Segment profit increased 4.3% to $65.7 million in fiscal 2023 compared to $63.1 million in fiscal 2022. As a percentage of net sales, segment profit increased to 14.8% in fiscal 2023 compared to 14.3% in fiscal 2022. The increase in segment profit was primarily due to actions taken during fiscal 2022 to reduce the cost structure as well as pricing actions implemented throughout fiscal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2022 Compared to Fiscal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&amp; Asia</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Americas &amp; Asia net sales increased 17.1% to $861.1 million in fiscal 2022 compared to $735.6 million in fiscal 2021. The net sales increase consisted of organic sales growth of 10.3%, growth from acquisitions of 6.9% and a decrease from foreign currency translation of 0.1%.</w:t>
      </w:r>
    </w:p>
    <w:p>
      <w:pPr>
        <w:spacing w:after="0" w:line="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Organic sales in the Americas increased approximately 10% in fiscal 2022. The increase in organic sales was primarily due to organic sales growth in IDS products of nearly 12%. Organic sales grew in all major product lines with the strongest growth in the wire identification and safety and facility identification product lines, which was partially offset by a low-single digit sales decline in WPS products.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Organic sales in Asia increased nearly 12% in fiscal 2022. Sales growth was broad-based with a high-single digit increase in China and organic sales growth of approximately 15% within all other countries in the region.</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Segment profit increased 15.1% to $157.3 million in fiscal 2022 compared to $136.6 million in fiscal 2021. The increase in segment profit was primarily due to organic sales growth in fiscal 2022 and positive earnings from acquisitions completed in the fourth quarter of fiscal 2021. As a percent of net sales, segment profit decreased to 18.3% in fiscal 2022 compared to 18.6% in fiscal 2021. The decrease in segment profit as a percentage of net sales was primarily due to gross margin compression resulting from an increase in the cost of materials, labor and freight, as well as incremental amortization expense of $5.4 million in fiscal 2022, which was partially offset by pricing actions.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&amp; Australia</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Europe &amp; Australia net sales increased 7.8% to $441.0 million in fiscal 2022 compared to $409.1 million in fiscal 2021. The net sales increase consisted of organic sales growth of 7.9%, growth from acquisitions of 6.9% and a decrease from foreign currency translation of 7.0%.</w:t>
      </w:r>
    </w:p>
    <w:p>
      <w:pPr>
        <w:spacing w:after="0" w:line="9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Organic sales in Europe increased in the high-single digits in fiscal 2022. The increase in organic sales was primarily due to organic sales growth in IDS products of approximately 15%. Organic sales grew in all major IDS product lines with the strongest growth in the product identification product line, followed by the safety and facility identification and wire identification product lines. WPS product organic sales increased slightly during the year with mid-single digit growth from the digital channel, while sales from all other channels were essentially flat.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Organic sales in Australia increased slightly in fiscal 2022. Digital sales increased in the low-single digits, and sales from all other channels were essentially flat.</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Segment profit increased 13.9% to $63.1 million in fiscal 2022 compared to $55.4 million in fiscal 2021. As a percentage of net sales, segment profit increased to 14.3% in fiscal 2022 compared to 13.5% in fiscal 2021. The increase in segment profit was primarily due to organic sales growth, positive earnings from acquisitions completed in the fourth quarter of fiscal 2021, and actions taken to reduce the cost structure, including certain forms of advertising spend, which was partially offset by incremental amortization expense of $2.5 million in fiscal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&amp; Capital Resources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cash balances are generated and held in numerous locations throughout the world. At July 31, 2023, approximately 98% of the Company's cash and cash equivalents were held outside the United States. The Company's organic and inorganic growth has historically been funded by a combination of cash provided by operating activities and debt financing. The Company believes that its cash flow from operating activities and its borrowing capacity are sufficient to fund its anticipated requirements for working capital, capital expenditures, research and development, common stock repurchases, and dividend payments for the next 12 months and beyond. Although the Company believes these sources of cash are currently sufficient to fund domestic operations, annual cash needs could require repatriation of cash to the U.S. from foreign jurisdictions, which may result in additional tax payments.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were $151.5 million at July 31, 2023, an increase of $37.5 million from July 31, 2022. The following summarizes the cash flow statement for the years ended July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r>
      <w:tr>
        <w:trPr>
          <w:trHeight w:val="199"/>
        </w:trPr>
        <w:tc>
          <w:tcPr>
            <w:tcW w:w="7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flow provided by (used in):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7680" w:type="dxa"/>
            <w:vAlign w:val="bottom"/>
          </w:tcPr>
          <w:p>
            <w:pPr>
              <w:ind w:left="36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209,149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118,449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205,665</w:t>
            </w:r>
          </w:p>
        </w:tc>
      </w:tr>
      <w:tr>
        <w:trPr>
          <w:trHeight w:val="219"/>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(268,592)</w:t>
            </w:r>
          </w:p>
        </w:tc>
      </w:tr>
      <w:tr>
        <w:trPr>
          <w:trHeight w:val="213"/>
        </w:trPr>
        <w:tc>
          <w:tcPr>
            <w:tcW w:w="7680" w:type="dxa"/>
            <w:vAlign w:val="bottom"/>
          </w:tcPr>
          <w:p>
            <w:pPr>
              <w:ind w:left="360"/>
              <w:spacing w:after="0"/>
              <w:rPr>
                <w:sz w:val="20"/>
                <w:szCs w:val="20"/>
                <w:color w:val="auto"/>
              </w:rPr>
            </w:pPr>
            <w:r>
              <w:rPr>
                <w:rFonts w:ascii="Arial" w:cs="Arial" w:eastAsia="Arial" w:hAnsi="Arial"/>
                <w:sz w:val="16"/>
                <w:szCs w:val="16"/>
                <w:color w:val="auto"/>
              </w:rPr>
              <w:t>Financing activities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(163,568)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(102,089)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(12,324)</w:t>
            </w:r>
          </w:p>
        </w:tc>
      </w:tr>
      <w:tr>
        <w:trPr>
          <w:trHeight w:val="216"/>
        </w:trPr>
        <w:tc>
          <w:tcPr>
            <w:tcW w:w="76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Effect of exchange rate changes on cash</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3,096</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4,943</w:t>
            </w:r>
          </w:p>
        </w:tc>
      </w:tr>
      <w:tr>
        <w:trPr>
          <w:trHeight w:val="213"/>
        </w:trPr>
        <w:tc>
          <w:tcPr>
            <w:tcW w:w="768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37,463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(33,266)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(70,308)</w:t>
            </w:r>
          </w:p>
        </w:tc>
      </w:tr>
      <w:tr>
        <w:trPr>
          <w:trHeight w:val="21"/>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2023 Compared to Fiscal 2022</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operating activities was $209.1 million during fiscal 2023 compared to $118.4 million in fiscal 2022. The increase in cash provided by operating activities was primarily due to improved profitability and reduced inventory purchases compared to elevated inventory purchases in the prior year to reduce the risk of supply chain disruption.</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$11.2 million during fiscal 2023, which consisted of capital expenditures of $19.2 million partially offset by proceeds of $8.0 million received from the sale of the PremiSys business. Net cash used in investing activities was $43.1 million in fiscal 2022, which was elevated due to the purchase of two facilities that were previously leased.</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was $163.6 million during fiscal 2023 compared to $102.1 million in fiscal 2022. The increase in cash used in financing activities was primarily due to $102.3 million of net repayment activity on the credit agreement in fiscal 2023 compared to fiscal 2022, which was due to the increase in net cash provided by operating activities in fiscal 2023. This increase was partially offset by a decrease in share repurchases of $34.2 million in fiscal 2023 compared to fiscal 2022.</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2022 Compared to Fiscal 2021</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provided by operating activities was $118.4 million during fiscal 2022 compared to $205.7 million in fiscal 2021. The decrease was primarily due to cash outflows for inventory purchases in order to reduce the risk of supply chain disruption. In addition, annual incentive compensation payments were higher in fiscal 2022 than they were in fiscal 2021.</w:t>
      </w:r>
    </w:p>
    <w:p>
      <w:pPr>
        <w:spacing w:after="0" w:line="1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Net cash used in investing activities was $43.1 million during fiscal 2022 compared to $268.6 million in fiscal 2021. The decrease in cash used in investing activities was primarily due to the acquisitions of Code, Magicard and Nordic ID which were closed during the fourth quarter of fiscal 2021.</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financing activities was $102.1 million during fiscal 2022 compared to $12.3 million in fiscal 2021. The increase in cash used in financing activities was primarily due to an increase in share repurchases of $105.6 million, which was partially offset by a $19.0 million increase in net borrowings on the credit agreement in fiscal 2022 compared to fiscal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Cash Requirements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material cash requirements for known contractual obligations include capital expenditures, borrowings on credit facilities and lease obligations. We believe that net cash provided by operating activities will continue to be adequate to meet our liquidity and capital needs for these items over the next 12 months and in the long-term beyond the next 12 months. We also have cash requirements for purchase orders and contracts for the purchase of inventory and other goods and services, which are based on current and anticipated customer needs and are fulfilled by our suppliers within short time horizons. We do not have significant agreements for the purchase of inventory or other goods or services specifying minimum order quantities. In addition, we may have liabilities for uncertain tax positions, but we do not believe that the cash requirements to meet any of these liabilities will be material. A discussion of income taxes is contained in Note 11 of the Notes to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Facilities and Covenant Compliance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 to Item 8, Note 6, "Debt" for information regarding the Company's credit facilities and covenant compliance.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Changing Prices</w:t>
      </w:r>
    </w:p>
    <w:p>
      <w:pPr>
        <w:spacing w:after="0" w:line="17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Essentially all of the Company’s revenue is derived from the sale of its products and services in competitive markets. Because prices are influenced by market conditions, it is not always possible to fully recover cost increases through pricing. Changes in product mix from year to year, timing differences in instituting price changes, and the large amount of custom products make it impracticable to accurately define the impact of inflation on profit margins.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Management’s discussion and analysis of the Company’s financial condition and results of operations are based upon the Company’s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The Company bases these estimates and judgments on historical experience and on various other assumptions that are believed to be reasonable under the circumstances. Actual results may differ from these estimates and judgments.</w:t>
      </w:r>
    </w:p>
    <w:p>
      <w:pPr>
        <w:spacing w:after="0" w:line="10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believes the following accounting estimates are most critical to an understanding of its financial statements. Estimates are considered to be critical if they meet both of the following criteria: (1) the estimate requires assumptions about material matters that are uncertain at the time the accounting estimates are made, and (2) material changes in the estimates are reasonably likely from period to period. For a detailed discussion on the application of these and other accounting estimates, refer to Note 1 to the Company’s Consolidated Financial Statements.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operates in numerous taxing jurisdictions and is subject to regular examinations by U.S. federal, state and non-U.S. taxing authorities. Its income tax positions are based on research and interpretations of the income tax laws and rulings in each of the jurisdictions in which the Company does business. Due to the ambiguity of laws and rulings in each jurisdiction, the differences and interplay in tax laws between those jurisdictions, the uncertainty of how underlying facts may be construed and the inherent uncertainty in estimating the final resolution of complex tax audit matters, the Company's estimates of income tax liabilities may differ from actual payments or assessments.</w:t>
      </w:r>
    </w:p>
    <w:p>
      <w:pPr>
        <w:spacing w:after="0" w:line="13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While the Company has support for the positions it takes on tax returns, taxing authorities may assert different interpretations of laws and facts and may challenge cross-jurisdictional transactions. The Company generally re-evaluates the technical merits of its tax positions and recognizes an uncertain tax benefit when (i) there is completion of a tax audit; (ii) there is a change in applicable tax laws including a tax case ruling or legislative guidance; or</w:t>
      </w:r>
    </w:p>
    <w:p>
      <w:pPr>
        <w:spacing w:after="0" w:line="2" w:lineRule="exact"/>
        <w:rPr>
          <w:sz w:val="20"/>
          <w:szCs w:val="20"/>
          <w:color w:val="auto"/>
        </w:rPr>
      </w:pPr>
    </w:p>
    <w:p>
      <w:pPr>
        <w:jc w:val="both"/>
        <w:ind w:firstLine="8"/>
        <w:spacing w:after="0" w:line="252" w:lineRule="auto"/>
        <w:tabs>
          <w:tab w:leader="none" w:pos="32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an expiration of the statute of limitations. The liability for unrecognized tax benefits, excluding interest and penalties, was $20.9 million and $20.6 million as of July 31, 2023 and 2022, respectively. If recognized, $17.8 million of unrecognized tax benefits would reduce the Company's income tax rate as of both July 31, 2023 and 2022. Accrued interest and penalties related to unrecognized tax benefits were $5.3 million and $4.8 million as of July 31, 2023 and 2022, respectively. The Company recognizes interest and penalties related to unrecognized tax benefits in income tax expense on the Consolidated Statements of Income. The Company believes it is reasonably possible that the amount of gross unrecognized tax benefits could be reduced by up to $2.6 million in</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next 12 months as a result of the resolution of worldwide tax matters, tax audit settlements, amended tax filings, and/or statute expirations, which would be the maximum amount that would be recognized as an income tax benefit in the Consolidated Statements of Income.</w:t>
      </w:r>
    </w:p>
    <w:p>
      <w:pPr>
        <w:spacing w:after="0" w:line="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recognizes deferred tax assets and liabilities for differences between the financial statement and tax basis of assets and liabilities that will result in taxable or deductible amounts in the future, based on enacted tax laws and rates applicable to the periods in which the differences are expected to affect taxable income. The Company establishes valuation allowances for its deferred tax assets if it is more likely than not that some or all of the deferred tax asset will not be realized. This requires management to make judgments regarding: (i) the timing and amount of the reversal of taxable temporary differences, (ii) expected future taxable income or loss, and (iii) the impact of tax planning strategies. The Company recognized valuation allowances for its deferred tax assets of $52.8 million and $47.3 million as of July 31, 2023 and 2022, respectively, which were primarily related to foreign tax credit carryforwards and net operating loss carryforwards in its various tax jurisdictions.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and Other Indefinite-lived Intangible Assets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allocation of purchase price for business combinations requires management estimates and judgment as to expectations for future cash flows of the acquired business and the allocation of those cash flows to identifiable intangible assets in determining the estimated fair value. If the actual results differ from these estimates, it could result in an impairment of intangible assets and goodwill or require acceleration of the amortization expense of finite-lived intangible assets. In addition, goodwill and other indefinite-lived intangible assets must be tested for impairment at least annually. If circumstances or events prior to the date of the required annual assessment indicate that, in management's judgment, it is more likely than not that there has been a reduction of fair value of a reporting unit below its carrying value, the Company performs an impairment analysis at the time of such circumstance or event. Changes in management's estimates or judgments could result in an impairment charge, and such a charge could have an adverse effect on the Company's financial condition and results of operations.</w:t>
      </w:r>
    </w:p>
    <w:p>
      <w:pPr>
        <w:spacing w:after="0" w:line="13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Company has identified seven reporting units within its two reportable segments, Americas &amp; Asia and Europe &amp; Australia, with the following goodwill balances as of July 31, 2023: North America, $438.0 million; Europe, $151.2 million; and Latin America, $3.4 million. The other four identified reporting units each have a goodwill balance of zero. The Company believes that the discounted cash flow model and the market approach provide a reasonable and meaningful fair value estimate based upon the reporting units' projections of future operating results and cash flows and replicates how market participants would value the Company's reporting units. The projections of future operating results, which are based on both past performance and the projections and assumptions used in the Company's current and long-range operating plans, are subject to change as a result of changing economic and competitive conditions. Significant estimates used by management in the discounted cash flows methodology include estimates of future cash flows based on expected growth rates, price increases, fluctuations in gross profit margins and SG&amp;A expense as a percentage of sales, capital expenditures, working capital levels, income tax rates, and a weighted-average cost of capital reflecting the specific risk profile of the reporting unit being tested. Significant negative industry or economic trends, disruptions to the Company's business, loss of significant customers, inability to effectively integrate acquired businesses, unexpected significant changes or planned changes in use of the assets or in entity structure, and divestitures may adversely impact the assumptions used in the valuations.</w:t>
      </w:r>
    </w:p>
    <w:p>
      <w:pPr>
        <w:spacing w:after="0" w:line="1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completes its annual goodwill impairment analysis on May 1 of each fiscal year and evaluates its reporting units for potential triggering events on a quarterly basis in accordance with ASC 350, "Intangibles - Goodwill and Other." In addition to the metrics listed above, the Company considers multiple internal and external factors when evaluating its reporting units for potential impairment, including (i) U.S. GDP growth, (ii) industry and market factors such as competition and changes in the market for the reporting unit's products, (iii) new product development, (iv) competing technologies, (v) overall financial performance such as cash flows, actual and planned revenue and profitability, and (vi) changes in the strategy of the reporting unit. In the event the fair value of a reporting unit is less than the carrying value, the Company would recognize an impairment charge for the amount by which the carrying amount of the reporting unit exceeds the fair value. If necessary, the Company may consult valuation specialists to assist with the assessment of the estimated fair value of the reporting unit.</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considers a reporting unit’s fair value to be substantially in excess of its carrying value at 20% or greater. The annual impairment testing performed on May 1, 2023, in accordance with ASC 350, “Intangibles - Goodwill and Other” indicated that each of the reporting units had a fair value substantially in excess of its carrying value.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Indefinite-Lived Intangible Assets</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Other indefinite-lived intangible assets, which consists of tradenames, are tested for impairment in accordance with the Company's policy outlined above using the income approach. Fair value is estimated using the income approach based upon current sales projections applying the relief from royalty method. If the carrying value of the indefinite-lived intangible asset exceeds its fair value, an impairment loss is recognized in an amount equal to that excess. As a result of the analysis performed on May 1, 2023, all indefinite-lived tradenames had fair value in excess of carrying value.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provided in Note 1 of the Notes to Consolidated Financial Statements contained in Item 8 — Financial Statements and Supplementary Data.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business operations give rise to market risk exposure due to changes in foreign exchange rates. To manage that risk effectively, the Company enters into hedging transactions according to established guidelines and policies that enable it to mitigate the adverse effects of this financial market risk.</w:t>
      </w:r>
    </w:p>
    <w:p>
      <w:pPr>
        <w:spacing w:after="0" w:line="13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global nature of the Company’s business requires active participation in the foreign exchange markets. The Company has manufacturing facilities and sells and distributes its products throughout the world and therefore has assets, liabilities and cash flows in currencies other than the U.S. dollar. As a result, the Company’s financial results could be significantly affected by factors such as changes in foreign currency exchange rates or weak economic conditions in the foreign markets in which the Company manufactures, distributes and sells its products. The Company’s operating results are principally exposed to changes in exchange rates between the U.S. dollar and the Euro, the British Pound, the Mexican Peso, the Canadian dollar, the Australian dollar, the Singapore dollar, the Malaysian Ringgit, and the Chinese Yuan.</w:t>
      </w:r>
    </w:p>
    <w:p>
      <w:pPr>
        <w:spacing w:after="0" w:line="12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objective of the Company’s foreign currency exchange risk management is to minimize the impact of currency movements on non-functional currency transactions. To achieve this objective, the Company hedges a portion of known exposures using forward contracts. As of July 31, 2023, the notional amount of outstanding forward foreign exchange contracts designated as cash flow hedges was $39.7 million. The Company uses Euro-denominated debt of €24.0 million and British Pound-denominated debt of £8.0 million designated as hedge instruments to hedge portions of the Company’s net investment in its Euro-denominated and British Pound-denominated businesses. The Company's multi-currency revolving credit agreement allows it to borrow up to $200 million in currencies other than U.S. dollars. Debt issued in currencies other than U.S. dollars acts as a natural hedge to the Company's exposure to the associated currency.</w:t>
      </w:r>
    </w:p>
    <w:p>
      <w:pPr>
        <w:spacing w:after="0" w:line="14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also faces exchange rate risk from transactions with customers in countries outside the United States and from intercompany transactions between affiliates. Although the Company has a U.S. dollar functional currency for reporting purposes, it has manufacturing sites throughout the world and a significant portion of its sales are generated in foreign currencies. Costs incurred and sales recorded by subsidiaries operating outside of the United States are translated into U.S. dollars using exchange rates in effect during the respective period. As a result, the Company is exposed to movements in the exchange rates of various currencies against the U.S. dollar. In particular, the Company has more sales in European currencies than it has expenses in those currencies. Therefore, when European currencies strengthen or weaken against the U.S. dollar, operating profits are increased or decreased, respectively. Currency exchange rates decreased fiscal 2023 net sales by 3.0% compared to fiscal 2022 as the U.S. dollar appreciated, on average, against other major currencies throughout the year.</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Changes in foreign currency exchange rates for the Company’s foreign subsidiaries reporting in local currencies are generally reported as a component of stockholders’ equity. The Company’s currency translation adjustments recorded during the years ended July 31, 2023, 2022, and 2021, as a separate component of stockholders’ equity, were favorable by $16.0 million, unfavorable by $53.4 million, and favorable by $10.3 million, respectively. As of July 31, 2023 and 2022, the Company’s foreign subsidiaries had net current assets (defined as current assets less current liabilities) subject to foreign currency translation risk of $207.6 million and $193.6 million, respectively. The potential decrease in net current assets as of July 31, 2023, from a hypothetical 10 percent adverse change in quoted foreign currency exchange rates would be approximately $20.8 million. This sensitivity analysis assumes a parallel shift in all major foreign currency exchange rates versus the U.S. dollar. Exchange rates rarely move in the same direction relative to the U.S. dollar due to positive and negative correlations of the various global currencies. This assumption may overstate the impact of changing exchange rates on individual assets and liabilities denominated in a foreign currency.</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could be exposed to interest rate risk through its corporate borrowing activities. The objective of the Company’s interest rate risk management activities is to manage the levels of the Company’s fixed and floating interest rate exposure to be consistent with the Company’s preferred mix. The interest rate risk management program allows the Company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 enter into approved interest rate derivatives if there is a desire to modify the Company’s exposure to interest rates. As of July 31, 2023, the Company had no interest rate derivatives and no fixed rate debt outstanding.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BRADY CORPORATION &amp; SUBSIDIARIES</w:t>
      </w:r>
    </w:p>
    <w:p>
      <w:pPr>
        <w:spacing w:after="0" w:line="171"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INDEX TO FINANCIAL STATEMENTS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320" w:type="dxa"/>
            <w:vAlign w:val="bottom"/>
          </w:tcPr>
          <w:p>
            <w:pPr>
              <w:spacing w:after="0"/>
              <w:rPr>
                <w:sz w:val="16"/>
                <w:szCs w:val="16"/>
                <w:color w:val="auto"/>
              </w:rPr>
            </w:pPr>
          </w:p>
        </w:tc>
        <w:tc>
          <w:tcPr>
            <w:tcW w:w="1900" w:type="dxa"/>
            <w:vAlign w:val="bottom"/>
          </w:tcPr>
          <w:p>
            <w:pPr>
              <w:jc w:val="right"/>
              <w:ind w:right="7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9320" w:type="dxa"/>
            <w:vAlign w:val="bottom"/>
            <w:vMerge w:val="restart"/>
          </w:tcPr>
          <w:p>
            <w:pPr>
              <w:spacing w:after="0"/>
              <w:rPr>
                <w:sz w:val="20"/>
                <w:szCs w:val="20"/>
                <w:color w:val="auto"/>
              </w:rPr>
            </w:pPr>
            <w:r>
              <w:rPr>
                <w:rFonts w:ascii="Arial" w:cs="Arial" w:eastAsia="Arial" w:hAnsi="Arial"/>
                <w:sz w:val="18"/>
                <w:szCs w:val="18"/>
                <w:color w:val="0000FF"/>
              </w:rPr>
              <w:t>Report of Independent Registered Public Accounting Firm (PCAOB ID: 34)</w:t>
            </w: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9320" w:type="dxa"/>
            <w:vAlign w:val="bottom"/>
            <w:vMerge w:val="continue"/>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0000FF"/>
              </w:rPr>
              <w:t>27</w:t>
            </w:r>
          </w:p>
        </w:tc>
        <w:tc>
          <w:tcPr>
            <w:tcW w:w="0" w:type="dxa"/>
            <w:vAlign w:val="bottom"/>
          </w:tcPr>
          <w:p>
            <w:pPr>
              <w:spacing w:after="0"/>
              <w:rPr>
                <w:sz w:val="1"/>
                <w:szCs w:val="1"/>
                <w:color w:val="auto"/>
              </w:rPr>
            </w:pPr>
          </w:p>
        </w:tc>
      </w:tr>
      <w:tr>
        <w:trPr>
          <w:trHeight w:val="230"/>
        </w:trPr>
        <w:tc>
          <w:tcPr>
            <w:tcW w:w="9320" w:type="dxa"/>
            <w:vAlign w:val="bottom"/>
          </w:tcPr>
          <w:p>
            <w:pPr>
              <w:spacing w:after="0"/>
              <w:rPr>
                <w:sz w:val="20"/>
                <w:szCs w:val="20"/>
                <w:color w:val="auto"/>
              </w:rPr>
            </w:pPr>
            <w:r>
              <w:rPr>
                <w:rFonts w:ascii="Arial" w:cs="Arial" w:eastAsia="Arial" w:hAnsi="Arial"/>
                <w:sz w:val="18"/>
                <w:szCs w:val="18"/>
                <w:color w:val="auto"/>
              </w:rPr>
              <w:t>Financial Statements:</w:t>
            </w: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320" w:type="dxa"/>
            <w:vAlign w:val="bottom"/>
          </w:tcPr>
          <w:p>
            <w:pPr>
              <w:spacing w:after="0"/>
              <w:rPr>
                <w:sz w:val="20"/>
                <w:szCs w:val="20"/>
                <w:color w:val="auto"/>
              </w:rPr>
            </w:pPr>
            <w:r>
              <w:rPr>
                <w:rFonts w:ascii="Arial" w:cs="Arial" w:eastAsia="Arial" w:hAnsi="Arial"/>
                <w:sz w:val="18"/>
                <w:szCs w:val="18"/>
                <w:color w:val="0000FF"/>
              </w:rPr>
              <w:t>Consolidated Balance Sheets — July 31, 2023 and 2022</w:t>
            </w:r>
          </w:p>
        </w:tc>
        <w:tc>
          <w:tcPr>
            <w:tcW w:w="1900" w:type="dxa"/>
            <w:vAlign w:val="bottom"/>
          </w:tcPr>
          <w:p>
            <w:pPr>
              <w:jc w:val="right"/>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30"/>
        </w:trPr>
        <w:tc>
          <w:tcPr>
            <w:tcW w:w="9320" w:type="dxa"/>
            <w:vAlign w:val="bottom"/>
          </w:tcPr>
          <w:p>
            <w:pPr>
              <w:spacing w:after="0"/>
              <w:rPr>
                <w:sz w:val="20"/>
                <w:szCs w:val="20"/>
                <w:color w:val="auto"/>
              </w:rPr>
            </w:pPr>
            <w:r>
              <w:rPr>
                <w:rFonts w:ascii="Arial" w:cs="Arial" w:eastAsia="Arial" w:hAnsi="Arial"/>
                <w:sz w:val="18"/>
                <w:szCs w:val="18"/>
                <w:color w:val="0000FF"/>
              </w:rPr>
              <w:t>Consolidated Statements of Income — Years Ended July 31, 2023, 2022, and 2021</w:t>
            </w:r>
          </w:p>
        </w:tc>
        <w:tc>
          <w:tcPr>
            <w:tcW w:w="1900" w:type="dxa"/>
            <w:vAlign w:val="bottom"/>
          </w:tcPr>
          <w:p>
            <w:pPr>
              <w:jc w:val="right"/>
              <w:spacing w:after="0"/>
              <w:rPr>
                <w:sz w:val="20"/>
                <w:szCs w:val="20"/>
                <w:color w:val="auto"/>
              </w:rPr>
            </w:pPr>
            <w:r>
              <w:rPr>
                <w:rFonts w:ascii="Arial" w:cs="Arial" w:eastAsia="Arial" w:hAnsi="Arial"/>
                <w:sz w:val="18"/>
                <w:szCs w:val="18"/>
                <w:color w:val="0000FF"/>
              </w:rPr>
              <w:t>30</w:t>
            </w:r>
          </w:p>
        </w:tc>
        <w:tc>
          <w:tcPr>
            <w:tcW w:w="0" w:type="dxa"/>
            <w:vAlign w:val="bottom"/>
          </w:tcPr>
          <w:p>
            <w:pPr>
              <w:spacing w:after="0"/>
              <w:rPr>
                <w:sz w:val="1"/>
                <w:szCs w:val="1"/>
                <w:color w:val="auto"/>
              </w:rPr>
            </w:pPr>
          </w:p>
        </w:tc>
      </w:tr>
      <w:tr>
        <w:trPr>
          <w:trHeight w:val="229"/>
        </w:trPr>
        <w:tc>
          <w:tcPr>
            <w:tcW w:w="9320" w:type="dxa"/>
            <w:vAlign w:val="bottom"/>
          </w:tcPr>
          <w:p>
            <w:pPr>
              <w:spacing w:after="0"/>
              <w:rPr>
                <w:sz w:val="20"/>
                <w:szCs w:val="20"/>
                <w:color w:val="auto"/>
              </w:rPr>
            </w:pPr>
            <w:r>
              <w:rPr>
                <w:rFonts w:ascii="Arial" w:cs="Arial" w:eastAsia="Arial" w:hAnsi="Arial"/>
                <w:sz w:val="18"/>
                <w:szCs w:val="18"/>
                <w:color w:val="0000FF"/>
              </w:rPr>
              <w:t>Consolidated Statements of Comprehensive Income — Years Ended July 31, 2023, 2022, and 2021</w:t>
            </w:r>
          </w:p>
        </w:tc>
        <w:tc>
          <w:tcPr>
            <w:tcW w:w="1900" w:type="dxa"/>
            <w:vAlign w:val="bottom"/>
          </w:tcPr>
          <w:p>
            <w:pPr>
              <w:jc w:val="right"/>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29"/>
        </w:trPr>
        <w:tc>
          <w:tcPr>
            <w:tcW w:w="9320" w:type="dxa"/>
            <w:vAlign w:val="bottom"/>
          </w:tcPr>
          <w:p>
            <w:pPr>
              <w:spacing w:after="0"/>
              <w:rPr>
                <w:sz w:val="20"/>
                <w:szCs w:val="20"/>
                <w:color w:val="auto"/>
              </w:rPr>
            </w:pPr>
            <w:r>
              <w:rPr>
                <w:rFonts w:ascii="Arial" w:cs="Arial" w:eastAsia="Arial" w:hAnsi="Arial"/>
                <w:sz w:val="18"/>
                <w:szCs w:val="18"/>
                <w:color w:val="0000FF"/>
              </w:rPr>
              <w:t>Consolidated Statements of Stockholders’ Equity — Years Ended July 31, 2023, 2022, and 2021</w:t>
            </w:r>
          </w:p>
        </w:tc>
        <w:tc>
          <w:tcPr>
            <w:tcW w:w="1900" w:type="dxa"/>
            <w:vAlign w:val="bottom"/>
          </w:tcPr>
          <w:p>
            <w:pPr>
              <w:jc w:val="right"/>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30"/>
        </w:trPr>
        <w:tc>
          <w:tcPr>
            <w:tcW w:w="9320" w:type="dxa"/>
            <w:vAlign w:val="bottom"/>
          </w:tcPr>
          <w:p>
            <w:pPr>
              <w:spacing w:after="0"/>
              <w:rPr>
                <w:sz w:val="20"/>
                <w:szCs w:val="20"/>
                <w:color w:val="auto"/>
              </w:rPr>
            </w:pPr>
            <w:r>
              <w:rPr>
                <w:rFonts w:ascii="Arial" w:cs="Arial" w:eastAsia="Arial" w:hAnsi="Arial"/>
                <w:sz w:val="18"/>
                <w:szCs w:val="18"/>
                <w:color w:val="0000FF"/>
              </w:rPr>
              <w:t>Consolidated Statements of Cash Flows — Years Ended July 31, 2023, 2022, and 2021</w:t>
            </w:r>
          </w:p>
        </w:tc>
        <w:tc>
          <w:tcPr>
            <w:tcW w:w="1900" w:type="dxa"/>
            <w:vAlign w:val="bottom"/>
          </w:tcPr>
          <w:p>
            <w:pPr>
              <w:jc w:val="right"/>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30"/>
        </w:trPr>
        <w:tc>
          <w:tcPr>
            <w:tcW w:w="9320" w:type="dxa"/>
            <w:vAlign w:val="bottom"/>
          </w:tcPr>
          <w:p>
            <w:pPr>
              <w:spacing w:after="0"/>
              <w:rPr>
                <w:sz w:val="20"/>
                <w:szCs w:val="20"/>
                <w:color w:val="auto"/>
              </w:rPr>
            </w:pPr>
            <w:r>
              <w:rPr>
                <w:rFonts w:ascii="Arial" w:cs="Arial" w:eastAsia="Arial" w:hAnsi="Arial"/>
                <w:sz w:val="18"/>
                <w:szCs w:val="18"/>
                <w:color w:val="0000FF"/>
              </w:rPr>
              <w:t>Notes to Consolidated Financial Statements — Years Ended July 31, 2023, 2022, and 2021</w:t>
            </w:r>
          </w:p>
        </w:tc>
        <w:tc>
          <w:tcPr>
            <w:tcW w:w="1900" w:type="dxa"/>
            <w:vAlign w:val="bottom"/>
          </w:tcPr>
          <w:p>
            <w:pPr>
              <w:jc w:val="right"/>
              <w:spacing w:after="0"/>
              <w:rPr>
                <w:sz w:val="20"/>
                <w:szCs w:val="20"/>
                <w:color w:val="auto"/>
              </w:rPr>
            </w:pPr>
            <w:r>
              <w:rPr>
                <w:rFonts w:ascii="Arial" w:cs="Arial" w:eastAsia="Arial" w:hAnsi="Arial"/>
                <w:sz w:val="18"/>
                <w:szCs w:val="18"/>
                <w:color w:val="0000FF"/>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Brady Corporation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Brady Corporation and subsidiaries (the "Company") as of July 31, 2023 and 2022, the related consolidated statements of income, comprehensive income, stockholders' equity, and cash flows, for each of the three years in the period ended July 31, 2023, and the related notes and the schedule listed in the Index at Item 15 (collectively referred to as the "financial statements"). In our opinion, the financial statements present fairly, in all material respects, the financial position of the Company as of July 31, 2023 and 2022, and the results of its operations and its cash flows for each of the three years in the period ended July 31, 2023, in conformity with accounting principles generally accepted in the United States of America.</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July 31,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September 5, 2023,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 Valuation Allowances — Refer to Notes 1 and 11 to the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recognizes deferred income tax assets and liabilities for the estimated future tax effects attributable to temporary differences and carryforwards. Valuation allowances are established when necessary to reduce deferred tax assets to the amounts expected to be realized in the future. Future realization of deferred tax assets depends on the existence of sufficient taxable income within the carryback or carryforward period of the appropriate character under the relevant tax law. Sources of taxable income include future reversals of deferred tax assets and liabilities, future taxable income (exclusive of the reversals of deferred tax assets and liabilities), taxable income in prior carryback year(s) if permitted under the tax law, and tax planning strategies. The Company’s valuation allowance for deferred tax assets was $52.8 million as of July 31, 2023.</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determination of the valuation allowance involves estimates. Management’s primary estimate in determining whether a valuation allowance should be established is the projection of future sources of taxable income. Auditing</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management’s estimate of future sources of taxable income, which affects the recorded valuation allowances, required a high degree of auditor judgment and an increased extent of effort, including the need to involve our income tax specialists.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estimated future sources of taxable income included the following, among others:</w:t>
      </w:r>
    </w:p>
    <w:p>
      <w:pPr>
        <w:spacing w:after="0" w:line="25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over the estimates of future sources of taxable income.</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considered relevant tax laws and regulations in evaluating the appropriateness of management’s estimates of future sources of taxable income.</w:t>
      </w:r>
    </w:p>
    <w:p>
      <w:pPr>
        <w:jc w:val="both"/>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evaluated management’s ability to accurately estimate future sources of taxable income by comparing actual results to management’s historical estimates. Further, we evaluated the reasonableness of management’s estimates of future sources of taxable income by comparing the estimates to historical sources of taxable income or losses and evaluating whether there have been any changes that would affect management's estimates of future sources of taxable income.</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evaluated whether the estimated future sources of taxable income were of the appropriate character to utilize the deferred tax assets under tax law.</w:t>
      </w:r>
    </w:p>
    <w:p>
      <w:pPr>
        <w:ind w:left="66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evaluated management’s assessment that it is more likely than not that sufficient taxable income will be generated in the future to utilize the net deferred tax assets.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5,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at least since 1981; however, an earlier year cannot be reliably determined.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31, 2023 and 2022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84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8480" w:type="dxa"/>
            <w:vAlign w:val="bottom"/>
            <w:shd w:val="clear" w:color="auto" w:fill="CCEEFF"/>
          </w:tcPr>
          <w:p>
            <w:pPr>
              <w:ind w:left="394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114,069</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6"/>
                <w:szCs w:val="16"/>
                <w:color w:val="auto"/>
              </w:rPr>
              <w:t>Accounts receivable, net of allowance for credit losses of $8,467 and $7,355, respectively</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184,420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183,233</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190,023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524,820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498,068</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Arial" w:cs="Arial" w:eastAsia="Arial" w:hAnsi="Arial"/>
                <w:sz w:val="16"/>
                <w:szCs w:val="16"/>
                <w:color w:val="auto"/>
              </w:rPr>
              <w:t>Property, plant and equipment—net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142,149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139,511</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592,646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586,832</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62,096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74,028</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15,881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29,688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31,293</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22,142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21,719</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8480" w:type="dxa"/>
            <w:vAlign w:val="bottom"/>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1,389,257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1,367,332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Pr>
          <w:p>
            <w:pPr>
              <w:spacing w:after="0"/>
              <w:rPr>
                <w:sz w:val="16"/>
                <w:szCs w:val="16"/>
                <w:color w:val="auto"/>
              </w:rPr>
            </w:pPr>
          </w:p>
        </w:tc>
        <w:tc>
          <w:tcPr>
            <w:tcW w:w="8480" w:type="dxa"/>
            <w:vAlign w:val="bottom"/>
            <w:shd w:val="clear" w:color="auto" w:fill="CCEEFF"/>
          </w:tcPr>
          <w:p>
            <w:pPr>
              <w:ind w:left="248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81,116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6"/>
                <w:szCs w:val="16"/>
                <w:color w:val="auto"/>
              </w:rPr>
              <w:t>Accrued compensation and benefits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71,470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76,764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 other than income taxes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12,539</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6"/>
                <w:szCs w:val="16"/>
                <w:color w:val="auto"/>
              </w:rPr>
              <w:t>Accrued income taxes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12,582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8,294</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operating lease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65,828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61,458</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258,036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255,174</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49,716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95,000</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19,143</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liabilities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74,369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86,717</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398,338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456,034</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8480" w:type="dxa"/>
            <w:vAlign w:val="bottom"/>
            <w:shd w:val="clear" w:color="auto" w:fill="CCEEFF"/>
          </w:tcPr>
          <w:p>
            <w:pPr>
              <w:ind w:left="340"/>
              <w:spacing w:after="0" w:line="169" w:lineRule="exact"/>
              <w:rPr>
                <w:sz w:val="20"/>
                <w:szCs w:val="20"/>
                <w:color w:val="auto"/>
              </w:rPr>
            </w:pPr>
            <w:r>
              <w:rPr>
                <w:rFonts w:ascii="Arial" w:cs="Arial" w:eastAsia="Arial" w:hAnsi="Arial"/>
                <w:sz w:val="16"/>
                <w:szCs w:val="16"/>
                <w:color w:val="auto"/>
                <w:w w:val="98"/>
              </w:rPr>
              <w:t>Class A nonvoting common stock — Issued 51,261,487 shares, and outstanding 45,008,724 and 46,370,708 shares,</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respectively (aggregate liquidation preference of $42,716)</w:t>
            </w:r>
          </w:p>
        </w:tc>
        <w:tc>
          <w:tcPr>
            <w:tcW w:w="28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6"/>
                <w:szCs w:val="16"/>
                <w:color w:val="auto"/>
              </w:rPr>
              <w:t>Class B voting common stock — Issued and outstanding 3,538,628 shares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351,771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345,266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Pr>
          <w:p>
            <w:pPr>
              <w:ind w:left="34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1,021,870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892,417</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84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Treasury stock — 6,252,763 and 4,890,779 shares, respectively, of Class A nonvoting common stock, at cost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(290,209)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(217,856)</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(93,061)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(109,077)</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48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990,919</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911,298</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480" w:type="dxa"/>
            <w:vAlign w:val="bottom"/>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1,389,257</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1,367,332</w:t>
            </w:r>
          </w:p>
        </w:tc>
        <w:tc>
          <w:tcPr>
            <w:tcW w:w="0" w:type="dxa"/>
            <w:vAlign w:val="bottom"/>
          </w:tcPr>
          <w:p>
            <w:pPr>
              <w:spacing w:after="0"/>
              <w:rPr>
                <w:sz w:val="1"/>
                <w:szCs w:val="1"/>
                <w:color w:val="auto"/>
              </w:rPr>
            </w:pPr>
          </w:p>
        </w:tc>
      </w:tr>
      <w:tr>
        <w:trPr>
          <w:trHeight w:val="27"/>
        </w:trPr>
        <w:tc>
          <w:tcPr>
            <w:tcW w:w="8520" w:type="dxa"/>
            <w:vAlign w:val="bottom"/>
            <w:gridSpan w:val="2"/>
            <w:vMerge w:val="restart"/>
          </w:tcPr>
          <w:p>
            <w:pPr>
              <w:spacing w:after="0"/>
              <w:rPr>
                <w:sz w:val="20"/>
                <w:szCs w:val="20"/>
                <w:color w:val="auto"/>
              </w:rPr>
            </w:pPr>
            <w:r>
              <w:rPr>
                <w:rFonts w:ascii="Arial" w:cs="Arial" w:eastAsia="Arial" w:hAnsi="Arial"/>
                <w:sz w:val="16"/>
                <w:szCs w:val="16"/>
                <w:color w:val="auto"/>
              </w:rPr>
              <w:t>See Notes to Consolidated Financial Statements.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8"/>
        </w:trPr>
        <w:tc>
          <w:tcPr>
            <w:tcW w:w="85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-5481955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Years Ended July 31, 2023, 2022 and 2021</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(Dollars in thousands, except per share amounts)</w:t>
      </w: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69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13"/>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1,331,863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1,302,062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1,144,698</w:t>
            </w:r>
          </w:p>
        </w:tc>
      </w:tr>
      <w:tr>
        <w:trPr>
          <w:trHeight w:val="213"/>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674,588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670,510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583,252</w:t>
            </w:r>
          </w:p>
        </w:tc>
      </w:tr>
      <w:tr>
        <w:trPr>
          <w:trHeight w:val="213"/>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Gross margin</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657,275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631,552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561,446</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44,551</w:t>
            </w:r>
          </w:p>
        </w:tc>
      </w:tr>
      <w:tr>
        <w:trPr>
          <w:trHeight w:val="213"/>
        </w:trPr>
        <w:tc>
          <w:tcPr>
            <w:tcW w:w="69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370,697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379,992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349,768</w:t>
            </w:r>
          </w:p>
        </w:tc>
      </w:tr>
      <w:tr>
        <w:trPr>
          <w:trHeight w:val="213"/>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operating expenses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432,062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438,540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394,319</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225,213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193,012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167,127</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Investment and other income</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4,333</w:t>
            </w: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r>
      <w:tr>
        <w:trPr>
          <w:trHeight w:val="207"/>
        </w:trPr>
        <w:tc>
          <w:tcPr>
            <w:tcW w:w="6960" w:type="dxa"/>
            <w:vAlign w:val="bottom"/>
          </w:tcPr>
          <w:p>
            <w:pPr>
              <w:ind w:left="20"/>
              <w:spacing w:after="0"/>
              <w:rPr>
                <w:sz w:val="20"/>
                <w:szCs w:val="20"/>
                <w:color w:val="auto"/>
              </w:rPr>
            </w:pPr>
            <w:r>
              <w:rPr>
                <w:rFonts w:ascii="Arial" w:cs="Arial" w:eastAsia="Arial" w:hAnsi="Arial"/>
                <w:sz w:val="16"/>
                <w:szCs w:val="16"/>
                <w:color w:val="auto"/>
              </w:rPr>
              <w:t>Income before income taxes and losses of unconsolidated affiliate</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225,696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191,980</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171,023</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50,839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35,610</w:t>
            </w:r>
          </w:p>
        </w:tc>
      </w:tr>
      <w:tr>
        <w:trPr>
          <w:trHeight w:val="207"/>
        </w:trPr>
        <w:tc>
          <w:tcPr>
            <w:tcW w:w="6960" w:type="dxa"/>
            <w:vAlign w:val="bottom"/>
          </w:tcPr>
          <w:p>
            <w:pPr>
              <w:ind w:left="20"/>
              <w:spacing w:after="0"/>
              <w:rPr>
                <w:sz w:val="20"/>
                <w:szCs w:val="20"/>
                <w:color w:val="auto"/>
              </w:rPr>
            </w:pPr>
            <w:r>
              <w:rPr>
                <w:rFonts w:ascii="Arial" w:cs="Arial" w:eastAsia="Arial" w:hAnsi="Arial"/>
                <w:sz w:val="16"/>
                <w:szCs w:val="16"/>
                <w:color w:val="auto"/>
              </w:rPr>
              <w:t>Income before losses of unconsolidated affiliate</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174,857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149,979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135,413</w:t>
            </w:r>
          </w:p>
        </w:tc>
      </w:tr>
      <w:tr>
        <w:trPr>
          <w:trHeight w:val="216"/>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losses of unconsolidated affiliate</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(5,754)</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174,857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149,979</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129,659</w:t>
            </w: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2.49</w:t>
            </w: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6960" w:type="dxa"/>
            <w:vAlign w:val="bottom"/>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6960" w:type="dxa"/>
            <w:vAlign w:val="bottom"/>
          </w:tcPr>
          <w:p>
            <w:pPr>
              <w:ind w:left="22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49,591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51,321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52,039</w:t>
            </w:r>
          </w:p>
        </w:tc>
      </w:tr>
      <w:tr>
        <w:trPr>
          <w:trHeight w:val="219"/>
        </w:trPr>
        <w:tc>
          <w:tcPr>
            <w:tcW w:w="6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-3496945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-3496945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2023,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212"/>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129,659</w:t>
            </w: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currency translation adjustments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10,266</w:t>
            </w:r>
          </w:p>
        </w:tc>
      </w:tr>
      <w:tr>
        <w:trPr>
          <w:trHeight w:val="256"/>
        </w:trPr>
        <w:tc>
          <w:tcPr>
            <w:tcW w:w="7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6"/>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flow hedges: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7140" w:type="dxa"/>
            <w:vAlign w:val="bottom"/>
          </w:tcPr>
          <w:p>
            <w:pPr>
              <w:ind w:left="680"/>
              <w:spacing w:after="0"/>
              <w:rPr>
                <w:sz w:val="20"/>
                <w:szCs w:val="20"/>
                <w:color w:val="auto"/>
              </w:rPr>
            </w:pPr>
            <w:r>
              <w:rPr>
                <w:rFonts w:ascii="Arial" w:cs="Arial" w:eastAsia="Arial" w:hAnsi="Arial"/>
                <w:sz w:val="16"/>
                <w:szCs w:val="16"/>
                <w:color w:val="auto"/>
              </w:rPr>
              <w:t>Net gain recognized in other comprehensive income (loss)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1,451</w:t>
            </w:r>
          </w:p>
        </w:tc>
      </w:tr>
      <w:tr>
        <w:trPr>
          <w:trHeight w:val="216"/>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Reclassification adjustment for gains included in net income</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w:t>
            </w:r>
          </w:p>
        </w:tc>
      </w:tr>
      <w:tr>
        <w:trPr>
          <w:trHeight w:val="209"/>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1,052</w:t>
            </w: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Pension and other post-retirement benefits: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40" w:type="dxa"/>
            <w:vAlign w:val="bottom"/>
          </w:tcPr>
          <w:p>
            <w:pPr>
              <w:ind w:left="680"/>
              <w:spacing w:after="0"/>
              <w:rPr>
                <w:sz w:val="20"/>
                <w:szCs w:val="20"/>
                <w:color w:val="auto"/>
              </w:rPr>
            </w:pPr>
            <w:r>
              <w:rPr>
                <w:rFonts w:ascii="Arial" w:cs="Arial" w:eastAsia="Arial" w:hAnsi="Arial"/>
                <w:sz w:val="16"/>
                <w:szCs w:val="16"/>
                <w:color w:val="auto"/>
              </w:rPr>
              <w:t>Net (loss) gain recognized in other comprehensive income (loss)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actuarial gain amortization</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r>
      <w:tr>
        <w:trPr>
          <w:trHeight w:val="209"/>
        </w:trPr>
        <w:tc>
          <w:tcPr>
            <w:tcW w:w="7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260"/>
        </w:trPr>
        <w:tc>
          <w:tcPr>
            <w:tcW w:w="7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13"/>
        </w:trPr>
        <w:tc>
          <w:tcPr>
            <w:tcW w:w="71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tax</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(53,648)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10,930</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 related to items of other 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207"/>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16,016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10,524</w:t>
            </w:r>
          </w:p>
        </w:tc>
      </w:tr>
      <w:tr>
        <w:trPr>
          <w:trHeight w:val="234"/>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190,873</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96,855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140,183</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-2459355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-2459355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2023,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Accumulated</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Additional Paid-In</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93"/>
              </w:rPr>
              <w:t>Other</w:t>
            </w:r>
          </w:p>
        </w:tc>
        <w:tc>
          <w:tcPr>
            <w:tcW w:w="0" w:type="dxa"/>
            <w:vAlign w:val="bottom"/>
          </w:tcPr>
          <w:p>
            <w:pPr>
              <w:spacing w:after="0"/>
              <w:rPr>
                <w:sz w:val="1"/>
                <w:szCs w:val="1"/>
                <w:color w:val="auto"/>
              </w:rPr>
            </w:pPr>
          </w:p>
        </w:tc>
      </w:tr>
      <w:tr>
        <w:trPr>
          <w:trHeight w:val="162"/>
        </w:trPr>
        <w:tc>
          <w:tcPr>
            <w:tcW w:w="4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1460" w:type="dxa"/>
            <w:vAlign w:val="bottom"/>
            <w:gridSpan w:val="3"/>
            <w:vMerge w:val="continue"/>
          </w:tcPr>
          <w:p>
            <w:pPr>
              <w:spacing w:after="0"/>
              <w:rPr>
                <w:sz w:val="14"/>
                <w:szCs w:val="14"/>
                <w:color w:val="auto"/>
              </w:rPr>
            </w:pPr>
          </w:p>
        </w:tc>
        <w:tc>
          <w:tcPr>
            <w:tcW w:w="14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Retained Earnings</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Treasury Stock</w:t>
            </w:r>
          </w:p>
        </w:tc>
        <w:tc>
          <w:tcPr>
            <w:tcW w:w="120" w:type="dxa"/>
            <w:vAlign w:val="bottom"/>
          </w:tcPr>
          <w:p>
            <w:pPr>
              <w:spacing w:after="0"/>
              <w:rPr>
                <w:sz w:val="14"/>
                <w:szCs w:val="14"/>
                <w:color w:val="auto"/>
              </w:rPr>
            </w:pPr>
          </w:p>
        </w:tc>
        <w:tc>
          <w:tcPr>
            <w:tcW w:w="124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0" w:type="dxa"/>
            <w:vAlign w:val="bottom"/>
          </w:tcPr>
          <w:p>
            <w:pPr>
              <w:spacing w:after="0"/>
              <w:rPr>
                <w:sz w:val="1"/>
                <w:szCs w:val="1"/>
                <w:color w:val="auto"/>
              </w:rPr>
            </w:pPr>
          </w:p>
        </w:tc>
      </w:tr>
      <w:tr>
        <w:trPr>
          <w:trHeight w:val="213"/>
        </w:trPr>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Capital</w:t>
            </w:r>
          </w:p>
        </w:tc>
        <w:tc>
          <w:tcPr>
            <w:tcW w:w="14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w w:val="85"/>
              </w:rPr>
              <w:t>Loss</w:t>
            </w:r>
          </w:p>
        </w:tc>
        <w:tc>
          <w:tcPr>
            <w:tcW w:w="0" w:type="dxa"/>
            <w:vAlign w:val="bottom"/>
          </w:tcPr>
          <w:p>
            <w:pPr>
              <w:spacing w:after="0"/>
              <w:rPr>
                <w:sz w:val="1"/>
                <w:szCs w:val="1"/>
                <w:color w:val="auto"/>
              </w:rPr>
            </w:pPr>
          </w:p>
        </w:tc>
      </w:tr>
      <w:tr>
        <w:trPr>
          <w:trHeight w:val="212"/>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331,762</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704,456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(107,216)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(66,477)</w:t>
            </w:r>
          </w:p>
        </w:tc>
        <w:tc>
          <w:tcPr>
            <w:tcW w:w="0" w:type="dxa"/>
            <w:vAlign w:val="bottom"/>
          </w:tcPr>
          <w:p>
            <w:pPr>
              <w:spacing w:after="0"/>
              <w:rPr>
                <w:sz w:val="1"/>
                <w:szCs w:val="1"/>
                <w:color w:val="auto"/>
              </w:rPr>
            </w:pPr>
          </w:p>
        </w:tc>
      </w:tr>
      <w:tr>
        <w:trPr>
          <w:trHeight w:val="207"/>
        </w:trPr>
        <w:tc>
          <w:tcPr>
            <w:tcW w:w="40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129,659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 of tax</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10,524</w:t>
            </w:r>
          </w:p>
        </w:tc>
        <w:tc>
          <w:tcPr>
            <w:tcW w:w="0" w:type="dxa"/>
            <w:vAlign w:val="bottom"/>
          </w:tcPr>
          <w:p>
            <w:pPr>
              <w:spacing w:after="0"/>
              <w:rPr>
                <w:sz w:val="1"/>
                <w:szCs w:val="1"/>
                <w:color w:val="auto"/>
              </w:rPr>
            </w:pPr>
          </w:p>
        </w:tc>
      </w:tr>
      <w:tr>
        <w:trPr>
          <w:trHeight w:val="166"/>
        </w:trPr>
        <w:tc>
          <w:tcPr>
            <w:tcW w:w="4040" w:type="dxa"/>
            <w:vAlign w:val="bottom"/>
          </w:tcPr>
          <w:p>
            <w:pPr>
              <w:ind w:left="140"/>
              <w:spacing w:after="0" w:line="166" w:lineRule="exact"/>
              <w:rPr>
                <w:sz w:val="20"/>
                <w:szCs w:val="20"/>
                <w:color w:val="auto"/>
              </w:rPr>
            </w:pPr>
            <w:r>
              <w:rPr>
                <w:rFonts w:ascii="Arial" w:cs="Arial" w:eastAsia="Arial" w:hAnsi="Arial"/>
                <w:sz w:val="16"/>
                <w:szCs w:val="16"/>
                <w:color w:val="auto"/>
                <w:w w:val="94"/>
              </w:rPr>
              <w:t>Issuance of shares of Class A Common Stock under stock</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(2,767)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1,748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40" w:type="dxa"/>
            <w:vAlign w:val="bottom"/>
          </w:tcPr>
          <w:p>
            <w:pPr>
              <w:ind w:left="140"/>
              <w:spacing w:after="0"/>
              <w:rPr>
                <w:sz w:val="20"/>
                <w:szCs w:val="20"/>
                <w:color w:val="auto"/>
              </w:rPr>
            </w:pPr>
            <w:r>
              <w:rPr>
                <w:rFonts w:ascii="Arial" w:cs="Arial" w:eastAsia="Arial" w:hAnsi="Arial"/>
                <w:sz w:val="16"/>
                <w:szCs w:val="16"/>
                <w:color w:val="auto"/>
              </w:rPr>
              <w:t>plan</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Tax benefit and withholdings from deferred compensation</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Stock-based compensation expense (Note 7)</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shares of Class A Common Stock</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Cash dividends on Common Stock:</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Class A — $0.88 per share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Class B — $0.86 per share</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339,125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788,369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(109,061)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(55,953)</w:t>
            </w:r>
          </w:p>
        </w:tc>
        <w:tc>
          <w:tcPr>
            <w:tcW w:w="0" w:type="dxa"/>
            <w:vAlign w:val="bottom"/>
          </w:tcPr>
          <w:p>
            <w:pPr>
              <w:spacing w:after="0"/>
              <w:rPr>
                <w:sz w:val="1"/>
                <w:szCs w:val="1"/>
                <w:color w:val="auto"/>
              </w:rPr>
            </w:pPr>
          </w:p>
        </w:tc>
      </w:tr>
      <w:tr>
        <w:trPr>
          <w:trHeight w:val="207"/>
        </w:trPr>
        <w:tc>
          <w:tcPr>
            <w:tcW w:w="40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149,979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 net of tax</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(53,124)</w:t>
            </w:r>
          </w:p>
        </w:tc>
        <w:tc>
          <w:tcPr>
            <w:tcW w:w="0" w:type="dxa"/>
            <w:vAlign w:val="bottom"/>
          </w:tcPr>
          <w:p>
            <w:pPr>
              <w:spacing w:after="0"/>
              <w:rPr>
                <w:sz w:val="1"/>
                <w:szCs w:val="1"/>
                <w:color w:val="auto"/>
              </w:rPr>
            </w:pPr>
          </w:p>
        </w:tc>
      </w:tr>
      <w:tr>
        <w:trPr>
          <w:trHeight w:val="166"/>
        </w:trPr>
        <w:tc>
          <w:tcPr>
            <w:tcW w:w="4040" w:type="dxa"/>
            <w:vAlign w:val="bottom"/>
          </w:tcPr>
          <w:p>
            <w:pPr>
              <w:ind w:left="140"/>
              <w:spacing w:after="0" w:line="166" w:lineRule="exact"/>
              <w:rPr>
                <w:sz w:val="20"/>
                <w:szCs w:val="20"/>
                <w:color w:val="auto"/>
              </w:rPr>
            </w:pPr>
            <w:r>
              <w:rPr>
                <w:rFonts w:ascii="Arial" w:cs="Arial" w:eastAsia="Arial" w:hAnsi="Arial"/>
                <w:sz w:val="16"/>
                <w:szCs w:val="16"/>
                <w:color w:val="auto"/>
                <w:w w:val="94"/>
              </w:rPr>
              <w:t>Issuance of shares of Class A Common Stock under stock</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(4,478)</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40" w:type="dxa"/>
            <w:vAlign w:val="bottom"/>
          </w:tcPr>
          <w:p>
            <w:pPr>
              <w:ind w:left="140"/>
              <w:spacing w:after="0"/>
              <w:rPr>
                <w:sz w:val="20"/>
                <w:szCs w:val="20"/>
                <w:color w:val="auto"/>
              </w:rPr>
            </w:pPr>
            <w:r>
              <w:rPr>
                <w:rFonts w:ascii="Arial" w:cs="Arial" w:eastAsia="Arial" w:hAnsi="Arial"/>
                <w:sz w:val="16"/>
                <w:szCs w:val="16"/>
                <w:color w:val="auto"/>
              </w:rPr>
              <w:t>plan</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Tax benefit and withholdings from deferred compensation</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Stock-based compensation expense (Note 7)</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shares of Class A Common Stock</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Cash dividends on Common Stock:</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Class A — $0.90 per share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Class B — $0.88 per share</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345,266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892,417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(217,856)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(109,077)</w:t>
            </w:r>
          </w:p>
        </w:tc>
        <w:tc>
          <w:tcPr>
            <w:tcW w:w="0" w:type="dxa"/>
            <w:vAlign w:val="bottom"/>
          </w:tcPr>
          <w:p>
            <w:pPr>
              <w:spacing w:after="0"/>
              <w:rPr>
                <w:sz w:val="1"/>
                <w:szCs w:val="1"/>
                <w:color w:val="auto"/>
              </w:rPr>
            </w:pPr>
          </w:p>
        </w:tc>
      </w:tr>
      <w:tr>
        <w:trPr>
          <w:trHeight w:val="206"/>
        </w:trPr>
        <w:tc>
          <w:tcPr>
            <w:tcW w:w="40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174,857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income, net of tax</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16,016</w:t>
            </w:r>
          </w:p>
        </w:tc>
        <w:tc>
          <w:tcPr>
            <w:tcW w:w="0" w:type="dxa"/>
            <w:vAlign w:val="bottom"/>
          </w:tcPr>
          <w:p>
            <w:pPr>
              <w:spacing w:after="0"/>
              <w:rPr>
                <w:sz w:val="1"/>
                <w:szCs w:val="1"/>
                <w:color w:val="auto"/>
              </w:rPr>
            </w:pPr>
          </w:p>
        </w:tc>
      </w:tr>
      <w:tr>
        <w:trPr>
          <w:trHeight w:val="166"/>
        </w:trPr>
        <w:tc>
          <w:tcPr>
            <w:tcW w:w="4040" w:type="dxa"/>
            <w:vAlign w:val="bottom"/>
          </w:tcPr>
          <w:p>
            <w:pPr>
              <w:ind w:left="140"/>
              <w:spacing w:after="0" w:line="166" w:lineRule="exact"/>
              <w:rPr>
                <w:sz w:val="20"/>
                <w:szCs w:val="20"/>
                <w:color w:val="auto"/>
              </w:rPr>
            </w:pPr>
            <w:r>
              <w:rPr>
                <w:rFonts w:ascii="Arial" w:cs="Arial" w:eastAsia="Arial" w:hAnsi="Arial"/>
                <w:sz w:val="16"/>
                <w:szCs w:val="16"/>
                <w:color w:val="auto"/>
                <w:w w:val="94"/>
              </w:rPr>
              <w:t>Issuance of shares of Class A Common Stock under stock</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3,119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40" w:type="dxa"/>
            <w:vAlign w:val="bottom"/>
          </w:tcPr>
          <w:p>
            <w:pPr>
              <w:ind w:left="140"/>
              <w:spacing w:after="0"/>
              <w:rPr>
                <w:sz w:val="20"/>
                <w:szCs w:val="20"/>
                <w:color w:val="auto"/>
              </w:rPr>
            </w:pPr>
            <w:r>
              <w:rPr>
                <w:rFonts w:ascii="Arial" w:cs="Arial" w:eastAsia="Arial" w:hAnsi="Arial"/>
                <w:sz w:val="16"/>
                <w:szCs w:val="16"/>
                <w:color w:val="auto"/>
              </w:rPr>
              <w:t>plan</w:t>
            </w:r>
          </w:p>
        </w:tc>
        <w:tc>
          <w:tcPr>
            <w:tcW w:w="12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5"/>
              </w:rPr>
              <w:t>Tax benefit and withholdings from deferred compensation</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distributions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Stock-based compensation expense (Note 7)</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7,508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40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Repurchase of shares of Class A Common Stock,</w:t>
            </w:r>
          </w:p>
        </w:tc>
        <w:tc>
          <w:tcPr>
            <w:tcW w:w="12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(75,472)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including excise taxes</w:t>
            </w:r>
          </w:p>
        </w:tc>
        <w:tc>
          <w:tcPr>
            <w:tcW w:w="12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tcPr>
          <w:p>
            <w:pPr>
              <w:ind w:left="140"/>
              <w:spacing w:after="0"/>
              <w:rPr>
                <w:sz w:val="20"/>
                <w:szCs w:val="20"/>
                <w:color w:val="auto"/>
              </w:rPr>
            </w:pPr>
            <w:r>
              <w:rPr>
                <w:rFonts w:ascii="Arial" w:cs="Arial" w:eastAsia="Arial" w:hAnsi="Arial"/>
                <w:sz w:val="16"/>
                <w:szCs w:val="16"/>
                <w:color w:val="auto"/>
              </w:rPr>
              <w:t>Cash dividends on Common Stock:</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Class A — $0.92 per share</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40" w:type="dxa"/>
            <w:vAlign w:val="bottom"/>
          </w:tcPr>
          <w:p>
            <w:pPr>
              <w:ind w:left="360"/>
              <w:spacing w:after="0"/>
              <w:rPr>
                <w:sz w:val="20"/>
                <w:szCs w:val="20"/>
                <w:color w:val="auto"/>
              </w:rPr>
            </w:pPr>
            <w:r>
              <w:rPr>
                <w:rFonts w:ascii="Arial" w:cs="Arial" w:eastAsia="Arial" w:hAnsi="Arial"/>
                <w:sz w:val="16"/>
                <w:szCs w:val="16"/>
                <w:color w:val="auto"/>
              </w:rPr>
              <w:t>Class B — $0.90 per share</w:t>
            </w: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at July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351,771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1,021,870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(290,209)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(93,061)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-5065395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-5065395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-5065395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-5065395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2023,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19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174,857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149,979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129,659</w:t>
            </w:r>
          </w:p>
        </w:tc>
      </w:tr>
      <w:tr>
        <w:trPr>
          <w:trHeight w:val="219"/>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32,370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34,182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25,483</w:t>
            </w:r>
          </w:p>
        </w:tc>
      </w:tr>
      <w:tr>
        <w:trPr>
          <w:trHeight w:val="219"/>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Stock-based compensation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10,098</w:t>
            </w:r>
          </w:p>
        </w:tc>
      </w:tr>
      <w:tr>
        <w:trPr>
          <w:trHeight w:val="213"/>
        </w:trPr>
        <w:tc>
          <w:tcPr>
            <w:tcW w:w="7140" w:type="dxa"/>
            <w:vAlign w:val="bottom"/>
          </w:tcPr>
          <w:p>
            <w:pPr>
              <w:ind w:left="680"/>
              <w:spacing w:after="0"/>
              <w:rPr>
                <w:sz w:val="20"/>
                <w:szCs w:val="20"/>
                <w:color w:val="auto"/>
              </w:rPr>
            </w:pPr>
            <w:r>
              <w:rPr>
                <w:rFonts w:ascii="Arial" w:cs="Arial" w:eastAsia="Arial" w:hAnsi="Arial"/>
                <w:sz w:val="16"/>
                <w:szCs w:val="16"/>
                <w:color w:val="auto"/>
              </w:rPr>
              <w:t>Gain on sale of business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(3,770)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(8,965)</w:t>
            </w:r>
          </w:p>
        </w:tc>
      </w:tr>
      <w:tr>
        <w:trPr>
          <w:trHeight w:val="213"/>
        </w:trPr>
        <w:tc>
          <w:tcPr>
            <w:tcW w:w="7140" w:type="dxa"/>
            <w:vAlign w:val="bottom"/>
          </w:tcPr>
          <w:p>
            <w:pPr>
              <w:ind w:left="680"/>
              <w:spacing w:after="0"/>
              <w:rPr>
                <w:sz w:val="20"/>
                <w:szCs w:val="20"/>
                <w:color w:val="auto"/>
              </w:rPr>
            </w:pPr>
            <w:r>
              <w:rPr>
                <w:rFonts w:ascii="Arial" w:cs="Arial" w:eastAsia="Arial" w:hAnsi="Arial"/>
                <w:sz w:val="16"/>
                <w:szCs w:val="16"/>
                <w:color w:val="auto"/>
              </w:rPr>
              <w:t>Equity in losses of unconsolidated affiliate</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5,754</w:t>
            </w:r>
          </w:p>
        </w:tc>
      </w:tr>
      <w:tr>
        <w:trPr>
          <w:trHeight w:val="219"/>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w:t>
            </w:r>
          </w:p>
        </w:tc>
      </w:tr>
      <w:tr>
        <w:trPr>
          <w:trHeight w:val="213"/>
        </w:trPr>
        <w:tc>
          <w:tcPr>
            <w:tcW w:w="7140" w:type="dxa"/>
            <w:vAlign w:val="bottom"/>
          </w:tcPr>
          <w:p>
            <w:pPr>
              <w:ind w:left="680"/>
              <w:spacing w:after="0"/>
              <w:rPr>
                <w:sz w:val="20"/>
                <w:szCs w:val="20"/>
                <w:color w:val="auto"/>
              </w:rPr>
            </w:pPr>
            <w:r>
              <w:rPr>
                <w:rFonts w:ascii="Arial" w:cs="Arial" w:eastAsia="Arial" w:hAnsi="Arial"/>
                <w:sz w:val="16"/>
                <w:szCs w:val="16"/>
                <w:color w:val="auto"/>
              </w:rPr>
              <w:t>Changes in operating assets and liabilities (net of effects of business acquisitions):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(12,614)</w:t>
            </w:r>
          </w:p>
        </w:tc>
      </w:tr>
      <w:tr>
        <w:trPr>
          <w:trHeight w:val="213"/>
        </w:trPr>
        <w:tc>
          <w:tcPr>
            <w:tcW w:w="7140" w:type="dxa"/>
            <w:vAlign w:val="bottom"/>
          </w:tcPr>
          <w:p>
            <w:pPr>
              <w:ind w:left="112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(62,907)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7,298</w:t>
            </w:r>
          </w:p>
        </w:tc>
      </w:tr>
      <w:tr>
        <w:trPr>
          <w:trHeight w:val="219"/>
        </w:trPr>
        <w:tc>
          <w:tcPr>
            <w:tcW w:w="7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Prepaid expenses and other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(4,498)</w:t>
            </w:r>
          </w:p>
        </w:tc>
      </w:tr>
      <w:tr>
        <w:trPr>
          <w:trHeight w:val="213"/>
        </w:trPr>
        <w:tc>
          <w:tcPr>
            <w:tcW w:w="7140" w:type="dxa"/>
            <w:vAlign w:val="bottom"/>
          </w:tcPr>
          <w:p>
            <w:pPr>
              <w:ind w:left="1120"/>
              <w:spacing w:after="0"/>
              <w:rPr>
                <w:sz w:val="20"/>
                <w:szCs w:val="20"/>
                <w:color w:val="auto"/>
              </w:rPr>
            </w:pPr>
            <w:r>
              <w:rPr>
                <w:rFonts w:ascii="Arial" w:cs="Arial" w:eastAsia="Arial" w:hAnsi="Arial"/>
                <w:sz w:val="16"/>
                <w:szCs w:val="16"/>
                <w:color w:val="auto"/>
              </w:rPr>
              <w:t>Accounts payable and accrued liabilities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(9,459)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58,283</w:t>
            </w:r>
          </w:p>
        </w:tc>
      </w:tr>
      <w:tr>
        <w:trPr>
          <w:trHeight w:val="219"/>
        </w:trPr>
        <w:tc>
          <w:tcPr>
            <w:tcW w:w="7140" w:type="dxa"/>
            <w:vAlign w:val="bottom"/>
            <w:shd w:val="clear" w:color="auto" w:fill="CCEEFF"/>
          </w:tcPr>
          <w:p>
            <w:pPr>
              <w:ind w:left="1120"/>
              <w:spacing w:after="0"/>
              <w:rPr>
                <w:sz w:val="20"/>
                <w:szCs w:val="20"/>
                <w:color w:val="auto"/>
              </w:rPr>
            </w:pPr>
            <w:r>
              <w:rPr>
                <w:rFonts w:ascii="Arial" w:cs="Arial" w:eastAsia="Arial" w:hAnsi="Arial"/>
                <w:sz w:val="16"/>
                <w:szCs w:val="16"/>
                <w:color w:val="auto"/>
              </w:rPr>
              <w:t>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(4,002)</w:t>
            </w:r>
          </w:p>
        </w:tc>
      </w:tr>
      <w:tr>
        <w:trPr>
          <w:trHeight w:val="207"/>
        </w:trPr>
        <w:tc>
          <w:tcPr>
            <w:tcW w:w="7140" w:type="dxa"/>
            <w:vAlign w:val="bottom"/>
          </w:tcPr>
          <w:p>
            <w:pPr>
              <w:ind w:left="15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209,149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118,449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205,665</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40" w:type="dxa"/>
            <w:vAlign w:val="bottom"/>
          </w:tcPr>
          <w:p>
            <w:pPr>
              <w:ind w:left="680"/>
              <w:spacing w:after="0"/>
              <w:rPr>
                <w:sz w:val="20"/>
                <w:szCs w:val="20"/>
                <w:color w:val="auto"/>
              </w:rPr>
            </w:pPr>
            <w:r>
              <w:rPr>
                <w:rFonts w:ascii="Arial" w:cs="Arial" w:eastAsia="Arial" w:hAnsi="Arial"/>
                <w:sz w:val="16"/>
                <w:szCs w:val="16"/>
                <w:color w:val="auto"/>
              </w:rPr>
              <w:t>Purchases of property, plant and equipment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(19,226)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(43,138)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(27,189)</w:t>
            </w:r>
          </w:p>
        </w:tc>
      </w:tr>
      <w:tr>
        <w:trPr>
          <w:trHeight w:val="219"/>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Sale of business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140" w:type="dxa"/>
            <w:vAlign w:val="bottom"/>
          </w:tcPr>
          <w:p>
            <w:pPr>
              <w:ind w:left="680"/>
              <w:spacing w:after="0"/>
              <w:rPr>
                <w:sz w:val="20"/>
                <w:szCs w:val="20"/>
                <w:color w:val="auto"/>
              </w:rPr>
            </w:pPr>
            <w:r>
              <w:rPr>
                <w:rFonts w:ascii="Arial" w:cs="Arial" w:eastAsia="Arial" w:hAnsi="Arial"/>
                <w:sz w:val="16"/>
                <w:szCs w:val="16"/>
                <w:color w:val="auto"/>
              </w:rPr>
              <w:t>Acquisition of businesses, net of cash acquired</w:t>
            </w:r>
          </w:p>
        </w:tc>
        <w:tc>
          <w:tcPr>
            <w:tcW w:w="2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(243,983)</w:t>
            </w:r>
          </w:p>
        </w:tc>
      </w:tr>
      <w:tr>
        <w:trPr>
          <w:trHeight w:val="219"/>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2,580</w:t>
            </w:r>
          </w:p>
        </w:tc>
      </w:tr>
      <w:tr>
        <w:trPr>
          <w:trHeight w:val="207"/>
        </w:trPr>
        <w:tc>
          <w:tcPr>
            <w:tcW w:w="7140" w:type="dxa"/>
            <w:vAlign w:val="bottom"/>
          </w:tcPr>
          <w:p>
            <w:pPr>
              <w:ind w:left="15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(43,071)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(268,592)</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3"/>
        </w:trPr>
        <w:tc>
          <w:tcPr>
            <w:tcW w:w="7140" w:type="dxa"/>
            <w:vAlign w:val="bottom"/>
          </w:tcPr>
          <w:p>
            <w:pPr>
              <w:ind w:left="680"/>
              <w:spacing w:after="0"/>
              <w:rPr>
                <w:sz w:val="20"/>
                <w:szCs w:val="20"/>
                <w:color w:val="auto"/>
              </w:rPr>
            </w:pPr>
            <w:r>
              <w:rPr>
                <w:rFonts w:ascii="Arial" w:cs="Arial" w:eastAsia="Arial" w:hAnsi="Arial"/>
                <w:sz w:val="16"/>
                <w:szCs w:val="16"/>
                <w:color w:val="auto"/>
              </w:rPr>
              <w:t>Payment of dividends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(45,404)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(45,931)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(45,746)</w:t>
            </w:r>
          </w:p>
        </w:tc>
      </w:tr>
      <w:tr>
        <w:trPr>
          <w:trHeight w:val="219"/>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Proceeds from exercise of stock options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w:t>
            </w:r>
          </w:p>
        </w:tc>
      </w:tr>
      <w:tr>
        <w:trPr>
          <w:trHeight w:val="213"/>
        </w:trPr>
        <w:tc>
          <w:tcPr>
            <w:tcW w:w="7140" w:type="dxa"/>
            <w:vAlign w:val="bottom"/>
          </w:tcPr>
          <w:p>
            <w:pPr>
              <w:ind w:left="680"/>
              <w:spacing w:after="0"/>
              <w:rPr>
                <w:sz w:val="20"/>
                <w:szCs w:val="20"/>
                <w:color w:val="auto"/>
              </w:rPr>
            </w:pPr>
            <w:r>
              <w:rPr>
                <w:rFonts w:ascii="Arial" w:cs="Arial" w:eastAsia="Arial" w:hAnsi="Arial"/>
                <w:sz w:val="16"/>
                <w:szCs w:val="16"/>
                <w:color w:val="auto"/>
              </w:rPr>
              <w:t>Payments for employee taxes withheld from stock-based awards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(2,783)</w:t>
            </w:r>
          </w:p>
        </w:tc>
      </w:tr>
      <w:tr>
        <w:trPr>
          <w:trHeight w:val="219"/>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Purchase of treasury stock</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(3,593)</w:t>
            </w:r>
          </w:p>
        </w:tc>
      </w:tr>
      <w:tr>
        <w:trPr>
          <w:trHeight w:val="213"/>
        </w:trPr>
        <w:tc>
          <w:tcPr>
            <w:tcW w:w="7140" w:type="dxa"/>
            <w:vAlign w:val="bottom"/>
          </w:tcPr>
          <w:p>
            <w:pPr>
              <w:ind w:left="680"/>
              <w:spacing w:after="0"/>
              <w:rPr>
                <w:sz w:val="20"/>
                <w:szCs w:val="20"/>
                <w:color w:val="auto"/>
              </w:rPr>
            </w:pPr>
            <w:r>
              <w:rPr>
                <w:rFonts w:ascii="Arial" w:cs="Arial" w:eastAsia="Arial" w:hAnsi="Arial"/>
                <w:sz w:val="16"/>
                <w:szCs w:val="16"/>
                <w:color w:val="auto"/>
              </w:rPr>
              <w:t>Proceeds from borrowing on credit facilities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127,660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243,716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101,957</w:t>
            </w:r>
          </w:p>
        </w:tc>
      </w:tr>
      <w:tr>
        <w:trPr>
          <w:trHeight w:val="219"/>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Repayment of borrowing on credit facilities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(63,957)</w:t>
            </w:r>
          </w:p>
        </w:tc>
      </w:tr>
      <w:tr>
        <w:trPr>
          <w:trHeight w:val="213"/>
        </w:trPr>
        <w:tc>
          <w:tcPr>
            <w:tcW w:w="71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13"/>
        </w:trPr>
        <w:tc>
          <w:tcPr>
            <w:tcW w:w="7140" w:type="dxa"/>
            <w:vAlign w:val="bottom"/>
            <w:shd w:val="clear" w:color="auto" w:fill="CCEEFF"/>
          </w:tcPr>
          <w:p>
            <w:pPr>
              <w:ind w:left="15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(102,089)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(12,324)</w:t>
            </w:r>
          </w:p>
        </w:tc>
      </w:tr>
      <w:tr>
        <w:trPr>
          <w:trHeight w:val="21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4,943</w:t>
            </w:r>
          </w:p>
        </w:tc>
      </w:tr>
      <w:tr>
        <w:trPr>
          <w:trHeight w:val="212"/>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(33,266)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(70,308)</w:t>
            </w:r>
          </w:p>
        </w:tc>
      </w:tr>
      <w:tr>
        <w:trPr>
          <w:trHeight w:val="213"/>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114,069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147,335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217,643</w:t>
            </w:r>
          </w:p>
        </w:tc>
      </w:tr>
      <w:tr>
        <w:trPr>
          <w:trHeight w:val="235"/>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151,532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114,069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147,335</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7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3"/>
        </w:trPr>
        <w:tc>
          <w:tcPr>
            <w:tcW w:w="7140" w:type="dxa"/>
            <w:vAlign w:val="bottom"/>
          </w:tcPr>
          <w:p>
            <w:pPr>
              <w:ind w:left="360"/>
              <w:spacing w:after="0"/>
              <w:rPr>
                <w:sz w:val="20"/>
                <w:szCs w:val="20"/>
                <w:color w:val="auto"/>
              </w:rPr>
            </w:pPr>
            <w:r>
              <w:rPr>
                <w:rFonts w:ascii="Arial" w:cs="Arial" w:eastAsia="Arial" w:hAnsi="Arial"/>
                <w:sz w:val="16"/>
                <w:szCs w:val="16"/>
                <w:color w:val="auto"/>
              </w:rPr>
              <w:t>Cash paid during the period for:</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71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Interest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r>
      <w:tr>
        <w:trPr>
          <w:trHeight w:val="210"/>
        </w:trPr>
        <w:tc>
          <w:tcPr>
            <w:tcW w:w="7140" w:type="dxa"/>
            <w:vAlign w:val="bottom"/>
          </w:tcPr>
          <w:p>
            <w:pPr>
              <w:ind w:left="680"/>
              <w:spacing w:after="0"/>
              <w:rPr>
                <w:sz w:val="20"/>
                <w:szCs w:val="20"/>
                <w:color w:val="auto"/>
              </w:rPr>
            </w:pPr>
            <w:r>
              <w:rPr>
                <w:rFonts w:ascii="Arial" w:cs="Arial" w:eastAsia="Arial" w:hAnsi="Arial"/>
                <w:sz w:val="16"/>
                <w:szCs w:val="16"/>
                <w:color w:val="auto"/>
              </w:rPr>
              <w:t>Income taxes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58,829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33,834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46,852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-5567680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-5567680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July 31, 2023,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Nature of Operations — </w:t>
      </w:r>
      <w:r>
        <w:rPr>
          <w:rFonts w:ascii="Arial" w:cs="Arial" w:eastAsia="Arial" w:hAnsi="Arial"/>
          <w:sz w:val="18"/>
          <w:szCs w:val="18"/>
          <w:color w:val="auto"/>
        </w:rPr>
        <w:t>Brady Corporation is a global manufacturer and supplier of identification solutions and workplace safety products that identify</w:t>
      </w:r>
      <w:r>
        <w:rPr>
          <w:rFonts w:ascii="Arial" w:cs="Arial" w:eastAsia="Arial" w:hAnsi="Arial"/>
          <w:sz w:val="18"/>
          <w:szCs w:val="18"/>
          <w:i w:val="1"/>
          <w:iCs w:val="1"/>
          <w:color w:val="auto"/>
        </w:rPr>
        <w:t xml:space="preserve"> </w:t>
      </w:r>
      <w:r>
        <w:rPr>
          <w:rFonts w:ascii="Arial" w:cs="Arial" w:eastAsia="Arial" w:hAnsi="Arial"/>
          <w:sz w:val="18"/>
          <w:szCs w:val="18"/>
          <w:color w:val="auto"/>
        </w:rPr>
        <w:t>and protect premises, products and people. The ability to provide customers with a broad range of proprietary, customized, and diverse products for use in various applications, along with a commitment to quality and service, a global footprint, and multiple sales channels, have made Brady a world leader in many of its markets.</w:t>
      </w:r>
    </w:p>
    <w:p>
      <w:pPr>
        <w:spacing w:after="0" w:line="13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Principles of Consolidation — </w:t>
      </w:r>
      <w:r>
        <w:rPr>
          <w:rFonts w:ascii="Arial" w:cs="Arial" w:eastAsia="Arial" w:hAnsi="Arial"/>
          <w:sz w:val="17"/>
          <w:szCs w:val="17"/>
          <w:color w:val="auto"/>
        </w:rPr>
        <w:t>The accompanying consolidated financial statements include the accounts of Brady Corporation and its wholly owned</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All intercompany accounts and transactions between consolidated subsidiaries have been eliminated in consolidation.</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consolidated financial statements have been prepared in accordance with accounting principles generally accepted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("U.S. GAAP"), which requires management to make estimates and assumptions that affect the reported amounts of assets and liabilities and disclosure of contingent assets and liabilities as of the date of the consolidated financial statements, and the reported amounts of revenues and expenses during the reporting period. Actual results could differ from those estimates.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The Company recognizes assets acquired, liabilities assumed, contractual contingencies and contingent consideration at their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on the acquisition date. The operating results of the acquired companies are included in the Company’s consolidated financial statements from the date of acquisition. Acquisition-related costs are expensed as incurred and changes in deferred tax asset valuation allowances and income tax uncertainties after the measurement period are recorded in income tax expense.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Equivalents — </w:t>
      </w:r>
      <w:r>
        <w:rPr>
          <w:rFonts w:ascii="Arial" w:cs="Arial" w:eastAsia="Arial" w:hAnsi="Arial"/>
          <w:sz w:val="18"/>
          <w:szCs w:val="18"/>
          <w:color w:val="auto"/>
        </w:rPr>
        <w:t>The Company considers all highly-liquid investments purchased with original maturities of three months or less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 The Company places temporary cash investments with global financial institutions of high credit quality.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performs periodic evaluations of the relative credit standing of its financial institutions and limits the amount of credit exposure with any one financial institution. In addition, the Company has a broad customer base representing many diverse industries throughout the globe. Consequently, no significant concentration of credit risk is considered to exist.</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Accounts Receivable — </w:t>
      </w:r>
      <w:r>
        <w:rPr>
          <w:rFonts w:ascii="Arial" w:cs="Arial" w:eastAsia="Arial" w:hAnsi="Arial"/>
          <w:sz w:val="18"/>
          <w:szCs w:val="18"/>
          <w:color w:val="auto"/>
        </w:rPr>
        <w:t>The Company's policy for estimating the allowance for credit losses on accounts receivables considers several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historical loss experience, the age of delinquent receivable balances due, and economic conditions. Specific customer reserves are made during review of significant outstanding balances due, in which customer creditworthiness and current economic trends may indicate that it is probable the receivable will not be recovered. Accounts receivable are written off after collection efforts occur and the receivable is deemed uncollectible. Adjustments to the allowance for credit losses are recorded in SG&amp;A expense.</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Equity Method Investment — </w:t>
      </w:r>
      <w:r>
        <w:rPr>
          <w:rFonts w:ascii="Arial" w:cs="Arial" w:eastAsia="Arial" w:hAnsi="Arial"/>
          <w:sz w:val="16"/>
          <w:szCs w:val="16"/>
          <w:color w:val="auto"/>
        </w:rPr>
        <w:t>The equity method of accounting is applied to investments in which the Company has significant influence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and financial decisions of the investee. The Company evaluates its equity method investments each reporting period for evidence of a loss in value that is other than a temporary decline. Evidence of a loss in value might include, but would not necessarily be limited to, absence of an ability to recover the carrying amount of the investment or the inability of the investee to sustain an earnings capacity that would justify the carrying amount of the investment. The Company performed this analysis and concluded that its investment in React Mobile, Inc. was other-than-temporarily impaired and recognized an impairment charge of $4,994 for the Company's remaining equity interest in React Mobile, Inc. during the year ended July 31, 2021.</w:t>
      </w:r>
    </w:p>
    <w:p>
      <w:pPr>
        <w:spacing w:after="0" w:line="11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 xml:space="preserve">Inventories — </w:t>
      </w:r>
      <w:r>
        <w:rPr>
          <w:rFonts w:ascii="Arial" w:cs="Arial" w:eastAsia="Arial" w:hAnsi="Arial"/>
          <w:sz w:val="16"/>
          <w:szCs w:val="16"/>
          <w:color w:val="auto"/>
        </w:rPr>
        <w:t>Inventories are stated at the lower of cost or net realizable value and include material, labor, and overhead. Cost has been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using the last-in, first-out (“LIFO”) method for certain inventories in the U.S. (9.6% of total inventories at July 31, 2023, and 13.3% of total inventories at July 31, 2022) and the first-in, first-out (“FIFO”) or average cost methods for all other inventories. Had all inventories been accounted for on a FIFO basis instead of on a LIFO basis, the carrying value of inventories would have increased by $11,312 and $9,900 as of July 31, 2023 and 2022, respectively.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 of the following as of July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2"/>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products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103,350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112,323</w:t>
            </w:r>
          </w:p>
        </w:tc>
      </w:tr>
      <w:tr>
        <w:trPr>
          <w:trHeight w:val="213"/>
        </w:trPr>
        <w:tc>
          <w:tcPr>
            <w:tcW w:w="8400" w:type="dxa"/>
            <w:vAlign w:val="bottom"/>
          </w:tcPr>
          <w:p>
            <w:pPr>
              <w:ind w:left="20"/>
              <w:spacing w:after="0"/>
              <w:rPr>
                <w:sz w:val="20"/>
                <w:szCs w:val="20"/>
                <w:color w:val="auto"/>
              </w:rPr>
            </w:pPr>
            <w:r>
              <w:rPr>
                <w:rFonts w:ascii="Arial" w:cs="Arial" w:eastAsia="Arial" w:hAnsi="Arial"/>
                <w:sz w:val="16"/>
                <w:szCs w:val="16"/>
                <w:color w:val="auto"/>
              </w:rPr>
              <w:t>Work-in-process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26,884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29,272</w:t>
            </w:r>
          </w:p>
        </w:tc>
      </w:tr>
      <w:tr>
        <w:trPr>
          <w:trHeight w:val="219"/>
        </w:trPr>
        <w:tc>
          <w:tcPr>
            <w:tcW w:w="8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supplies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48,428</w:t>
            </w:r>
          </w:p>
        </w:tc>
      </w:tr>
      <w:tr>
        <w:trPr>
          <w:trHeight w:val="206"/>
        </w:trPr>
        <w:tc>
          <w:tcPr>
            <w:tcW w:w="8400" w:type="dxa"/>
            <w:vAlign w:val="bottom"/>
          </w:tcPr>
          <w:p>
            <w:pPr>
              <w:ind w:left="220"/>
              <w:spacing w:after="0"/>
              <w:rPr>
                <w:sz w:val="20"/>
                <w:szCs w:val="20"/>
                <w:color w:val="auto"/>
              </w:rPr>
            </w:pPr>
            <w:r>
              <w:rPr>
                <w:rFonts w:ascii="Arial" w:cs="Arial" w:eastAsia="Arial" w:hAnsi="Arial"/>
                <w:sz w:val="16"/>
                <w:szCs w:val="16"/>
                <w:color w:val="auto"/>
              </w:rPr>
              <w:t>Total inventories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177,078</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190,023</w:t>
            </w:r>
          </w:p>
        </w:tc>
      </w:tr>
      <w:tr>
        <w:trPr>
          <w:trHeight w:val="24"/>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Property, Plant and Equipment — </w:t>
      </w:r>
      <w:r>
        <w:rPr>
          <w:rFonts w:ascii="Arial" w:cs="Arial" w:eastAsia="Arial" w:hAnsi="Arial"/>
          <w:sz w:val="17"/>
          <w:szCs w:val="17"/>
          <w:color w:val="auto"/>
        </w:rPr>
        <w:t>Property, plant and equipment are stated at cost, less accumulated depreciation. Depreciation is computed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on a straight-line basis over the estimated useful lives of the related assets. Leasehold improvements are depreciated over the shorter of the lease term or the estimated useful life of the respective asset. The estimated useful lives range from 3 to 33 years as shown below.</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consist of the following as of July 31: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20" w:type="dxa"/>
            <w:vAlign w:val="bottom"/>
          </w:tcPr>
          <w:p>
            <w:pPr>
              <w:spacing w:after="0"/>
              <w:rPr>
                <w:sz w:val="18"/>
                <w:szCs w:val="18"/>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Range of Useful Lives</w:t>
            </w: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2"/>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12,273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11,916</w:t>
            </w:r>
          </w:p>
        </w:tc>
      </w:tr>
      <w:tr>
        <w:trPr>
          <w:trHeight w:val="213"/>
        </w:trPr>
        <w:tc>
          <w:tcPr>
            <w:tcW w:w="6320" w:type="dxa"/>
            <w:vAlign w:val="bottom"/>
          </w:tcPr>
          <w:p>
            <w:pPr>
              <w:ind w:left="20"/>
              <w:spacing w:after="0"/>
              <w:rPr>
                <w:sz w:val="20"/>
                <w:szCs w:val="20"/>
                <w:color w:val="auto"/>
              </w:rPr>
            </w:pPr>
            <w:r>
              <w:rPr>
                <w:rFonts w:ascii="Arial" w:cs="Arial" w:eastAsia="Arial" w:hAnsi="Arial"/>
                <w:sz w:val="16"/>
                <w:szCs w:val="16"/>
                <w:color w:val="auto"/>
              </w:rPr>
              <w:t>Buildings and improvements</w:t>
            </w:r>
          </w:p>
        </w:tc>
        <w:tc>
          <w:tcPr>
            <w:tcW w:w="20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10 to 33 Years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130,004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123,619</w:t>
            </w:r>
          </w:p>
        </w:tc>
      </w:tr>
      <w:tr>
        <w:trPr>
          <w:trHeight w:val="219"/>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0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3 to 10 Years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268,527</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progress</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7,825</w:t>
            </w:r>
          </w:p>
        </w:tc>
      </w:tr>
      <w:tr>
        <w:trPr>
          <w:trHeight w:val="212"/>
        </w:trPr>
        <w:tc>
          <w:tcPr>
            <w:tcW w:w="63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Property, plant and equipment—gross</w:t>
            </w: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434,829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411,887</w:t>
            </w:r>
          </w:p>
        </w:tc>
      </w:tr>
      <w:tr>
        <w:trPr>
          <w:trHeight w:val="21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depreciation</w:t>
            </w:r>
          </w:p>
        </w:tc>
        <w:tc>
          <w:tcPr>
            <w:tcW w:w="1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(292,680)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(272,376)</w:t>
            </w:r>
          </w:p>
        </w:tc>
      </w:tr>
      <w:tr>
        <w:trPr>
          <w:trHeight w:val="235"/>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Property, plant and equipment—net</w:t>
            </w:r>
          </w:p>
        </w:tc>
        <w:tc>
          <w:tcPr>
            <w:tcW w:w="1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142,149</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139,511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was $20,631, $19,216, and $18,406 for the years ended July 31, 2023, 2022 and 2021, respectively.</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Goodwill — </w:t>
      </w:r>
      <w:r>
        <w:rPr>
          <w:rFonts w:ascii="Arial" w:cs="Arial" w:eastAsia="Arial" w:hAnsi="Arial"/>
          <w:sz w:val="16"/>
          <w:szCs w:val="16"/>
          <w:color w:val="auto"/>
        </w:rPr>
        <w:t>The Company evaluates the carrying amount of goodwill annually or more frequently if events or changes in circumstances have occurred</w:t>
      </w:r>
      <w:r>
        <w:rPr>
          <w:rFonts w:ascii="Arial" w:cs="Arial" w:eastAsia="Arial" w:hAnsi="Arial"/>
          <w:sz w:val="16"/>
          <w:szCs w:val="16"/>
          <w:i w:val="1"/>
          <w:iCs w:val="1"/>
          <w:color w:val="auto"/>
        </w:rPr>
        <w:t xml:space="preserve"> </w:t>
      </w:r>
      <w:r>
        <w:rPr>
          <w:rFonts w:ascii="Arial" w:cs="Arial" w:eastAsia="Arial" w:hAnsi="Arial"/>
          <w:sz w:val="16"/>
          <w:szCs w:val="16"/>
          <w:color w:val="auto"/>
        </w:rPr>
        <w:t>that indicate the goodwill might be impaired. The Company completes impairment reviews for its reporting units using a fair-value method based on management's judgments and assumptions. When performing its annual impairment assessment, the Company evaluates the recoverability of goodwill assigned to each of its reporting units by comparing the estimated fair value of the respective reporting unit to the carrying value, including goodwill. The Company estimates fair value utilizing the income approach and the market approach. The income approach requires management to make a number of assumptions and estimates for each reporting unit, including projected future operating results, economic projections, anticipated future cash flows, working capital levels, income tax rates, and a weighted-average cost of capital reflecting the specific risk profile of the respective reporting unit. The market approach estimates fair value using performance multiples of comparable publicly-traded companies. In the event the fair value of a reporting unit is less than the carrying value, including goodwill, an impairment loss, if any, is recognized for the difference between the implied fair value and the carrying value of the reporting unit's goodwill. The annual impairment testing performed on May 1, 2023, indicated that all reporting units with goodwill had a fair value substantially in excess of its carrying value. No goodwill impairment charges were recognized during the year ended July 31, 2023.</w:t>
      </w:r>
    </w:p>
    <w:p>
      <w:pPr>
        <w:spacing w:after="0" w:line="11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Other Intangible and Long-Lived Assets — </w:t>
      </w:r>
      <w:r>
        <w:rPr>
          <w:rFonts w:ascii="Arial" w:cs="Arial" w:eastAsia="Arial" w:hAnsi="Arial"/>
          <w:sz w:val="18"/>
          <w:szCs w:val="18"/>
          <w:color w:val="auto"/>
        </w:rPr>
        <w:t>Intangible assets with definite lives are amortized on a straight-line basis over their estimated useful lives to</w:t>
      </w:r>
      <w:r>
        <w:rPr>
          <w:rFonts w:ascii="Arial" w:cs="Arial" w:eastAsia="Arial" w:hAnsi="Arial"/>
          <w:sz w:val="18"/>
          <w:szCs w:val="18"/>
          <w:i w:val="1"/>
          <w:iCs w:val="1"/>
          <w:color w:val="auto"/>
        </w:rPr>
        <w:t xml:space="preserve"> </w:t>
      </w:r>
      <w:r>
        <w:rPr>
          <w:rFonts w:ascii="Arial" w:cs="Arial" w:eastAsia="Arial" w:hAnsi="Arial"/>
          <w:sz w:val="18"/>
          <w:szCs w:val="18"/>
          <w:color w:val="auto"/>
        </w:rPr>
        <w:t>reflect the pattern of economic benefits consumed. Intangible assets with indefinite lives as well as goodwill are not subject to amortization. These assets are assessed for impairment on an annual basis or more frequently if events or changes in circumstances have occurred that indicate the asset may not be recoverable or that the remaining estimated useful life may warrant revision. In addition, the Company performs qualitative assessments on a quarterly basis of significant events and circumstances, such as historical and current results, assumptions regarding future performance, and strategic initiatives and overall economic factors.</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evaluates indefinite-lived intangible assets for impairment by comparing the estimated fair value of the asset to the carrying value. Fair value is estimated using the income approach based upon current sales projections applying the relief from royalty method. If the carrying value of the indefinite-lived intangible asset exceeds its fair value, an impairment loss is recognized in an amount equal to that excess. The Company evaluates long-lived assets, including finite-lived intangible assets, operating lease assets, and property, plant, and equipment, for recoverability by comparing an estimate of undiscounted future cash flows, derived from internal forecasts, over the remaining life of the primary asset to the carrying amount of the asset group. To the extent the undiscounted future cash flows attributable to the asset are less than the carrying amount, an impairment loss is recognized for the amount by which the carrying value of the asset exceeds its fair value.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fiscal 2023, long-lived and other intangible assets were analyzed for potential impairment. As a result of the analysis, no impairment charges were recorded.</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 The Company accounts for leases in accordance with Accounting Standards Codification ("ASC") 842 "Leases." The Company determines</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an arrangement contains a lease at contract inception based on whether the arrangement provides the Company with the right to direct the use of and the right to obtain substantially all of the economic benefits from an identified asset in exchange for consideration. The Company recognizes a right-of-use ("ROU") asset and lease liability for its lease commitments with initial terms greater than one year.</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initial measurement of ROU assets and lease liabilities are recognized at the lease commencement date based on the present value of future lease payments over the expected lease term. The ROU asset also includes any lease payments made on or before the commencement date, initial direct costs incurred, and is reduced by any lease incentives received. Some of the Company’s leases include options to extend the lease agreement, of which the exercise is at the Company’s sole discretion. The majority of renewal options are not included in the calculation of ROU assets and liabilities as they are not reasonably certain to be exercised. Some of the Company's lease agreements include rental payments that are adjusted periodically for inflation or the change in an index or rate. These variable lease payments are generally excluded from the initial measurement of the ROU asset and lease liability and are recognized in the period in which the obligation for those payments is incurred. The Company has lease agreements that include both lease and non-lease components, which the Company elected to account for as a single lease component.</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determines the present value of future lease payments using its incremental borrowing rate, as the discount rate implicit within the Company’s leases generally cannot be readily determined. The incremental borrowing rate is estimated based on the sovereign credit rating for the countries in which the Company has its largest operations, adjusted for several factors, such as internal credit spread, lease terms, and other market information available at the lease commencement date.</w:t>
      </w:r>
    </w:p>
    <w:p>
      <w:pPr>
        <w:spacing w:after="0" w:line="13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of July 31, 2023, all leases are accounted for as operating leases, with lease expense being recognized on a straight-line basis over the lease term. Operating leases are reflected in “Operating lease assets,” “Current operating lease liabilities,” and “Long-term operating lease liabilities” in the accompanying Consolidated Balance Sheets. Operating lease expense is recognized in either cost of goods sold or selling, general, and administrative expenses in the Consolidated Statements of Income, based on the nature of the lease. ROU assets are evaluated for impairment in the same manner as long-lived assets. No impairment charges were recognized related to operating lease assets during the year ended July 31, 2023.</w:t>
      </w:r>
    </w:p>
    <w:p>
      <w:pPr>
        <w:spacing w:after="0" w:line="10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Revenue Recognition — </w:t>
      </w:r>
      <w:r>
        <w:rPr>
          <w:rFonts w:ascii="Arial" w:cs="Arial" w:eastAsia="Arial" w:hAnsi="Arial"/>
          <w:sz w:val="17"/>
          <w:szCs w:val="17"/>
          <w:color w:val="auto"/>
        </w:rPr>
        <w:t>The majority of the Company’s revenue relates to the sale of identification solutions and workplace safety products to</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The Company accounts for revenue in accordance with ASC Topic 606 "Revenue from Contracts with Customers." Revenue is recognized when control of the product or service transfers to the customer in an amount that represents the consideration expected to be received in exchange for those products and services. The Company considers control to have transferred when legal title, physical possession, and the significant risks and rewards of ownership of the asset have transferred to the customer and the collection of the transaction price is reasonably assured, most of which occur upon shipment or delivery of goods to customers. Given the nature of the Company’s business, revenue recognition practices do not contain estimates that materially affect the results of operations, with the exception of estimated customer returns and credit memos. The Company records an allowance for estimated product returns and credit memos using the expected value method based on historical experience, which is recognized as a deduction from net sales at the time of sale. As of July 31, 2023 and 2022, the Company had a reserve for estimated product returns and credit memos of $4,801 and $4,415, respectively.</w:t>
      </w:r>
    </w:p>
    <w:p>
      <w:pPr>
        <w:spacing w:after="0" w:line="13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Sales Incentives — </w:t>
      </w:r>
      <w:r>
        <w:rPr>
          <w:rFonts w:ascii="Arial" w:cs="Arial" w:eastAsia="Arial" w:hAnsi="Arial"/>
          <w:sz w:val="16"/>
          <w:szCs w:val="16"/>
          <w:color w:val="auto"/>
        </w:rPr>
        <w:t>The Company accounts for cash consideration (such as sales incentives, rebates, and cash discounts) given to its customers or</w:t>
      </w:r>
      <w:r>
        <w:rPr>
          <w:rFonts w:ascii="Arial" w:cs="Arial" w:eastAsia="Arial" w:hAnsi="Arial"/>
          <w:sz w:val="16"/>
          <w:szCs w:val="16"/>
          <w:i w:val="1"/>
          <w:iCs w:val="1"/>
          <w:color w:val="auto"/>
        </w:rPr>
        <w:t xml:space="preserve"> </w:t>
      </w:r>
      <w:r>
        <w:rPr>
          <w:rFonts w:ascii="Arial" w:cs="Arial" w:eastAsia="Arial" w:hAnsi="Arial"/>
          <w:sz w:val="16"/>
          <w:szCs w:val="16"/>
          <w:color w:val="auto"/>
        </w:rPr>
        <w:t>resellers as a reduction of revenue. Sales incentives for the years ended July 31, 2023, 2022, and 2021 were $53,867, $50,265, and $38,876, respectively.</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Shipping and Handling Costs — </w:t>
      </w:r>
      <w:r>
        <w:rPr>
          <w:rFonts w:ascii="Arial" w:cs="Arial" w:eastAsia="Arial" w:hAnsi="Arial"/>
          <w:sz w:val="18"/>
          <w:szCs w:val="18"/>
          <w:color w:val="auto"/>
        </w:rPr>
        <w:t>Shipping and handling fees billed to a customer in a sale transaction are reported as net sales and the related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for shipping and handling are reported in cost of goods sold.</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Advertising Costs — </w:t>
      </w:r>
      <w:r>
        <w:rPr>
          <w:rFonts w:ascii="Arial" w:cs="Arial" w:eastAsia="Arial" w:hAnsi="Arial"/>
          <w:sz w:val="18"/>
          <w:szCs w:val="18"/>
          <w:color w:val="auto"/>
        </w:rPr>
        <w:t>Advertising costs are expensed as incurred. Advertising expense for the years ended July 31, 2023, 2022, and 2021 was $53,591,</w:t>
      </w:r>
      <w:r>
        <w:rPr>
          <w:rFonts w:ascii="Arial" w:cs="Arial" w:eastAsia="Arial" w:hAnsi="Arial"/>
          <w:sz w:val="18"/>
          <w:szCs w:val="18"/>
          <w:i w:val="1"/>
          <w:iCs w:val="1"/>
          <w:color w:val="auto"/>
        </w:rPr>
        <w:t xml:space="preserve"> </w:t>
      </w:r>
      <w:r>
        <w:rPr>
          <w:rFonts w:ascii="Arial" w:cs="Arial" w:eastAsia="Arial" w:hAnsi="Arial"/>
          <w:sz w:val="18"/>
          <w:szCs w:val="18"/>
          <w:color w:val="auto"/>
        </w:rPr>
        <w:t>$55,568, and $54,370, respectively.</w:t>
      </w:r>
    </w:p>
    <w:p>
      <w:pPr>
        <w:spacing w:after="0" w:line="11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Stock-Based Compensation — </w:t>
      </w:r>
      <w:r>
        <w:rPr>
          <w:rFonts w:ascii="Arial" w:cs="Arial" w:eastAsia="Arial" w:hAnsi="Arial"/>
          <w:sz w:val="17"/>
          <w:szCs w:val="17"/>
          <w:color w:val="auto"/>
        </w:rPr>
        <w:t>The Company measures and recognizes the compensation expense for all share-based awards made to employees and</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based on estimated grant-date fair values. The Black-Scholes option valuation model is used to determine the fair value of stock option awards on the date of grant. The Company recognizes the compensation cost, net of estimated forfeitures, of all share-based awards on a straight-line basis over the vesting period of the award. If it is determined that it is unlikely the award will vest, the expense recognized to date for the award is generally reversed in the period in which this is evident and the remaining expense is not recorded.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Black-Scholes model requires the use of assumptions which determine the fair value of stock-based awards. The Company uses historical data regarding stock option exercise behaviors to estimate the expected term of options granted based on the period of time that options granted are expected to be outstanding. Expected volatilities are based on the historical volatility of the Company’s stock. The expected dividend yield is based on the Company’s historical dividend payments and historical yield. The risk-free interest rate is based on the U.S. Treasury yield curve in effect on the grant date for the length of time corresponding to the expected term of the option. The market value is calculated as the average of the high and the low stock price on the date of the grant. Refer to Note 7, “Stockholders' Equity” for more information regarding the Company’s incentive stock plans.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Research and Development — </w:t>
      </w:r>
      <w:r>
        <w:rPr>
          <w:rFonts w:ascii="Arial" w:cs="Arial" w:eastAsia="Arial" w:hAnsi="Arial"/>
          <w:sz w:val="18"/>
          <w:szCs w:val="18"/>
          <w:color w:val="auto"/>
        </w:rPr>
        <w:t>Amounts expended for research and development are expensed as incurred.</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Other Comprehensive Income — </w:t>
      </w:r>
      <w:r>
        <w:rPr>
          <w:rFonts w:ascii="Arial" w:cs="Arial" w:eastAsia="Arial" w:hAnsi="Arial"/>
          <w:sz w:val="17"/>
          <w:szCs w:val="17"/>
          <w:color w:val="auto"/>
        </w:rPr>
        <w:t>Other comprehensive income consists of net unrealized gains and losses from cash flow hedges, the unamortized gain</w:t>
      </w:r>
      <w:r>
        <w:rPr>
          <w:rFonts w:ascii="Arial" w:cs="Arial" w:eastAsia="Arial" w:hAnsi="Arial"/>
          <w:sz w:val="17"/>
          <w:szCs w:val="17"/>
          <w:i w:val="1"/>
          <w:iCs w:val="1"/>
          <w:color w:val="auto"/>
        </w:rPr>
        <w:t xml:space="preserve"> </w:t>
      </w:r>
      <w:r>
        <w:rPr>
          <w:rFonts w:ascii="Arial" w:cs="Arial" w:eastAsia="Arial" w:hAnsi="Arial"/>
          <w:sz w:val="17"/>
          <w:szCs w:val="17"/>
          <w:color w:val="auto"/>
        </w:rPr>
        <w:t>on defined-benefit pension plans net of their related tax effects, and foreign currency translation adjustments, which includes the impact of foreign currency translations, the settlements of net investment hedges, and long-term intercompany loan translation adjustments.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Foreign Currency Translation — </w:t>
      </w:r>
      <w:r>
        <w:rPr>
          <w:rFonts w:ascii="Arial" w:cs="Arial" w:eastAsia="Arial" w:hAnsi="Arial"/>
          <w:sz w:val="18"/>
          <w:szCs w:val="18"/>
          <w:color w:val="auto"/>
        </w:rPr>
        <w:t>The assets and liabilities of subsidiaries whose functional currency is a currency other than the U.S. dollar are</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translated into U.S. dollars at end of period rates of exchange, and income and expense accounts are translated at the average rates of exchange for the period. Resulting foreign currency translation adjustments are included in other comprehensive income.</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Income Taxes — </w:t>
      </w:r>
      <w:r>
        <w:rPr>
          <w:rFonts w:ascii="Arial" w:cs="Arial" w:eastAsia="Arial" w:hAnsi="Arial"/>
          <w:sz w:val="16"/>
          <w:szCs w:val="16"/>
          <w:color w:val="auto"/>
        </w:rPr>
        <w:t>The Company accounts for income taxes in accordance with ASC 740 "Income Taxes." Deferred income tax assets and liabilities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recognized for the expected future tax consequences attributable to differences between the financial reporting and tax basis of assets and liabilities. Deferred tax assets and liabilities are measured using the currently enacted tax laws and rates applicable to the periods in which the differences are expected to be realized or settled. Valuation allowances are established when it is estimated that it is more likely than not that the tax benefit of the deferred tax asset will not be realized. The Company recognizes the benefit of income tax positions only if those positions are more likely than not to be sustained upon examination by the tax authority. Changes in recognition or measurement are reflected in the period in which a change in judgment occurs.</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Fair Value of Financial Instruments — </w:t>
      </w:r>
      <w:r>
        <w:rPr>
          <w:rFonts w:ascii="Arial" w:cs="Arial" w:eastAsia="Arial" w:hAnsi="Arial"/>
          <w:sz w:val="18"/>
          <w:szCs w:val="18"/>
          <w:color w:val="auto"/>
        </w:rPr>
        <w:t>The Company believes that the carrying amount of its financial instruments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receivable, accounts payable, and other current liabilities) approximates fair value due to the short-term nature of these instruments. Refer to Note 6, "Debt" for more information regarding the fair value of long-term debt and Note 13, "Fair Value Measurements" for information regarding fair value measurements.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 xml:space="preserve">Foreign Currency Hedging — </w:t>
      </w:r>
      <w:r>
        <w:rPr>
          <w:rFonts w:ascii="Arial" w:cs="Arial" w:eastAsia="Arial" w:hAnsi="Arial"/>
          <w:sz w:val="17"/>
          <w:szCs w:val="17"/>
          <w:color w:val="auto"/>
        </w:rPr>
        <w:t>The objective of the Company’s foreign currency exchange risk management is to minimize the impact of currency</w:t>
      </w:r>
      <w:r>
        <w:rPr>
          <w:rFonts w:ascii="Arial" w:cs="Arial" w:eastAsia="Arial" w:hAnsi="Arial"/>
          <w:sz w:val="17"/>
          <w:szCs w:val="17"/>
          <w:i w:val="1"/>
          <w:iCs w:val="1"/>
          <w:color w:val="auto"/>
        </w:rPr>
        <w:t xml:space="preserve"> </w:t>
      </w:r>
      <w:r>
        <w:rPr>
          <w:rFonts w:ascii="Arial" w:cs="Arial" w:eastAsia="Arial" w:hAnsi="Arial"/>
          <w:sz w:val="17"/>
          <w:szCs w:val="17"/>
          <w:color w:val="auto"/>
        </w:rPr>
        <w:t>movements on non-functional currency transactions and minimize the foreign currency translation impact on the Company’s foreign operations. While the Company’s risk management objectives and strategies are driven from an economic perspective, the Company attempts, where possible and practical, to ensure that the hedging strategies it engages in qualify for hedge accounting and result in accounting treatment where the earnings effect of the hedging instrument provides substantial offset (in the same period) to the income effect of the hedged item.</w:t>
      </w:r>
    </w:p>
    <w:p>
      <w:pPr>
        <w:spacing w:after="0" w:line="12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recognizes derivative instruments as either assets or liabilities in the accompanying Consolidated Balance Sheets at fair value. Gains and losses resulting from changes in fair value of the derivatives designated as hedges are recorded as a component of Accumulated Other Comprehensive Income ("AOCI") in the accompanying Consolidated Balance Sheets and in the Consolidated Statements of Comprehensive Income and are reclassified into the same income statement line item in the period or periods during which the hedged transaction affects income. Refer to Note 14, "Derivatives and Hedging Activities" for more information regarding the Company’s derivative instruments and hedging activities.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Accounting Standards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October 2021, the FASB issued ASU No. 2021-08, “Business Combinations (Topic 805), Accounting for Contract Assets and Contract Liabilities from Contracts with Customers,” which requires contract assets and contract liabilities (e.g. deferred revenue) acquired in a business combination to be recognized and measured by the acquirer on the acquisition date in accordance with ASC 606, “Revenue from Contracts with Customers” as if the acquirer had originated the contracts. The guidance is applied prospectively to acquisitions occurring on or after the effective date. The Company early adopted ASU No. 2021-08 during the quarter ended October 31, 2022. The adoption of the new standard will only have an impact on the Company's consolidated financial statements in the event of future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Goodwill</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by reportable segment for the years ended July 31, 2023 and 2022,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IDS</w:t>
            </w:r>
          </w:p>
        </w:tc>
        <w:tc>
          <w:tcPr>
            <w:tcW w:w="100" w:type="dxa"/>
            <w:vAlign w:val="bottom"/>
            <w:vMerge w:val="restart"/>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WPS</w:t>
            </w:r>
          </w:p>
        </w:tc>
        <w:tc>
          <w:tcPr>
            <w:tcW w:w="10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Americas &amp;</w:t>
            </w:r>
          </w:p>
        </w:tc>
        <w:tc>
          <w:tcPr>
            <w:tcW w:w="18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Europe &amp;</w:t>
            </w:r>
          </w:p>
        </w:tc>
        <w:tc>
          <w:tcPr>
            <w:tcW w:w="260" w:type="dxa"/>
            <w:vAlign w:val="bottom"/>
          </w:tcPr>
          <w:p>
            <w:pPr>
              <w:spacing w:after="0"/>
              <w:rPr>
                <w:sz w:val="16"/>
                <w:szCs w:val="16"/>
                <w:color w:val="auto"/>
              </w:rPr>
            </w:pPr>
          </w:p>
        </w:tc>
        <w:tc>
          <w:tcPr>
            <w:tcW w:w="9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Asia</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Australia</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July 31, 2021</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578,935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35,202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614,137</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360"/>
              <w:spacing w:after="0"/>
              <w:rPr>
                <w:sz w:val="20"/>
                <w:szCs w:val="20"/>
                <w:color w:val="auto"/>
              </w:rPr>
            </w:pPr>
            <w:r>
              <w:rPr>
                <w:rFonts w:ascii="Arial" w:cs="Arial" w:eastAsia="Arial" w:hAnsi="Arial"/>
                <w:sz w:val="16"/>
                <w:szCs w:val="16"/>
                <w:color w:val="auto"/>
              </w:rPr>
              <w:t>Working capital adjustment</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8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Translation adjustments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(22,091)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(26,612)</w:t>
            </w:r>
          </w:p>
        </w:tc>
        <w:tc>
          <w:tcPr>
            <w:tcW w:w="0" w:type="dxa"/>
            <w:vAlign w:val="bottom"/>
          </w:tcPr>
          <w:p>
            <w:pPr>
              <w:spacing w:after="0"/>
              <w:rPr>
                <w:sz w:val="1"/>
                <w:szCs w:val="1"/>
                <w:color w:val="auto"/>
              </w:rPr>
            </w:pPr>
          </w:p>
        </w:tc>
      </w:tr>
      <w:tr>
        <w:trPr>
          <w:trHeight w:val="206"/>
        </w:trPr>
        <w:tc>
          <w:tcPr>
            <w:tcW w:w="4840" w:type="dxa"/>
            <w:vAlign w:val="bottom"/>
          </w:tcPr>
          <w:p>
            <w:pPr>
              <w:ind w:left="20"/>
              <w:spacing w:after="0"/>
              <w:rPr>
                <w:sz w:val="20"/>
                <w:szCs w:val="20"/>
                <w:color w:val="auto"/>
              </w:rPr>
            </w:pPr>
            <w:r>
              <w:rPr>
                <w:rFonts w:ascii="Arial" w:cs="Arial" w:eastAsia="Arial" w:hAnsi="Arial"/>
                <w:sz w:val="16"/>
                <w:szCs w:val="16"/>
                <w:color w:val="auto"/>
              </w:rPr>
              <w:t>Balance as of July 31, 2022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556,151</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30,681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586,832</w:t>
            </w: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Translation adjustments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7,768</w:t>
            </w:r>
          </w:p>
        </w:tc>
        <w:tc>
          <w:tcPr>
            <w:tcW w:w="0" w:type="dxa"/>
            <w:vAlign w:val="bottom"/>
          </w:tcPr>
          <w:p>
            <w:pPr>
              <w:spacing w:after="0"/>
              <w:rPr>
                <w:sz w:val="1"/>
                <w:szCs w:val="1"/>
                <w:color w:val="auto"/>
              </w:rPr>
            </w:pPr>
          </w:p>
        </w:tc>
      </w:tr>
      <w:tr>
        <w:trPr>
          <w:trHeight w:val="213"/>
        </w:trPr>
        <w:tc>
          <w:tcPr>
            <w:tcW w:w="4840" w:type="dxa"/>
            <w:vAlign w:val="bottom"/>
          </w:tcPr>
          <w:p>
            <w:pPr>
              <w:ind w:left="360"/>
              <w:spacing w:after="0"/>
              <w:rPr>
                <w:sz w:val="20"/>
                <w:szCs w:val="20"/>
                <w:color w:val="auto"/>
              </w:rPr>
            </w:pPr>
            <w:r>
              <w:rPr>
                <w:rFonts w:ascii="Arial" w:cs="Arial" w:eastAsia="Arial" w:hAnsi="Arial"/>
                <w:sz w:val="16"/>
                <w:szCs w:val="16"/>
                <w:color w:val="auto"/>
              </w:rPr>
              <w:t>Reallocation due to change in segments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(559,470)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(31,306)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442,290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148,486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Divestiture of business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07"/>
        </w:trPr>
        <w:tc>
          <w:tcPr>
            <w:tcW w:w="4840" w:type="dxa"/>
            <w:vAlign w:val="bottom"/>
          </w:tcPr>
          <w:p>
            <w:pPr>
              <w:ind w:left="20"/>
              <w:spacing w:after="0"/>
              <w:rPr>
                <w:sz w:val="20"/>
                <w:szCs w:val="20"/>
                <w:color w:val="auto"/>
              </w:rPr>
            </w:pPr>
            <w:r>
              <w:rPr>
                <w:rFonts w:ascii="Arial" w:cs="Arial" w:eastAsia="Arial" w:hAnsi="Arial"/>
                <w:sz w:val="16"/>
                <w:szCs w:val="16"/>
                <w:color w:val="auto"/>
              </w:rPr>
              <w:t>Balance as of July 31, 2023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441,415</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151,231</w:t>
            </w:r>
          </w:p>
        </w:tc>
        <w:tc>
          <w:tcPr>
            <w:tcW w:w="12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592,646</w:t>
            </w: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Effective February 1, 2023, the Company is organized and managed within two regions: Americas &amp; Asia and Europe &amp; Australia, which are the reportable segments. Prior to February 1, 2023, the Company was organized and managed on a global basis within two business platforms: IDS and WPS. As a result, goodwill was allocated to the new reportable segments in accordance with ASC 350, "Intangibles - Goodwill and Other." Refer to Note 10, "Segment Information," and Management's Discussion and Analysis for additional information regarding the Company's segment change.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Goodwill increased $5,814 during the year ended July 31, 2023 mainly due to the positive effects of foreign currency translation, which was partially offset by a reduction due to the sale of our PremiSys business within the Americas &amp; Asia segment.</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Goodwill declined $27,305 during the year ended July 31, 2022 mainly due to the negative effects of foreign currency translation. In addition, the final working capital adjustment from the acquisition of Code decreased the goodwill balance by $693.</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annual impairment testing performed on May 1, 2023, in accordance with ASC 350, “Intangibles - Goodwill and Other” indicated that all of the reporting units with goodwill (North America, Europe and Latin America) had a fair value substantially in excess of its carrying value.</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Other Intangible Assets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Other intangible assets include customer relationships, tradenames, and technology with finite lives being amortized in accordance with the accounting guidance for other intangible assets. The Company also has unamortized indefinite-lived tradenames that are classified as other intangible assets.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intangible assets as of July 31, 2023 and 2022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ind w:left="300"/>
              <w:spacing w:after="0"/>
              <w:rPr>
                <w:sz w:val="20"/>
                <w:szCs w:val="20"/>
                <w:color w:val="auto"/>
              </w:rPr>
            </w:pPr>
            <w:r>
              <w:rPr>
                <w:rFonts w:ascii="Arial" w:cs="Arial" w:eastAsia="Arial" w:hAnsi="Arial"/>
                <w:sz w:val="14"/>
                <w:szCs w:val="14"/>
                <w:b w:val="1"/>
                <w:bCs w:val="1"/>
                <w:color w:val="auto"/>
              </w:rPr>
              <w:t>July 31, 2023</w:t>
            </w: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5"/>
          </w:tcPr>
          <w:p>
            <w:pPr>
              <w:ind w:left="320"/>
              <w:spacing w:after="0"/>
              <w:rPr>
                <w:sz w:val="20"/>
                <w:szCs w:val="20"/>
                <w:color w:val="auto"/>
              </w:rPr>
            </w:pPr>
            <w:r>
              <w:rPr>
                <w:rFonts w:ascii="Arial" w:cs="Arial" w:eastAsia="Arial" w:hAnsi="Arial"/>
                <w:sz w:val="14"/>
                <w:szCs w:val="14"/>
                <w:b w:val="1"/>
                <w:bCs w:val="1"/>
                <w:color w:val="auto"/>
              </w:rPr>
              <w:t>July 31, 2022</w:t>
            </w: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6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60" w:type="dxa"/>
            <w:vAlign w:val="bottom"/>
          </w:tcPr>
          <w:p>
            <w:pPr>
              <w:spacing w:after="0"/>
              <w:rPr>
                <w:sz w:val="11"/>
                <w:szCs w:val="11"/>
                <w:color w:val="auto"/>
              </w:rPr>
            </w:pPr>
          </w:p>
        </w:tc>
        <w:tc>
          <w:tcPr>
            <w:tcW w:w="12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Book</w:t>
            </w: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72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96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Period (Years)</w:t>
            </w:r>
          </w:p>
        </w:tc>
        <w:tc>
          <w:tcPr>
            <w:tcW w:w="12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7"/>
                <w:szCs w:val="17"/>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Period (Years)</w:t>
            </w:r>
          </w:p>
        </w:tc>
        <w:tc>
          <w:tcPr>
            <w:tcW w:w="10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7"/>
                <w:szCs w:val="17"/>
                <w:color w:val="auto"/>
              </w:rPr>
            </w:pPr>
          </w:p>
        </w:tc>
        <w:tc>
          <w:tcPr>
            <w:tcW w:w="580" w:type="dxa"/>
            <w:vAlign w:val="bottom"/>
          </w:tcPr>
          <w:p>
            <w:pPr>
              <w:jc w:val="right"/>
              <w:ind w:right="1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9"/>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Amortized other intangible assets:</w:t>
            </w: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7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180"/>
              <w:spacing w:after="0"/>
              <w:rPr>
                <w:sz w:val="20"/>
                <w:szCs w:val="20"/>
                <w:color w:val="auto"/>
              </w:rPr>
            </w:pPr>
            <w:r>
              <w:rPr>
                <w:rFonts w:ascii="Arial" w:cs="Arial" w:eastAsia="Arial" w:hAnsi="Arial"/>
                <w:sz w:val="14"/>
                <w:szCs w:val="14"/>
                <w:color w:val="auto"/>
              </w:rPr>
              <w:t>Tradenames</w:t>
            </w:r>
          </w:p>
        </w:tc>
        <w:tc>
          <w:tcPr>
            <w:tcW w:w="1100" w:type="dxa"/>
            <w:vAlign w:val="bottom"/>
          </w:tcPr>
          <w:p>
            <w:pPr>
              <w:jc w:val="center"/>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1,114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(947)</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167</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76"/>
              </w:rPr>
              <w:t>3</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1,749</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(1,014)</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Customer relationships</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64,513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(15,947)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48,566</w:t>
            </w:r>
          </w:p>
        </w:tc>
        <w:tc>
          <w:tcPr>
            <w:tcW w:w="1220" w:type="dxa"/>
            <w:vAlign w:val="bottom"/>
            <w:tcBorders>
              <w:bottom w:val="single" w:sz="8" w:color="CCEEFF"/>
            </w:tcBorders>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76"/>
              </w:rPr>
              <w:t>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105,404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(48,428)</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56,976</w:t>
            </w:r>
          </w:p>
        </w:tc>
        <w:tc>
          <w:tcPr>
            <w:tcW w:w="0" w:type="dxa"/>
            <w:vAlign w:val="bottom"/>
          </w:tcPr>
          <w:p>
            <w:pPr>
              <w:spacing w:after="0"/>
              <w:rPr>
                <w:sz w:val="1"/>
                <w:szCs w:val="1"/>
                <w:color w:val="auto"/>
              </w:rPr>
            </w:pPr>
          </w:p>
        </w:tc>
      </w:tr>
      <w:tr>
        <w:trPr>
          <w:trHeight w:val="182"/>
        </w:trPr>
        <w:tc>
          <w:tcPr>
            <w:tcW w:w="2960" w:type="dxa"/>
            <w:vAlign w:val="bottom"/>
          </w:tcPr>
          <w:p>
            <w:pPr>
              <w:ind w:left="180"/>
              <w:spacing w:after="0"/>
              <w:rPr>
                <w:sz w:val="20"/>
                <w:szCs w:val="20"/>
                <w:color w:val="auto"/>
              </w:rPr>
            </w:pPr>
            <w:r>
              <w:rPr>
                <w:rFonts w:ascii="Arial" w:cs="Arial" w:eastAsia="Arial" w:hAnsi="Arial"/>
                <w:sz w:val="14"/>
                <w:szCs w:val="14"/>
                <w:color w:val="auto"/>
              </w:rPr>
              <w:t>Technology</w:t>
            </w:r>
          </w:p>
        </w:tc>
        <w:tc>
          <w:tcPr>
            <w:tcW w:w="1100" w:type="dxa"/>
            <w:vAlign w:val="bottom"/>
          </w:tcPr>
          <w:p>
            <w:pPr>
              <w:jc w:val="center"/>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(4,235)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5,078</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76"/>
              </w:rPr>
              <w:t>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9,136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(2,241)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6,895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Unamortized other intangible assets:</w:t>
            </w: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960" w:type="dxa"/>
            <w:vAlign w:val="bottom"/>
          </w:tcPr>
          <w:p>
            <w:pPr>
              <w:ind w:left="180"/>
              <w:spacing w:after="0"/>
              <w:rPr>
                <w:sz w:val="20"/>
                <w:szCs w:val="20"/>
                <w:color w:val="auto"/>
              </w:rPr>
            </w:pPr>
            <w:r>
              <w:rPr>
                <w:rFonts w:ascii="Arial" w:cs="Arial" w:eastAsia="Arial" w:hAnsi="Arial"/>
                <w:sz w:val="14"/>
                <w:szCs w:val="14"/>
                <w:color w:val="auto"/>
              </w:rPr>
              <w:t>Tradenames</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8,285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8,285</w:t>
            </w:r>
          </w:p>
        </w:tc>
        <w:tc>
          <w:tcPr>
            <w:tcW w:w="12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9,422</w:t>
            </w:r>
          </w:p>
        </w:tc>
        <w:tc>
          <w:tcPr>
            <w:tcW w:w="0" w:type="dxa"/>
            <w:vAlign w:val="bottom"/>
          </w:tcPr>
          <w:p>
            <w:pPr>
              <w:spacing w:after="0"/>
              <w:rPr>
                <w:sz w:val="1"/>
                <w:szCs w:val="1"/>
                <w:color w:val="auto"/>
              </w:rPr>
            </w:pPr>
          </w:p>
        </w:tc>
      </w:tr>
      <w:tr>
        <w:trPr>
          <w:trHeight w:val="20"/>
        </w:trPr>
        <w:tc>
          <w:tcPr>
            <w:tcW w:w="29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83,225</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(21,129)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62,096</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125,711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(51,683)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74,028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decrease in the gross carrying amount of amortized other intangible assets as of July 31, 2023 compared to July 31, 2022 was primarily due to the removal of a fully amortized customer relationship intangible asset as the period of economic benefit related to this asset had lapsed.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on intangible assets during the years ended July 31, 2023, 2022, and 2021 was $11,739, $14,966, and $7,077,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over each of the next five fiscal years is projected to be $9,481, $9,156, $8,279, $7,769, and $7,360 for the fiscal years ending</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July 31, 2024, 2025, 2026, 2027, and 2028, respectively.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Leases</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 leases certain manufacturing facilities, warehouses and office space, computer equipment, and vehicles accounted for as operating leases. Lease terms typically range from one year to ten years. As of July 31, 2023 and 2022, the Company did not have any finance leases.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Short-term lease expense, variable lease expenses, and sublease income were immaterial to the Consolidated Statements of Income for the year ended July 31, 2023.</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lease expense recognized during the years ended July 31, 2023, 2022 and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80" w:type="dxa"/>
            <w:vAlign w:val="bottom"/>
            <w:tcBorders>
              <w:bottom w:val="single" w:sz="8" w:color="CCEEFF"/>
            </w:tcBorders>
          </w:tcPr>
          <w:p>
            <w:pPr>
              <w:spacing w:after="0"/>
              <w:rPr>
                <w:sz w:val="18"/>
                <w:szCs w:val="18"/>
                <w:color w:val="auto"/>
              </w:rPr>
            </w:pPr>
          </w:p>
        </w:tc>
        <w:tc>
          <w:tcPr>
            <w:tcW w:w="4380" w:type="dxa"/>
            <w:vAlign w:val="bottom"/>
            <w:tcBorders>
              <w:bottom w:val="single" w:sz="8" w:color="auto"/>
            </w:tcBorders>
          </w:tcPr>
          <w:p>
            <w:pPr>
              <w:ind w:left="640"/>
              <w:spacing w:after="0"/>
              <w:rPr>
                <w:sz w:val="20"/>
                <w:szCs w:val="20"/>
                <w:color w:val="auto"/>
              </w:rPr>
            </w:pPr>
            <w:r>
              <w:rPr>
                <w:rFonts w:ascii="Arial" w:cs="Arial" w:eastAsia="Arial" w:hAnsi="Arial"/>
                <w:sz w:val="16"/>
                <w:szCs w:val="16"/>
                <w:b w:val="1"/>
                <w:bCs w:val="1"/>
                <w:color w:val="auto"/>
              </w:rPr>
              <w:t>Consolidated Statements of Income Location</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July 31, 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7"/>
              </w:rPr>
              <w:t>July 31, 2022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7"/>
              </w:rPr>
              <w:t>July 31, 2021</w:t>
            </w:r>
          </w:p>
        </w:tc>
      </w:tr>
      <w:tr>
        <w:trPr>
          <w:trHeight w:val="212"/>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w:t>
            </w:r>
          </w:p>
        </w:tc>
        <w:tc>
          <w:tcPr>
            <w:tcW w:w="4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7,893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8,268</w:t>
            </w:r>
          </w:p>
        </w:tc>
      </w:tr>
      <w:tr>
        <w:trPr>
          <w:trHeight w:val="210"/>
        </w:trPr>
        <w:tc>
          <w:tcPr>
            <w:tcW w:w="2480" w:type="dxa"/>
            <w:vAlign w:val="bottom"/>
          </w:tcPr>
          <w:p>
            <w:pPr>
              <w:ind w:left="20"/>
              <w:spacing w:after="0"/>
              <w:rPr>
                <w:sz w:val="20"/>
                <w:szCs w:val="20"/>
                <w:color w:val="auto"/>
              </w:rPr>
            </w:pPr>
            <w:r>
              <w:rPr>
                <w:rFonts w:ascii="Arial" w:cs="Arial" w:eastAsia="Arial" w:hAnsi="Arial"/>
                <w:sz w:val="16"/>
                <w:szCs w:val="16"/>
                <w:color w:val="auto"/>
              </w:rPr>
              <w:t>Operating lease cost</w:t>
            </w:r>
          </w:p>
        </w:tc>
        <w:tc>
          <w:tcPr>
            <w:tcW w:w="446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9,822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8,625</w:t>
            </w:r>
          </w:p>
        </w:tc>
      </w:tr>
    </w:tbl>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maturity of the Company's lease liabilities as of July 31,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Years ending July 31,</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3"/>
              </w:rPr>
              <w:t>Operating Leases</w:t>
            </w:r>
          </w:p>
        </w:tc>
      </w:tr>
      <w:tr>
        <w:trPr>
          <w:trHeight w:val="213"/>
        </w:trPr>
        <w:tc>
          <w:tcPr>
            <w:tcW w:w="9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15,696</w:t>
            </w:r>
          </w:p>
        </w:tc>
      </w:tr>
      <w:tr>
        <w:trPr>
          <w:trHeight w:val="213"/>
        </w:trPr>
        <w:tc>
          <w:tcPr>
            <w:tcW w:w="9880" w:type="dxa"/>
            <w:vAlign w:val="bottom"/>
          </w:tcPr>
          <w:p>
            <w:pPr>
              <w:ind w:left="20"/>
              <w:spacing w:after="0"/>
              <w:rPr>
                <w:sz w:val="20"/>
                <w:szCs w:val="20"/>
                <w:color w:val="auto"/>
              </w:rPr>
            </w:pPr>
            <w:r>
              <w:rPr>
                <w:rFonts w:ascii="Arial" w:cs="Arial" w:eastAsia="Arial" w:hAnsi="Arial"/>
                <w:sz w:val="16"/>
                <w:szCs w:val="16"/>
                <w:color w:val="auto"/>
              </w:rPr>
              <w:t>2025</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10,503</w:t>
            </w:r>
          </w:p>
        </w:tc>
      </w:tr>
      <w:tr>
        <w:trPr>
          <w:trHeight w:val="219"/>
        </w:trPr>
        <w:tc>
          <w:tcPr>
            <w:tcW w:w="9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4,627</w:t>
            </w:r>
          </w:p>
        </w:tc>
      </w:tr>
      <w:tr>
        <w:trPr>
          <w:trHeight w:val="213"/>
        </w:trPr>
        <w:tc>
          <w:tcPr>
            <w:tcW w:w="9880" w:type="dxa"/>
            <w:vAlign w:val="bottom"/>
          </w:tcPr>
          <w:p>
            <w:pPr>
              <w:ind w:left="20"/>
              <w:spacing w:after="0"/>
              <w:rPr>
                <w:sz w:val="20"/>
                <w:szCs w:val="20"/>
                <w:color w:val="auto"/>
              </w:rPr>
            </w:pPr>
            <w:r>
              <w:rPr>
                <w:rFonts w:ascii="Arial" w:cs="Arial" w:eastAsia="Arial" w:hAnsi="Arial"/>
                <w:sz w:val="16"/>
                <w:szCs w:val="16"/>
                <w:color w:val="auto"/>
              </w:rPr>
              <w:t>2027</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885</w:t>
            </w:r>
          </w:p>
        </w:tc>
      </w:tr>
      <w:tr>
        <w:trPr>
          <w:trHeight w:val="219"/>
        </w:trPr>
        <w:tc>
          <w:tcPr>
            <w:tcW w:w="9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13"/>
        </w:trPr>
        <w:tc>
          <w:tcPr>
            <w:tcW w:w="9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w:t>
            </w:r>
          </w:p>
        </w:tc>
      </w:tr>
      <w:tr>
        <w:trPr>
          <w:trHeight w:val="213"/>
        </w:trPr>
        <w:tc>
          <w:tcPr>
            <w:tcW w:w="9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32,711</w:t>
            </w:r>
          </w:p>
        </w:tc>
      </w:tr>
      <w:tr>
        <w:trPr>
          <w:trHeight w:val="213"/>
        </w:trPr>
        <w:tc>
          <w:tcPr>
            <w:tcW w:w="98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Less: interest</w:t>
            </w: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w:t>
            </w:r>
          </w:p>
        </w:tc>
      </w:tr>
      <w:tr>
        <w:trPr>
          <w:trHeight w:val="235"/>
        </w:trPr>
        <w:tc>
          <w:tcPr>
            <w:tcW w:w="9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4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30,943</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weighted average remaining lease terms and discount rates for the Company's operating leases as of July 31, 2023 and 2022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00" w:type="dxa"/>
            <w:vAlign w:val="bottom"/>
          </w:tcPr>
          <w:p>
            <w:pPr>
              <w:spacing w:after="0"/>
              <w:rPr>
                <w:sz w:val="18"/>
                <w:szCs w:val="18"/>
                <w:color w:val="auto"/>
              </w:rPr>
            </w:pPr>
          </w:p>
        </w:tc>
        <w:tc>
          <w:tcPr>
            <w:tcW w:w="1560" w:type="dxa"/>
            <w:vAlign w:val="bottom"/>
            <w:gridSpan w:val="2"/>
          </w:tcPr>
          <w:p>
            <w:pPr>
              <w:ind w:left="280"/>
              <w:spacing w:after="0"/>
              <w:rPr>
                <w:sz w:val="20"/>
                <w:szCs w:val="20"/>
                <w:color w:val="auto"/>
              </w:rPr>
            </w:pPr>
            <w:r>
              <w:rPr>
                <w:rFonts w:ascii="Arial" w:cs="Arial" w:eastAsia="Arial" w:hAnsi="Arial"/>
                <w:sz w:val="16"/>
                <w:szCs w:val="16"/>
                <w:b w:val="1"/>
                <w:bCs w:val="1"/>
                <w:color w:val="auto"/>
              </w:rPr>
              <w:t>July 31, 2023</w:t>
            </w:r>
          </w:p>
        </w:tc>
        <w:tc>
          <w:tcPr>
            <w:tcW w:w="1480" w:type="dxa"/>
            <w:vAlign w:val="bottom"/>
          </w:tcPr>
          <w:p>
            <w:pPr>
              <w:jc w:val="right"/>
              <w:ind w:right="199"/>
              <w:spacing w:after="0"/>
              <w:rPr>
                <w:sz w:val="20"/>
                <w:szCs w:val="20"/>
                <w:color w:val="auto"/>
              </w:rPr>
            </w:pPr>
            <w:r>
              <w:rPr>
                <w:rFonts w:ascii="Arial" w:cs="Arial" w:eastAsia="Arial" w:hAnsi="Arial"/>
                <w:sz w:val="16"/>
                <w:szCs w:val="16"/>
                <w:b w:val="1"/>
                <w:bCs w:val="1"/>
                <w:color w:val="auto"/>
              </w:rPr>
              <w:t>July 31, 2022</w:t>
            </w:r>
          </w:p>
        </w:tc>
      </w:tr>
      <w:tr>
        <w:trPr>
          <w:trHeight w:val="213"/>
        </w:trPr>
        <w:tc>
          <w:tcPr>
            <w:tcW w:w="8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 (in years)</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820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1480" w:type="dxa"/>
            <w:vAlign w:val="bottom"/>
          </w:tcPr>
          <w:p>
            <w:pPr>
              <w:jc w:val="right"/>
              <w:spacing w:after="0"/>
              <w:rPr>
                <w:sz w:val="20"/>
                <w:szCs w:val="20"/>
                <w:color w:val="auto"/>
              </w:rPr>
            </w:pPr>
            <w:r>
              <w:rPr>
                <w:rFonts w:ascii="Arial" w:cs="Arial" w:eastAsia="Arial" w:hAnsi="Arial"/>
                <w:sz w:val="16"/>
                <w:szCs w:val="16"/>
                <w:color w:val="auto"/>
              </w:rPr>
              <w:t>4.3 %</w:t>
            </w:r>
          </w:p>
        </w:tc>
        <w:tc>
          <w:tcPr>
            <w:tcW w:w="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3.9 %</w:t>
            </w:r>
          </w:p>
        </w:tc>
      </w:tr>
    </w:tbl>
    <w:p>
      <w:pPr>
        <w:spacing w:after="0" w:line="24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Supplemental cash flow information related to the Company's operating leases during the years ended July 31, 2023 and 2022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13"/>
        </w:trPr>
        <w:tc>
          <w:tcPr>
            <w:tcW w:w="8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outflows from operating leases</w:t>
            </w: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17,739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19,005</w:t>
            </w:r>
          </w:p>
        </w:tc>
      </w:tr>
      <w:tr>
        <w:trPr>
          <w:trHeight w:val="279"/>
        </w:trPr>
        <w:tc>
          <w:tcPr>
            <w:tcW w:w="8420" w:type="dxa"/>
            <w:vAlign w:val="bottom"/>
          </w:tcPr>
          <w:p>
            <w:pPr>
              <w:ind w:left="20"/>
              <w:spacing w:after="0"/>
              <w:rPr>
                <w:sz w:val="20"/>
                <w:szCs w:val="20"/>
                <w:color w:val="auto"/>
              </w:rPr>
            </w:pPr>
            <w:r>
              <w:rPr>
                <w:rFonts w:ascii="Arial" w:cs="Arial" w:eastAsia="Arial" w:hAnsi="Arial"/>
                <w:sz w:val="16"/>
                <w:szCs w:val="16"/>
                <w:color w:val="auto"/>
              </w:rPr>
              <w:t xml:space="preserve">Operating lease assets obtained in exchange for new operating lease liabilities </w:t>
            </w:r>
            <w:r>
              <w:rPr>
                <w:rFonts w:ascii="Arial" w:cs="Arial" w:eastAsia="Arial" w:hAnsi="Arial"/>
                <w:sz w:val="21"/>
                <w:szCs w:val="21"/>
                <w:color w:val="auto"/>
                <w:vertAlign w:val="superscript"/>
              </w:rPr>
              <w:t>(1)</w:t>
            </w:r>
          </w:p>
        </w:tc>
        <w:tc>
          <w:tcPr>
            <w:tcW w:w="8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12,583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7,607</w:t>
            </w:r>
          </w:p>
        </w:tc>
      </w:tr>
    </w:tbl>
    <w:p>
      <w:pPr>
        <w:spacing w:after="0" w:line="2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(1) Includes new leases and remeasurements or modifications of existing leases.</w:t>
      </w:r>
    </w:p>
    <w:p>
      <w:pPr>
        <w:spacing w:after="0" w:line="1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evaluates right-of-use assets for impairment in the same manner as long-lived assets. No impairment charges were recorded during the years ended July 31, 2023, 2022 or 2021.</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Employee Benefit Plans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provides postretirement medical benefits (the “Plan”) for eligible regular full and part-time domestic employees (including spouses) who retired prior to January 1, 2016, as outlined by the Plan. The Plan is unfunded, and the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liability, unrecognized gain, and associated income statement impact are immaterial. The current portion and non-current portion of the liabilities for postretirement medical benefits are included in “Other current liabilities” and “Other liabilities," respectively, on the accompanying Consolidated Balance Sheets as of July 31, 2023 and 2022. The unrecognized gain is reported as a component of AOCI.</w:t>
      </w:r>
    </w:p>
    <w:p>
      <w:pPr>
        <w:spacing w:after="0" w:line="13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also has two deferred compensation plans, the Executive Deferred Compensation Plan and the Director Deferred Compensation Plan which allow for compensation to be deferred into either the Company's Class A Nonvoting Common Stock or in other investment funds. Neither plan allows funds to be transferred between the Company's Class A Nonvoting Common Stock and the other investment funds. The Company has an additional non-qualified deferred compensation plan, the Brady Restoration Plan, which allows an equivalent benefit to the Matched 401(k) Plan and the Funded Retirement Plan for executives' income exceeding the IRS limits for participation in a qualified 401(k) plan. Deferred compensation of $18,288 and $18,043 was included in "Other liabilities" in the accompanying Consolidated Balance Sheets as of July 31, 2023 and 2022, respectively.</w:t>
      </w:r>
    </w:p>
    <w:p>
      <w:pPr>
        <w:spacing w:after="0" w:line="11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Company has retirement and profit-sharing plans covering substantially all full-time domestic employees and certain employees of its foreign subsidiaries. Contributions to the plans are determined annually or quarterly, according to the respective plan, based on income of the respective companies and employee contributions. Accrued retirement and profit-sharing contributions of $3,717 and $3,644 were included in "Other current liabilities" in the accompanying Consolidated Balance Sheets as of July 31, 2023 and 2022, respectively. The amounts charged to expense for these retirement and profit sharing plans were $15,089, $15,063, and $13,246 during the years ended July 31, 2023, 2022 and 2021, respectively.</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1, 2019, the Company and certain of its subsidiaries entered into an unsecured $200 million multi-currency credit agreement with a group of five banks.</w:t>
      </w:r>
    </w:p>
    <w:p>
      <w:pPr>
        <w:spacing w:after="0" w:line="11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On December 21, 2021, the Company and certain of its subsidiaries entered into an amendment to the credit agreement dated August 1, 2019. The amendment modified the credit agreement to, among other things, (a) change the interest rate under the credit agreement for borrowings (i) denominated in British Pounds from the London Inter-bank Offered Rate ("LIBOR") to a daily simple SONIA-based rate, (ii) denominated in Euro from a LIBOR-based rate to a rate based on the Euro Interbank Offered Rate and (iii) denominated in Japanese Yen from a LIBOR-based rate to a rate based on the Tokyo Interbank Offered Rate, in each of the foregoing cases subject to certain adjustments specified in the credit agreement; and (b) provide mechanics relating to a transition away from U.S. dollar LIBOR (with respect to borrowings denominated in U.S. dollars) and the designated benchmarks for the other eligible currencies as benchmark interest rates and the replacement of any such benchmark by a replacement benchmark rate. The amendment to the credit agreement did not have a material impact on the interest rate or related balances in the Company's consolidated financial statements.</w:t>
      </w:r>
    </w:p>
    <w:p>
      <w:pPr>
        <w:spacing w:after="0" w:line="1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November 14, 2022, the Company and certain of its subsidiaries entered into a Second Amendment to Credit Agreement (“Amendment No. 2”) with a group of six banks, which amended the original credit agreement dated August 1, 2019. Amendment No. 2 amended the credit agreement to, among other items, (a) increase the lending commitments by $100 million for total lending commitments of $300 million, (b) extend the final maturity date to November 14, 2027, (c) increase the interest rate on certain borrowings by 0.125%, and (d) increase the available amount under the credit agreement, at the Company's option and subject to certain conditions, from $300 million up to (i) an amount equal to the incremental borrowing necessary to bring the Company's consolidated net debt-to-EBITDA ratio as defined in the credit agreement to 2.5 to 1.0 plus (ii) $200 million. Borrowings under Amendment No. 2 are unsecured and are guaranteed by certain of the Company's domestic subsidiaries.</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July 31, 2023, the outstanding balance on the credit agreement was $49.7 million. The maximum amount outstanding on the credit agreement during the year ended July 31, 2023 was $103.0 million. As of July 31, 2023, there was $248.3 million available for future borrowing, which can be increased to $1,068.3 million at the Company's option, subject to certain conditions. The credit agreement has a final maturity date of November 14, 2027. As such, borrowings are classified as long-term on the Consolidated Balance Sheets.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Company’s credit agreement requires it to maintain certain financial covenants, including a ratio of debt to trailing twelve months EBITDA, as defined in the agreement, of not more than a 3.5 to 1.0 ratio (leverage ratio) and trailing twelve months EBITDA to interest expense of not less than a 3.0 to 1.0 ratio (interest expense coverage ratio). As of July 31, 2023, the Company was in compliance with these financial covenants, with a ratio of debt to EBITDA, as defined by the agreements, equal to 0.18 to 1.0 and the interest expense coverage ratio equal to 76.2 to 1.0.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July 31, 2023 and 2022, borrowings on the credit agreement were as follows: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6"/>
                <w:szCs w:val="16"/>
                <w:b w:val="1"/>
                <w:bCs w:val="1"/>
                <w:color w:val="auto"/>
              </w:rPr>
              <w:t>July 31, 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6"/>
                <w:szCs w:val="16"/>
                <w:b w:val="1"/>
                <w:bCs w:val="1"/>
                <w:color w:val="auto"/>
              </w:rPr>
              <w:t>July 31, 2022</w:t>
            </w:r>
          </w:p>
        </w:tc>
        <w:tc>
          <w:tcPr>
            <w:tcW w:w="0" w:type="dxa"/>
            <w:vAlign w:val="bottom"/>
          </w:tcPr>
          <w:p>
            <w:pPr>
              <w:spacing w:after="0"/>
              <w:rPr>
                <w:sz w:val="1"/>
                <w:szCs w:val="1"/>
                <w:color w:val="auto"/>
              </w:rPr>
            </w:pPr>
          </w:p>
        </w:tc>
      </w:tr>
      <w:tr>
        <w:trPr>
          <w:trHeight w:val="158"/>
        </w:trPr>
        <w:tc>
          <w:tcPr>
            <w:tcW w:w="5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Amount</w:t>
            </w:r>
          </w:p>
        </w:tc>
        <w:tc>
          <w:tcPr>
            <w:tcW w:w="15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1"/>
              </w:rPr>
              <w:t>Weighted Average</w:t>
            </w:r>
          </w:p>
        </w:tc>
        <w:tc>
          <w:tcPr>
            <w:tcW w:w="16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80"/>
              <w:spacing w:after="0" w:line="158" w:lineRule="exact"/>
              <w:rPr>
                <w:sz w:val="20"/>
                <w:szCs w:val="20"/>
                <w:color w:val="auto"/>
              </w:rPr>
            </w:pPr>
            <w:r>
              <w:rPr>
                <w:rFonts w:ascii="Arial" w:cs="Arial" w:eastAsia="Arial" w:hAnsi="Arial"/>
                <w:sz w:val="16"/>
                <w:szCs w:val="16"/>
                <w:b w:val="1"/>
                <w:bCs w:val="1"/>
                <w:color w:val="auto"/>
                <w:w w:val="92"/>
              </w:rPr>
              <w:t>Amount</w:t>
            </w:r>
          </w:p>
        </w:tc>
        <w:tc>
          <w:tcPr>
            <w:tcW w:w="14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97"/>
              </w:rPr>
              <w:t>Weighted Average</w:t>
            </w:r>
          </w:p>
        </w:tc>
        <w:tc>
          <w:tcPr>
            <w:tcW w:w="0" w:type="dxa"/>
            <w:vAlign w:val="bottom"/>
          </w:tcPr>
          <w:p>
            <w:pPr>
              <w:spacing w:after="0"/>
              <w:rPr>
                <w:sz w:val="1"/>
                <w:szCs w:val="1"/>
                <w:color w:val="auto"/>
              </w:rPr>
            </w:pPr>
          </w:p>
        </w:tc>
      </w:tr>
      <w:tr>
        <w:trPr>
          <w:trHeight w:val="162"/>
        </w:trPr>
        <w:tc>
          <w:tcPr>
            <w:tcW w:w="5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Outstanding</w:t>
            </w:r>
          </w:p>
        </w:tc>
        <w:tc>
          <w:tcPr>
            <w:tcW w:w="15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Outstanding</w:t>
            </w:r>
          </w:p>
        </w:tc>
        <w:tc>
          <w:tcPr>
            <w:tcW w:w="14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87"/>
              </w:rPr>
              <w:t>(thousands)</w:t>
            </w:r>
          </w:p>
        </w:tc>
        <w:tc>
          <w:tcPr>
            <w:tcW w:w="158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4"/>
              </w:rPr>
              <w:t>Interest Rate</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89"/>
              </w:rPr>
              <w:t>(thousands)</w:t>
            </w:r>
          </w:p>
        </w:tc>
        <w:tc>
          <w:tcPr>
            <w:tcW w:w="14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Interest Rate</w:t>
            </w:r>
          </w:p>
        </w:tc>
        <w:tc>
          <w:tcPr>
            <w:tcW w:w="0" w:type="dxa"/>
            <w:vAlign w:val="bottom"/>
          </w:tcPr>
          <w:p>
            <w:pPr>
              <w:spacing w:after="0"/>
              <w:rPr>
                <w:sz w:val="1"/>
                <w:szCs w:val="1"/>
                <w:color w:val="auto"/>
              </w:rPr>
            </w:pPr>
          </w:p>
        </w:tc>
      </w:tr>
      <w:tr>
        <w:trPr>
          <w:trHeight w:val="206"/>
        </w:trPr>
        <w:tc>
          <w:tcPr>
            <w:tcW w:w="5280" w:type="dxa"/>
            <w:vAlign w:val="bottom"/>
          </w:tcPr>
          <w:p>
            <w:pPr>
              <w:ind w:left="20"/>
              <w:spacing w:after="0"/>
              <w:rPr>
                <w:sz w:val="20"/>
                <w:szCs w:val="20"/>
                <w:color w:val="auto"/>
              </w:rPr>
            </w:pPr>
            <w:r>
              <w:rPr>
                <w:rFonts w:ascii="Arial" w:cs="Arial" w:eastAsia="Arial" w:hAnsi="Arial"/>
                <w:sz w:val="16"/>
                <w:szCs w:val="16"/>
                <w:color w:val="auto"/>
              </w:rPr>
              <w:t>USD-denominated borrowing</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13,000</w:t>
            </w:r>
          </w:p>
        </w:tc>
        <w:tc>
          <w:tcPr>
            <w:tcW w:w="10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95,000</w:t>
            </w:r>
          </w:p>
        </w:tc>
        <w:tc>
          <w:tcPr>
            <w:tcW w:w="10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British Pound-denominated borrowing</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0"/>
        </w:trPr>
        <w:tc>
          <w:tcPr>
            <w:tcW w:w="5280" w:type="dxa"/>
            <w:vAlign w:val="bottom"/>
          </w:tcPr>
          <w:p>
            <w:pPr>
              <w:ind w:left="20"/>
              <w:spacing w:after="0"/>
              <w:rPr>
                <w:sz w:val="20"/>
                <w:szCs w:val="20"/>
                <w:color w:val="auto"/>
              </w:rPr>
            </w:pPr>
            <w:r>
              <w:rPr>
                <w:rFonts w:ascii="Arial" w:cs="Arial" w:eastAsia="Arial" w:hAnsi="Arial"/>
                <w:sz w:val="16"/>
                <w:szCs w:val="16"/>
                <w:color w:val="auto"/>
              </w:rPr>
              <w:t>Euro-denominated borrowing</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24,000</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Due to the variable interest rate pricing of the Company's revolving debt, it is determined that the carrying value of the debt equals the fair value of the debt.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had outstanding letters of credit of $1,995 and $1,643 at July 31, 2023 and 2022, respectively.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Stockholders' Equity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as to the Company’s capital stock as of July 31, 2023 and 2022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4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July 31, 2023</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July 31, 2022</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1360" w:type="dxa"/>
            <w:vAlign w:val="bottom"/>
            <w:gridSpan w:val="2"/>
          </w:tcPr>
          <w:p>
            <w:pPr>
              <w:ind w:left="400"/>
              <w:spacing w:after="0" w:line="158" w:lineRule="exact"/>
              <w:rPr>
                <w:sz w:val="20"/>
                <w:szCs w:val="20"/>
                <w:color w:val="auto"/>
              </w:rPr>
            </w:pPr>
            <w:r>
              <w:rPr>
                <w:rFonts w:ascii="Arial" w:cs="Arial" w:eastAsia="Arial" w:hAnsi="Arial"/>
                <w:sz w:val="16"/>
                <w:szCs w:val="16"/>
                <w:b w:val="1"/>
                <w:bCs w:val="1"/>
                <w:color w:val="auto"/>
              </w:rPr>
              <w:t>Shares</w:t>
            </w:r>
          </w:p>
        </w:tc>
        <w:tc>
          <w:tcPr>
            <w:tcW w:w="1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9"/>
              </w:rPr>
              <w:t>Shares Issued</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39"/>
              <w:spacing w:after="0" w:line="158" w:lineRule="exact"/>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3"/>
                <w:szCs w:val="13"/>
                <w:color w:val="auto"/>
              </w:rPr>
            </w:pPr>
          </w:p>
        </w:tc>
        <w:tc>
          <w:tcPr>
            <w:tcW w:w="1340" w:type="dxa"/>
            <w:vAlign w:val="bottom"/>
            <w:gridSpan w:val="2"/>
          </w:tcPr>
          <w:p>
            <w:pPr>
              <w:ind w:left="380"/>
              <w:spacing w:after="0" w:line="158" w:lineRule="exact"/>
              <w:rPr>
                <w:sz w:val="20"/>
                <w:szCs w:val="20"/>
                <w:color w:val="auto"/>
              </w:rPr>
            </w:pPr>
            <w:r>
              <w:rPr>
                <w:rFonts w:ascii="Arial" w:cs="Arial" w:eastAsia="Arial" w:hAnsi="Arial"/>
                <w:sz w:val="16"/>
                <w:szCs w:val="16"/>
                <w:b w:val="1"/>
                <w:bCs w:val="1"/>
                <w:color w:val="auto"/>
              </w:rPr>
              <w:t>Shares</w:t>
            </w:r>
          </w:p>
        </w:tc>
        <w:tc>
          <w:tcPr>
            <w:tcW w:w="1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9"/>
              </w:rPr>
              <w:t>Shares Issued</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right"/>
              <w:ind w:right="259"/>
              <w:spacing w:after="0" w:line="158" w:lineRule="exact"/>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Authorized</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(thousands)</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Authorized</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1"/>
              </w:rPr>
              <w:t>(thousands)</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Preferred Stock, $.01 par value</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5,000,000</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240" w:type="dxa"/>
            <w:vAlign w:val="bottom"/>
          </w:tcPr>
          <w:p>
            <w:pPr>
              <w:ind w:left="20"/>
              <w:spacing w:after="0" w:line="166" w:lineRule="exact"/>
              <w:rPr>
                <w:sz w:val="20"/>
                <w:szCs w:val="20"/>
                <w:color w:val="auto"/>
              </w:rPr>
            </w:pPr>
            <w:r>
              <w:rPr>
                <w:rFonts w:ascii="Arial" w:cs="Arial" w:eastAsia="Arial" w:hAnsi="Arial"/>
                <w:sz w:val="16"/>
                <w:szCs w:val="16"/>
                <w:color w:val="auto"/>
              </w:rPr>
              <w:t>Cumulative Preferred Stock:</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240" w:type="dxa"/>
            <w:vAlign w:val="bottom"/>
          </w:tcPr>
          <w:p>
            <w:pPr>
              <w:ind w:left="20"/>
              <w:spacing w:after="0"/>
              <w:rPr>
                <w:sz w:val="20"/>
                <w:szCs w:val="20"/>
                <w:color w:val="auto"/>
              </w:rPr>
            </w:pPr>
            <w:r>
              <w:rPr>
                <w:rFonts w:ascii="Arial" w:cs="Arial" w:eastAsia="Arial" w:hAnsi="Arial"/>
                <w:sz w:val="16"/>
                <w:szCs w:val="16"/>
                <w:color w:val="auto"/>
              </w:rPr>
              <w:t>6% Cumulative</w:t>
            </w: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1972 Series</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20"/>
              <w:spacing w:after="0"/>
              <w:rPr>
                <w:sz w:val="20"/>
                <w:szCs w:val="20"/>
                <w:color w:val="auto"/>
              </w:rPr>
            </w:pPr>
            <w:r>
              <w:rPr>
                <w:rFonts w:ascii="Arial" w:cs="Arial" w:eastAsia="Arial" w:hAnsi="Arial"/>
                <w:sz w:val="16"/>
                <w:szCs w:val="16"/>
                <w:color w:val="auto"/>
              </w:rPr>
              <w:t>1979 Series</w:t>
            </w:r>
          </w:p>
        </w:tc>
        <w:tc>
          <w:tcPr>
            <w:tcW w:w="1240" w:type="dxa"/>
            <w:vAlign w:val="bottom"/>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Common Stock, $.01 par value: Class A</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100,000,000</w:t>
            </w:r>
          </w:p>
        </w:tc>
        <w:tc>
          <w:tcPr>
            <w:tcW w:w="1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51,261,487</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100,000,000</w:t>
            </w:r>
          </w:p>
        </w:tc>
        <w:tc>
          <w:tcPr>
            <w:tcW w:w="1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51,261,487</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12"/>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Nonvoting</w:t>
            </w: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Class B Voting</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10,000,000</w:t>
            </w: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3,538,628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10,000,000</w:t>
            </w: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3,538,628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35"/>
        </w:trPr>
        <w:tc>
          <w:tcPr>
            <w:tcW w:w="32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Before any dividend may be paid on the Class B Common Stock, holders of the Class A Common Stock are entitled to receive an annual, noncumulative cash dividend of $0.01665 per share. Thereafter, any further dividend in that fiscal year must be paid on each share of Class A Common Stock and Class B Common Stock on an equal basis.</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Other than as required by law, holders of the Class A Common Stock are not entitled to any vote on corporate matters, unless, in each of the three preceding fiscal years, the $0.01665 preferential dividend described above has not been paid in full. Holders of the Class A Common Stock are entitled to one vote per share for the entire fiscal year immediately following the third consecutive fiscal year in which the preferential dividend is not paid in full. Holders of Class B Common Stock are entitled to one vote per share for the election of directors and for all other purposes.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liquidation, dissolution or winding up of the Company, and after distribution of any amounts due to holders of Preferred Stock, if any, holders of the Class A Common Stock are entitled to receive the sum of $0.8333 per share before any payment or distribution to holders of the Class B Common Stock. Thereafter, holders of the Class B Common Stock are entitled to receive a payment or distribution of $0.8333 per share. Thereafter, holders of the Class A Common Stock and Class B Common Stock share equally in all payments or distributions upon liquidation, dissolution or winding up of the Company.</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preferences in dividends and liquidation rights of the Class A Common Stock over the Class B Common Stock will terminate at any time that the voting rights of Class A Common Stock and Class B Common Stock become equal.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other activity in stockholders’ equity during the years ended July 31, 2023,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178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3"/>
              </w:rPr>
              <w:t>Deferred Compensation</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jc w:val="right"/>
              <w:ind w:right="59"/>
              <w:spacing w:after="0"/>
              <w:rPr>
                <w:sz w:val="20"/>
                <w:szCs w:val="20"/>
                <w:color w:val="auto"/>
              </w:rPr>
            </w:pPr>
            <w:r>
              <w:rPr>
                <w:rFonts w:ascii="Arial" w:cs="Arial" w:eastAsia="Arial" w:hAnsi="Arial"/>
                <w:sz w:val="16"/>
                <w:szCs w:val="16"/>
                <w:b w:val="1"/>
                <w:bCs w:val="1"/>
                <w:color w:val="auto"/>
                <w:w w:val="93"/>
              </w:rPr>
              <w:t>Shares Held in Rabbi</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vMerge w:val="restart"/>
          </w:tcPr>
          <w:p>
            <w:pPr>
              <w:ind w:left="3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Trust, at cost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July 31, 2020</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(9,339)</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at July 31, 2020</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292,329</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292,329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shares at cost</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 of shares at cost</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July 31, 2021</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(10,534)</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at July 31, 2021</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315,916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315,916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shares at cost</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 of shares at cost</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July 31, 2022</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(11,055)</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at July 31, 2022</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318,285</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318,285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 of shares at cost</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Purchase of shares at cost</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at July 31, 2023</w:t>
            </w:r>
          </w:p>
        </w:tc>
        <w:tc>
          <w:tcPr>
            <w:tcW w:w="64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(11,383)</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at July 31, 2023</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60" w:type="dxa"/>
            <w:vAlign w:val="bottom"/>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318,198</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318,198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Compensation Plans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has two deferred compensation plans, the Executive Deferred Compensation Plan and the Director Deferred Compensation Plan that allow for compensation to be deferred into either the Company's Class A Nonvoting Common Stock or into other investment funds. Neither plan allows funds to be transferred between the Company's Class A Nonvoting Common Stock and the other investment funds.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July 31, 2023, the deferred compensation balance in stockholders’ equity represents the investment at the original cost of shares held in the Company’s Class A Nonvoting Common Stock for the deferred compensation plans. The balance of shares held in the Rabbi Trust represents the investment in the Company’s Class A Nonvoting Common Stock at the original cost of all the Company’s Class A Nonvoting Common Stock held in deferred compensation plans.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Stock Plans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an incentive stock plan under which the Board of Directors may grant nonqualified stock options to purchase shares of Class A Nonvoting Common Stock, restricted stock units ("RSUs"), performance-based restricted stock units ("PRSUs"), or restricted and unrestricted shares of Class A Nonvoting Common Stock to employees and non-employee directors. Certain awards may be subject to pre-established performance goals. The majority of the Company’s annual share-based awards are granted in the first quarter of the fiscal year.</w:t>
      </w:r>
    </w:p>
    <w:p>
      <w:pPr>
        <w:spacing w:after="0" w:line="13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July 31, 2023, the Company has reserved 1,744,099 shares of Class A Nonvoting Common Stock for outstanding stock options and RSUs and 2,477,505 shares of Class A Nonvoting Common Stock remain for future issuance of stock options and restricted and unrestricted shares under the active plans. The Company uses treasury stock or will issue new Class A Nonvoting Common Stock to deliver shares under these plans.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Total stock-based compensation expense recognized during the years ended July 31, 2023, 2022, and 2021, was $7,508, $10,504, and $10,098, respectively. The total income tax benefit recognized in the consolidated statements of income was $1,497, $507 and $555 during the years ended July 31, 2023, 2022, and 2021,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stock options issued under the plan have an exercise price equal to the fair market value of the underlying stock at the date of grant and generally vest ratably over a three-year period, with one-third becoming exercisable one year after the grant date and one-third additional in each of the succeeding two years. Options issued under the plan, referred to herein as “time-based” options, generally expire 10 years from the date of grant.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has estimated the fair value of its time-based stock option awards granted during the years ended July 31, 2023, 2022, and 2021, using the Black-Scholes option valuation model. The weighted-average assumptions used in the Black-Scholes valuation model are reflected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Black-Scholes Option Valuation Assumptions</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term (in years)</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w:t>
            </w:r>
          </w:p>
        </w:tc>
      </w:tr>
      <w:tr>
        <w:trPr>
          <w:trHeight w:val="213"/>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Expected volatility</w:t>
            </w:r>
          </w:p>
        </w:tc>
        <w:tc>
          <w:tcPr>
            <w:tcW w:w="1460" w:type="dxa"/>
            <w:vAlign w:val="bottom"/>
          </w:tcPr>
          <w:p>
            <w:pPr>
              <w:jc w:val="right"/>
              <w:spacing w:after="0"/>
              <w:rPr>
                <w:sz w:val="20"/>
                <w:szCs w:val="20"/>
                <w:color w:val="auto"/>
              </w:rPr>
            </w:pPr>
            <w:r>
              <w:rPr>
                <w:rFonts w:ascii="Arial" w:cs="Arial" w:eastAsia="Arial" w:hAnsi="Arial"/>
                <w:sz w:val="16"/>
                <w:szCs w:val="16"/>
                <w:color w:val="auto"/>
              </w:rPr>
              <w:t>29.64 %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30.04 %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30.71 %</w:t>
            </w:r>
          </w:p>
        </w:tc>
      </w:tr>
      <w:tr>
        <w:trPr>
          <w:trHeight w:val="21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2.49 %</w:t>
            </w:r>
          </w:p>
        </w:tc>
      </w:tr>
      <w:tr>
        <w:trPr>
          <w:trHeight w:val="210"/>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1460" w:type="dxa"/>
            <w:vAlign w:val="bottom"/>
          </w:tcPr>
          <w:p>
            <w:pPr>
              <w:jc w:val="right"/>
              <w:spacing w:after="0"/>
              <w:rPr>
                <w:sz w:val="20"/>
                <w:szCs w:val="20"/>
                <w:color w:val="auto"/>
              </w:rPr>
            </w:pPr>
            <w:r>
              <w:rPr>
                <w:rFonts w:ascii="Arial" w:cs="Arial" w:eastAsia="Arial" w:hAnsi="Arial"/>
                <w:sz w:val="16"/>
                <w:szCs w:val="16"/>
                <w:color w:val="auto"/>
              </w:rPr>
              <w:t>3.66 %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1.27 %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0.38 %</w:t>
            </w:r>
          </w:p>
        </w:tc>
      </w:tr>
    </w:tbl>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stock option activity for the year ended July 31,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 Average</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136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4"/>
                <w:szCs w:val="14"/>
                <w:color w:val="auto"/>
              </w:rPr>
            </w:pPr>
          </w:p>
        </w:tc>
        <w:tc>
          <w:tcPr>
            <w:tcW w:w="14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Weighted Average</w:t>
            </w:r>
          </w:p>
        </w:tc>
        <w:tc>
          <w:tcPr>
            <w:tcW w:w="14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4"/>
                <w:szCs w:val="14"/>
                <w:color w:val="auto"/>
              </w:rPr>
            </w:pPr>
          </w:p>
        </w:tc>
        <w:tc>
          <w:tcPr>
            <w:tcW w:w="12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Time-Based Options</w:t>
            </w:r>
          </w:p>
        </w:tc>
        <w:tc>
          <w:tcPr>
            <w:tcW w:w="13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vMerge w:val="continue"/>
          </w:tcPr>
          <w:p>
            <w:pPr>
              <w:spacing w:after="0"/>
              <w:rPr>
                <w:sz w:val="14"/>
                <w:szCs w:val="14"/>
                <w:color w:val="auto"/>
              </w:rPr>
            </w:pPr>
          </w:p>
        </w:tc>
        <w:tc>
          <w:tcPr>
            <w:tcW w:w="14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5"/>
              </w:rPr>
              <w:t>Contractual Term</w:t>
            </w:r>
          </w:p>
        </w:tc>
        <w:tc>
          <w:tcPr>
            <w:tcW w:w="1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vMerge w:val="continue"/>
          </w:tcPr>
          <w:p>
            <w:pPr>
              <w:spacing w:after="0"/>
              <w:rPr>
                <w:sz w:val="18"/>
                <w:szCs w:val="18"/>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1"/>
              </w:rPr>
              <w:t>Exercise Price</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Intrinsic Value</w:t>
            </w:r>
          </w:p>
        </w:tc>
        <w:tc>
          <w:tcPr>
            <w:tcW w:w="0" w:type="dxa"/>
            <w:vAlign w:val="bottom"/>
          </w:tcPr>
          <w:p>
            <w:pPr>
              <w:spacing w:after="0"/>
              <w:rPr>
                <w:sz w:val="1"/>
                <w:szCs w:val="1"/>
                <w:color w:val="auto"/>
              </w:rPr>
            </w:pPr>
          </w:p>
        </w:tc>
      </w:tr>
      <w:tr>
        <w:trPr>
          <w:trHeight w:val="237"/>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July 31,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1,591,525</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Granted</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rPr>
              <w:t>43.82</w:t>
            </w: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460" w:type="dxa"/>
            <w:vAlign w:val="bottom"/>
            <w:vMerge w:val="continue"/>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158,416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(77,358)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46.16</w:t>
            </w: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July 31, 2023</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1,546,783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42.05</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14,787</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60" w:type="dxa"/>
            <w:vAlign w:val="bottom"/>
          </w:tcPr>
          <w:p>
            <w:pPr>
              <w:ind w:left="20"/>
              <w:spacing w:after="0"/>
              <w:rPr>
                <w:sz w:val="20"/>
                <w:szCs w:val="20"/>
                <w:color w:val="auto"/>
              </w:rPr>
            </w:pPr>
            <w:r>
              <w:rPr>
                <w:rFonts w:ascii="Arial" w:cs="Arial" w:eastAsia="Arial" w:hAnsi="Arial"/>
                <w:sz w:val="16"/>
                <w:szCs w:val="16"/>
                <w:color w:val="auto"/>
              </w:rPr>
              <w:t>Exercisable as of July 31, 2023</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1,201,223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41.08</w:t>
            </w:r>
          </w:p>
        </w:tc>
        <w:tc>
          <w:tcPr>
            <w:tcW w:w="10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12,783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additional stock option information: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3"/>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fair value of options granted during the period</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8.65</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Intrinsic value of options exercised during the period (in thousands)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1,822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1,477</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options vested during the period (in thousands)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3,384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2,371</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Cash received from the exercise of stock options during the period (in thousands)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4"/>
              </w:rPr>
              <w:t>4,091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1,765</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 on options exercised during the period (in thousands)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w:t>
            </w:r>
          </w:p>
        </w:tc>
      </w:tr>
    </w:tbl>
    <w:p>
      <w:pPr>
        <w:spacing w:after="0" w:line="24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31, 2023, total unrecognized compensation cost related to options that are expected to vest was $1,192 pre-tax, net of estimated forfeitures, which the Company expects to recognize over a weighted-average period of 1.9 years.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RSUs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RSUs issued under the plan have a grant date fair value equal to the market price of the Company's stock at the date of grant and generally vest ratably over three years, with one-third vesting one year after the grant date and one-third additional in each of the succeeding two years.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summarize the RSU activity during the year ended July 31, 2023:</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Non-vested RSUs as of July 31, 2022</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Vested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Non-vested RSUs as of July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136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7"/>
              </w:rPr>
              <w:t>Grant Date</w:t>
            </w:r>
          </w:p>
        </w:tc>
        <w:tc>
          <w:tcPr>
            <w:tcW w:w="0" w:type="dxa"/>
            <w:vAlign w:val="bottom"/>
          </w:tcPr>
          <w:p>
            <w:pPr>
              <w:spacing w:after="0"/>
              <w:rPr>
                <w:sz w:val="1"/>
                <w:szCs w:val="1"/>
                <w:color w:val="auto"/>
              </w:rPr>
            </w:pPr>
          </w:p>
        </w:tc>
      </w:tr>
      <w:tr>
        <w:trPr>
          <w:trHeight w:val="213"/>
        </w:trPr>
        <w:tc>
          <w:tcPr>
            <w:tcW w:w="13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12"/>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173,230</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47.45</w:t>
            </w:r>
          </w:p>
        </w:tc>
        <w:tc>
          <w:tcPr>
            <w:tcW w:w="0" w:type="dxa"/>
            <w:vAlign w:val="bottom"/>
          </w:tcPr>
          <w:p>
            <w:pPr>
              <w:spacing w:after="0"/>
              <w:rPr>
                <w:sz w:val="1"/>
                <w:szCs w:val="1"/>
                <w:color w:val="auto"/>
              </w:rPr>
            </w:pP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45.22</w:t>
            </w:r>
          </w:p>
        </w:tc>
        <w:tc>
          <w:tcPr>
            <w:tcW w:w="0" w:type="dxa"/>
            <w:vAlign w:val="bottom"/>
          </w:tcPr>
          <w:p>
            <w:pPr>
              <w:spacing w:after="0"/>
              <w:rPr>
                <w:sz w:val="1"/>
                <w:szCs w:val="1"/>
                <w:color w:val="auto"/>
              </w:rPr>
            </w:pPr>
          </w:p>
        </w:tc>
      </w:tr>
      <w:tr>
        <w:trPr>
          <w:trHeight w:val="204"/>
        </w:trPr>
        <w:tc>
          <w:tcPr>
            <w:tcW w:w="1360" w:type="dxa"/>
            <w:vAlign w:val="bottom"/>
          </w:tcPr>
          <w:p>
            <w:pPr>
              <w:jc w:val="right"/>
              <w:spacing w:after="0"/>
              <w:rPr>
                <w:sz w:val="20"/>
                <w:szCs w:val="20"/>
                <w:color w:val="auto"/>
              </w:rPr>
            </w:pPr>
            <w:r>
              <w:rPr>
                <w:rFonts w:ascii="Arial" w:cs="Arial" w:eastAsia="Arial" w:hAnsi="Arial"/>
                <w:sz w:val="16"/>
                <w:szCs w:val="16"/>
                <w:color w:val="auto"/>
              </w:rPr>
              <w:t>68,624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right"/>
              <w:spacing w:after="0"/>
              <w:rPr>
                <w:sz w:val="20"/>
                <w:szCs w:val="20"/>
                <w:color w:val="auto"/>
              </w:rPr>
            </w:pPr>
            <w:r>
              <w:rPr>
                <w:rFonts w:ascii="Arial" w:cs="Arial" w:eastAsia="Arial" w:hAnsi="Arial"/>
                <w:sz w:val="16"/>
                <w:szCs w:val="16"/>
                <w:color w:val="auto"/>
              </w:rPr>
              <w:t>(83,155)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47.25</w:t>
            </w:r>
          </w:p>
        </w:tc>
        <w:tc>
          <w:tcPr>
            <w:tcW w:w="0" w:type="dxa"/>
            <w:vAlign w:val="bottom"/>
          </w:tcPr>
          <w:p>
            <w:pPr>
              <w:spacing w:after="0"/>
              <w:rPr>
                <w:sz w:val="1"/>
                <w:szCs w:val="1"/>
                <w:color w:val="auto"/>
              </w:rPr>
            </w:pPr>
          </w:p>
        </w:tc>
      </w:tr>
      <w:tr>
        <w:trPr>
          <w:trHeight w:val="219"/>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46.81</w:t>
            </w:r>
          </w:p>
        </w:tc>
        <w:tc>
          <w:tcPr>
            <w:tcW w:w="0" w:type="dxa"/>
            <w:vAlign w:val="bottom"/>
          </w:tcPr>
          <w:p>
            <w:pPr>
              <w:spacing w:after="0"/>
              <w:rPr>
                <w:sz w:val="1"/>
                <w:szCs w:val="1"/>
                <w:color w:val="auto"/>
              </w:rPr>
            </w:pPr>
          </w:p>
        </w:tc>
      </w:tr>
      <w:tr>
        <w:trPr>
          <w:trHeight w:val="212"/>
        </w:trPr>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133,868</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46.55</w:t>
            </w:r>
          </w:p>
        </w:tc>
        <w:tc>
          <w:tcPr>
            <w:tcW w:w="0" w:type="dxa"/>
            <w:vAlign w:val="bottom"/>
          </w:tcPr>
          <w:p>
            <w:pPr>
              <w:spacing w:after="0"/>
              <w:rPr>
                <w:sz w:val="1"/>
                <w:szCs w:val="1"/>
                <w:color w:val="auto"/>
              </w:rPr>
            </w:pP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2840"/>
          </w:cols>
          <w:pgMar w:left="320" w:top="122" w:right="339" w:bottom="1440" w:gutter="0" w:footer="0" w:header="0"/>
        </w:sectPr>
      </w:pPr>
    </w:p>
    <w:p>
      <w:pPr>
        <w:spacing w:after="0" w:line="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RSUs granted during the years ended July 31, 2022 and 2021, had a weighted-average grant-date fair value of $48.96 and $40.82, respectively.</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total fair value of time-based RSUs vested during the years ended July 31, 2023, 2022 and 2021, was $3,734, $3,669, and $2,894, respectively.</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31, 2023, total unrecognized compensation cost related to RSUs that are expected to vest was $2,511 pre-tax, net of estimated forfeitures, which the Company expects to recognize over a weighted-average period of 1.9 years.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PRSUs</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PRSUs are contingent on the achievement of predetermined market and performance targets. The PRSUs granted under the plan vest at the end of a three-year performance period provided the specified market and performance targets are met. For the PRSUs granted during the years ended July 31, 2023 and 2022, the vesting criteria for 50% of the grant is based upon the Company's total shareholder return ("TSR") relative to the S&amp;P 600 SmallCap Industrials Index over a three-year performance period, and the vesting criteria for the remaining 50% of the grant is based upon Company revenue targets. All other previously granted non-vested PRSUs vest based upon the Company's TSR relative to the S&amp;P 600 SmallCap Industrials Index.</w:t>
      </w:r>
    </w:p>
    <w:p>
      <w:pPr>
        <w:spacing w:after="0" w:line="10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PRSUs granted during the year ended July 31, 2023 had a fair value determined by a third-party valuation utilizing a Monte Carlo simulation for the portion of the grant with a market value condition and the portion of the grant with a performance condition had a fair value determined by the average of the high and low stock price on the date of grant.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Monte Carlo Valuation Assumptions</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3"/>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34.8 %</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32.6 %</w:t>
            </w:r>
          </w:p>
        </w:tc>
      </w:tr>
      <w:tr>
        <w:trPr>
          <w:trHeight w:val="210"/>
        </w:trPr>
        <w:tc>
          <w:tcPr>
            <w:tcW w:w="6640" w:type="dxa"/>
            <w:vAlign w:val="bottom"/>
            <w:gridSpan w:val="2"/>
          </w:tcPr>
          <w:p>
            <w:pPr>
              <w:ind w:left="20"/>
              <w:spacing w:after="0"/>
              <w:rPr>
                <w:sz w:val="20"/>
                <w:szCs w:val="20"/>
                <w:color w:val="auto"/>
              </w:rPr>
            </w:pPr>
            <w:r>
              <w:rPr>
                <w:rFonts w:ascii="Arial" w:cs="Arial" w:eastAsia="Arial" w:hAnsi="Arial"/>
                <w:sz w:val="16"/>
                <w:szCs w:val="16"/>
                <w:color w:val="auto"/>
              </w:rPr>
              <w:t>Risk-free interest rate</w:t>
            </w:r>
          </w:p>
        </w:tc>
        <w:tc>
          <w:tcPr>
            <w:tcW w:w="1460" w:type="dxa"/>
            <w:vAlign w:val="bottom"/>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0.1 %</w:t>
            </w: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summarize the PRSU activity during the year ended July 31, 2023:</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Non-vested PRSUs as of July 31, 2022</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Vested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25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Non-vested PRSUs as of July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136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7"/>
              </w:rPr>
              <w:t>Grant Date</w:t>
            </w:r>
          </w:p>
        </w:tc>
        <w:tc>
          <w:tcPr>
            <w:tcW w:w="0" w:type="dxa"/>
            <w:vAlign w:val="bottom"/>
          </w:tcPr>
          <w:p>
            <w:pPr>
              <w:spacing w:after="0"/>
              <w:rPr>
                <w:sz w:val="1"/>
                <w:szCs w:val="1"/>
                <w:color w:val="auto"/>
              </w:rPr>
            </w:pPr>
          </w:p>
        </w:tc>
      </w:tr>
      <w:tr>
        <w:trPr>
          <w:trHeight w:val="213"/>
        </w:trPr>
        <w:tc>
          <w:tcPr>
            <w:tcW w:w="136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12"/>
        </w:trPr>
        <w:tc>
          <w:tcPr>
            <w:tcW w:w="136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w w:val="89"/>
              </w:rPr>
              <w:t>79,134</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66.79</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55.77</w:t>
            </w:r>
          </w:p>
        </w:tc>
        <w:tc>
          <w:tcPr>
            <w:tcW w:w="0" w:type="dxa"/>
            <w:vAlign w:val="bottom"/>
          </w:tcPr>
          <w:p>
            <w:pPr>
              <w:spacing w:after="0"/>
              <w:rPr>
                <w:sz w:val="1"/>
                <w:szCs w:val="1"/>
                <w:color w:val="auto"/>
              </w:rPr>
            </w:pPr>
          </w:p>
        </w:tc>
      </w:tr>
      <w:tr>
        <w:trPr>
          <w:trHeight w:val="203"/>
        </w:trPr>
        <w:tc>
          <w:tcPr>
            <w:tcW w:w="1360" w:type="dxa"/>
            <w:vAlign w:val="bottom"/>
          </w:tcPr>
          <w:p>
            <w:pPr>
              <w:jc w:val="center"/>
              <w:ind w:left="719"/>
              <w:spacing w:after="0"/>
              <w:rPr>
                <w:sz w:val="20"/>
                <w:szCs w:val="20"/>
                <w:color w:val="auto"/>
              </w:rPr>
            </w:pPr>
            <w:r>
              <w:rPr>
                <w:rFonts w:ascii="Arial" w:cs="Arial" w:eastAsia="Arial" w:hAnsi="Arial"/>
                <w:sz w:val="16"/>
                <w:szCs w:val="16"/>
                <w:color w:val="auto"/>
                <w:w w:val="89"/>
              </w:rPr>
              <w:t>44,110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60" w:type="dxa"/>
            <w:vAlign w:val="bottom"/>
          </w:tcPr>
          <w:p>
            <w:pPr>
              <w:jc w:val="center"/>
              <w:ind w:left="679"/>
              <w:spacing w:after="0"/>
              <w:rPr>
                <w:sz w:val="20"/>
                <w:szCs w:val="20"/>
                <w:color w:val="auto"/>
              </w:rPr>
            </w:pPr>
            <w:r>
              <w:rPr>
                <w:rFonts w:ascii="Arial" w:cs="Arial" w:eastAsia="Arial" w:hAnsi="Arial"/>
                <w:sz w:val="16"/>
                <w:szCs w:val="16"/>
                <w:color w:val="auto"/>
                <w:w w:val="93"/>
              </w:rPr>
              <w:t>(18,959)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19"/>
        </w:trPr>
        <w:tc>
          <w:tcPr>
            <w:tcW w:w="1360" w:type="dxa"/>
            <w:vAlign w:val="bottom"/>
            <w:tcBorders>
              <w:bottom w:val="single" w:sz="8" w:color="auto"/>
            </w:tcBorders>
          </w:tcPr>
          <w:p>
            <w:pPr>
              <w:jc w:val="center"/>
              <w:ind w:left="679"/>
              <w:spacing w:after="0"/>
              <w:rPr>
                <w:sz w:val="20"/>
                <w:szCs w:val="20"/>
                <w:color w:val="auto"/>
              </w:rPr>
            </w:pPr>
            <w:r>
              <w:rPr>
                <w:rFonts w:ascii="Arial" w:cs="Arial" w:eastAsia="Arial" w:hAnsi="Arial"/>
                <w:sz w:val="16"/>
                <w:szCs w:val="16"/>
                <w:color w:val="auto"/>
                <w:w w:val="93"/>
              </w:rPr>
              <w:t>(40,837)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64.12</w:t>
            </w:r>
          </w:p>
        </w:tc>
        <w:tc>
          <w:tcPr>
            <w:tcW w:w="0" w:type="dxa"/>
            <w:vAlign w:val="bottom"/>
          </w:tcPr>
          <w:p>
            <w:pPr>
              <w:spacing w:after="0"/>
              <w:rPr>
                <w:sz w:val="1"/>
                <w:szCs w:val="1"/>
                <w:color w:val="auto"/>
              </w:rPr>
            </w:pPr>
          </w:p>
        </w:tc>
      </w:tr>
      <w:tr>
        <w:trPr>
          <w:trHeight w:val="213"/>
        </w:trPr>
        <w:tc>
          <w:tcPr>
            <w:tcW w:w="1360" w:type="dxa"/>
            <w:vAlign w:val="bottom"/>
            <w:tcBorders>
              <w:bottom w:val="single" w:sz="8" w:color="auto"/>
            </w:tcBorders>
          </w:tcPr>
          <w:p>
            <w:pPr>
              <w:jc w:val="center"/>
              <w:ind w:left="719"/>
              <w:spacing w:after="0"/>
              <w:rPr>
                <w:sz w:val="20"/>
                <w:szCs w:val="20"/>
                <w:color w:val="auto"/>
              </w:rPr>
            </w:pPr>
            <w:r>
              <w:rPr>
                <w:rFonts w:ascii="Arial" w:cs="Arial" w:eastAsia="Arial" w:hAnsi="Arial"/>
                <w:sz w:val="16"/>
                <w:szCs w:val="16"/>
                <w:color w:val="auto"/>
                <w:w w:val="89"/>
              </w:rPr>
              <w:t>63,448</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58.39</w:t>
            </w: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2840"/>
          </w:cols>
          <w:pgMar w:left="320" w:top="122" w:right="339" w:bottom="1440" w:gutter="0" w:footer="0" w:header="0"/>
          <w:type w:val="continuous"/>
        </w:sectPr>
      </w:pPr>
    </w:p>
    <w:p>
      <w:pPr>
        <w:spacing w:after="0" w:line="4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PRSUs granted during the year ended July 31, 2022 and 2021, had a weighted-average grant-date fair value of $61.76 and $60.73,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PRSUs vested during the years ended July 31, 2023, 2022 and 2021, was $889, $4,098, and $3,273, respectively.</w:t>
      </w:r>
    </w:p>
    <w:p>
      <w:pPr>
        <w:spacing w:after="0" w:line="15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of July 31, 2023, total unrecognized compensation cost related to PRSUs that are expected to vest was $1,236 pre-tax, net of estimated forfeitures, which the Company expects to recognize over a weighted-average period of 2.0 years.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Other comprehensive loss consists of foreign currency translation adjustments which includes net investment hedges and long-term intercompany loan translation adjustments, unrealized gains from cash flow hedges, and the unamortized gain on post-retirement plans, net of their related tax effects.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changes in the balances of each component of accumulated other comprehensive loss, net of tax, for the periods presented: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150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Unrealized gain on</w:t>
            </w:r>
          </w:p>
        </w:tc>
        <w:tc>
          <w:tcPr>
            <w:tcW w:w="15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Unamortized gain</w:t>
            </w:r>
          </w:p>
        </w:tc>
        <w:tc>
          <w:tcPr>
            <w:tcW w:w="8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Foreign currency</w:t>
            </w: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w w:val="92"/>
              </w:rPr>
              <w:t>Accumulated other</w:t>
            </w:r>
          </w:p>
        </w:tc>
        <w:tc>
          <w:tcPr>
            <w:tcW w:w="0" w:type="dxa"/>
            <w:vAlign w:val="bottom"/>
          </w:tcPr>
          <w:p>
            <w:pPr>
              <w:spacing w:after="0"/>
              <w:rPr>
                <w:sz w:val="1"/>
                <w:szCs w:val="1"/>
                <w:color w:val="auto"/>
              </w:rPr>
            </w:pPr>
          </w:p>
        </w:tc>
      </w:tr>
      <w:tr>
        <w:trPr>
          <w:trHeight w:val="162"/>
        </w:trPr>
        <w:tc>
          <w:tcPr>
            <w:tcW w:w="536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50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89"/>
              </w:rPr>
              <w:t>on postretirement</w:t>
            </w:r>
          </w:p>
        </w:tc>
        <w:tc>
          <w:tcPr>
            <w:tcW w:w="8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translation</w:t>
            </w: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cash flow hedges</w:t>
            </w:r>
          </w:p>
        </w:tc>
        <w:tc>
          <w:tcPr>
            <w:tcW w:w="30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plans</w:t>
            </w:r>
          </w:p>
        </w:tc>
        <w:tc>
          <w:tcPr>
            <w:tcW w:w="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adjustments</w:t>
            </w: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comprehensive loss</w:t>
            </w:r>
          </w:p>
        </w:tc>
        <w:tc>
          <w:tcPr>
            <w:tcW w:w="0" w:type="dxa"/>
            <w:vAlign w:val="bottom"/>
          </w:tcPr>
          <w:p>
            <w:pPr>
              <w:spacing w:after="0"/>
              <w:rPr>
                <w:sz w:val="1"/>
                <w:szCs w:val="1"/>
                <w:color w:val="auto"/>
              </w:rPr>
            </w:pPr>
          </w:p>
        </w:tc>
      </w:tr>
      <w:tr>
        <w:trPr>
          <w:trHeight w:val="237"/>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July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(55,953)</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Other comprehensive income (loss) before reclassification</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(52,897)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(51,664)</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Ending balance, July 31,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1,436</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(111,467)</w:t>
            </w:r>
          </w:p>
        </w:tc>
        <w:tc>
          <w:tcPr>
            <w:tcW w:w="100" w:type="dxa"/>
            <w:vAlign w:val="bottom"/>
          </w:tcPr>
          <w:p>
            <w:pPr>
              <w:spacing w:after="0"/>
              <w:rPr>
                <w:sz w:val="18"/>
                <w:szCs w:val="18"/>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(109,077)</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 before reclassification</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17,949</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(1,933)</w:t>
            </w:r>
          </w:p>
        </w:tc>
        <w:tc>
          <w:tcPr>
            <w:tcW w:w="0" w:type="dxa"/>
            <w:vAlign w:val="bottom"/>
          </w:tcPr>
          <w:p>
            <w:pPr>
              <w:spacing w:after="0"/>
              <w:rPr>
                <w:sz w:val="1"/>
                <w:szCs w:val="1"/>
                <w:color w:val="auto"/>
              </w:rPr>
            </w:pPr>
          </w:p>
        </w:tc>
      </w:tr>
      <w:tr>
        <w:trPr>
          <w:trHeight w:val="23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July 31, 2023</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(93,061)</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decrease in accumulated other comprehensive loss as of July 31, 2023 compared to July 31, 2022 was primarily due to the depreciation of the U.S. dollar against certain other currencies during the fiscal year. Of the amounts reclassified from accumulated other comprehensive loss during the years ended July 31, 2023 and 2022, unrealized gains on cash flow hedges were reclassified into "Cost of goods sold" and net unamortized gains on post-retirement plans were reclassified into "Investment and other income" on the Consolidated Statements of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income tax benefit (expense) on the components of other comprehensive (loss) income: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19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 related to items of other comprehensive income (loss):</w:t>
            </w:r>
          </w:p>
        </w:tc>
        <w:tc>
          <w:tcPr>
            <w:tcW w:w="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6940" w:type="dxa"/>
            <w:vAlign w:val="bottom"/>
          </w:tcPr>
          <w:p>
            <w:pPr>
              <w:ind w:left="340"/>
              <w:spacing w:after="0"/>
              <w:rPr>
                <w:sz w:val="20"/>
                <w:szCs w:val="20"/>
                <w:color w:val="auto"/>
              </w:rPr>
            </w:pPr>
            <w:r>
              <w:rPr>
                <w:rFonts w:ascii="Arial" w:cs="Arial" w:eastAsia="Arial" w:hAnsi="Arial"/>
                <w:sz w:val="16"/>
                <w:szCs w:val="16"/>
                <w:color w:val="auto"/>
              </w:rPr>
              <w:t>Cash flow hedges</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147</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center"/>
              <w:ind w:left="579"/>
              <w:spacing w:after="0"/>
              <w:rPr>
                <w:sz w:val="20"/>
                <w:szCs w:val="20"/>
                <w:color w:val="auto"/>
              </w:rPr>
            </w:pPr>
            <w:r>
              <w:rPr>
                <w:rFonts w:ascii="Arial" w:cs="Arial" w:eastAsia="Arial" w:hAnsi="Arial"/>
                <w:sz w:val="16"/>
                <w:szCs w:val="16"/>
                <w:color w:val="auto"/>
                <w:w w:val="90"/>
              </w:rPr>
              <w:t>(148)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(123)</w:t>
            </w:r>
          </w:p>
        </w:tc>
      </w:tr>
      <w:tr>
        <w:trPr>
          <w:trHeight w:val="219"/>
        </w:trPr>
        <w:tc>
          <w:tcPr>
            <w:tcW w:w="69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Pension and other post-retirement benefits</w:t>
            </w: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89"/>
              </w:rPr>
              <w:t>167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13"/>
        </w:trPr>
        <w:tc>
          <w:tcPr>
            <w:tcW w:w="69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income tax adjustments and currency translation</w:t>
            </w:r>
          </w:p>
        </w:tc>
        <w:tc>
          <w:tcPr>
            <w:tcW w:w="9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color w:val="auto"/>
                <w:w w:val="89"/>
              </w:rPr>
              <w:t>505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w:t>
            </w:r>
          </w:p>
        </w:tc>
      </w:tr>
      <w:tr>
        <w:trPr>
          <w:trHeight w:val="233"/>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 related to items of other comprehensive income (loss)</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89"/>
              </w:rPr>
              <w:t>524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Recognition</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recognizes revenue when control of the product or service transfers to the customer at an amount that represents the consideration expected to be received in exchange for those products and services.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Nature of Products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revenues are primarily from the sale of identification solutions and workplace safety products that are shipped and billed to customers. All revenue is from contracts with customers and is included in “Net sales” on the Consolidated Statements of Income. See Note 10 “Segment Information” for the Company’s disaggregated revenue disclosure.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Company’s contracts with customers consist of purchase orders, which in some cases are governed by master supply or distributor agreements. For each contract, the Company considers the commitment to transfer tangible products, which are generally capable of being distinct, to be separate performance obligations.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the Company's revenue is earned and recognized at a point in time through ship-and-bill performance obligations where the customer typically obtains control of the product upon shipment or delivery, depending on freight terms. The Company considers control to have transferred if legal title, physical possession, and the significant risks and rewards of ownership of the asset have transferred to the customer and the Company has a present right to payment. In almost all cases,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control transfers once a product is shipped or delivered, as this is when the customer is able to direct and obtain substantially all of the remaining benefits associated with use of the asset.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 Price and Variable Consideration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 is measured as the amount of consideration the Company expects to be entitled to in exchange for the transfer of product to a customer. The transaction price is generally the price stated in the contract specific for each item sold, adjusted for all applicable variable considerations. Variable consideration generally includes discounts, returns, credits, rebates, or other allowances that reduce the transaction price. Certain discounts and price assurances are fixed and known at the time of sale.</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estimates the amount of variable consideration and reduces the transaction price to the extent it is probable that a significant reversal of cumulative revenue recognized will not occur when the uncertainty associated with the variable consideration is resolved. The expected value method is used to estimate expected returns and allowances based on historical experience. The most likely amount method is used to estimate customer rebates, which are offered retrospectively and typically defined in the master supply or distributor agreement.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Terms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While the Company’s standard payment terms are net 30 days, the specific payment terms and conditions in its contracts with customers vary by type and location of the customer. Cash discounts may be offered to certain customers. The Company has payment terms in its contracts with customers of less than one year, and therefore, does not recognize the time value of money or any financing component of such contracts.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Warranties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offers standard warranty coverage on substantially all products which provides the customer with assurance that the product will function as intended. This standard warranty coverage is accounted for as an assurance warranty and is not considered to be a separate performance obligation. The Company records a liability for product warranty obligations at the time of sale based on historical warranty experience that is included in cost of goods sold.</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also offers extended warranty coverage for certain products, which it accounts for as service warranties. In most cases, the extended service warranty is included in the sales price of the product and is not sold separately. The Company considers the extended service warranty to be a separate performance obligation and allocates a portion of the transaction price to the service warranty based on the estimated stand-alone selling price. At the time of sale, the extended warranty transaction price is recorded as deferred revenue on the Consolidated Balance Sheets and is recognized on a straight-line basis over the life of the service warranty period. The deferred revenue is considered a contract liability as the Company has a right to payment at the time the product with the related extended service warranty is shipped or delivered and therefore, payment is received in advance of the Company's performance.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balance of contract liabilities associated with service warranty performance obligations was $2,757 and $2,675 as of July 31, 2023 and 2022, respectively. This also represents the amount of unsatisfied performance obligations related to contracts that extend beyond one year. The current portion and non-current portion of contract liabilities are included in “Other current liabilities” and “Other liabilities," respectively, on the accompanying Consolidated Balance Sheets. During the year ended July 31, 2023, the Company recognized revenue of $1,244 that was included in the contract liability balance at the beginning of the period from the amortization of extended service warranties. Of the contract liability balance outstanding at July 31, 2023, the Company expects to recognize 41% by the end of fiscal 2024, an additional 27% by the end of fiscal 2025, and the balance thereafter.</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Costs of Obtaining a Contract</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Company expenses incremental direct costs of obtaining a contract (e.g., sales commissions) when incurred because the amortization period is generally twelve months or less. Contract costs are included in "Selling, general and administrative expense" on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Effective February 1, 2023, the Company is organized and managed within two regions: Americas &amp; Asia and Europe &amp; Australia, which are the reportable segments. Prior to February 1, 2023, the Company was organized and managed on a global basis within three operating segments: Identification Solutions and People Identification (“PDC”), which aggregated into the IDS reportable segment, and Workplace Safety, which was the WPS reportable segment. As such, all segment-related data has been recast to the new reportable segments. The Company evaluates short-term segment performance based on segment profit and customer sales. Gain or loss on sale of businesses, interest expense, investment and other income, income taxes, equity in losses of unconsolidated affiliate, and certain corporate administrative expenses are excluded when evaluating segment performance.</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segment information as of and for the years ended July 31, 2023, 2022 and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Americas &amp; Asia:</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Americas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787,426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750,391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635,714</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i w:val="1"/>
                <w:iCs w:val="1"/>
                <w:color w:val="auto"/>
              </w:rPr>
              <w:t>Asia</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101,431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110,693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99,868</w:t>
            </w:r>
          </w:p>
        </w:tc>
        <w:tc>
          <w:tcPr>
            <w:tcW w:w="0" w:type="dxa"/>
            <w:vAlign w:val="bottom"/>
          </w:tcPr>
          <w:p>
            <w:pPr>
              <w:spacing w:after="0"/>
              <w:rPr>
                <w:sz w:val="1"/>
                <w:szCs w:val="1"/>
                <w:color w:val="auto"/>
              </w:rPr>
            </w:pPr>
          </w:p>
        </w:tc>
      </w:tr>
      <w:tr>
        <w:trPr>
          <w:trHeight w:val="235"/>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888,857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861,084</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735,582</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Europe &amp; Australia: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i w:val="1"/>
                <w:iCs w:val="1"/>
                <w:color w:val="auto"/>
              </w:rPr>
              <w:t>Europe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387,743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388,618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355,096</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i w:val="1"/>
                <w:iCs w:val="1"/>
                <w:color w:val="auto"/>
              </w:rPr>
              <w:t>Australia</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55,263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52,360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54,020</w:t>
            </w:r>
          </w:p>
        </w:tc>
        <w:tc>
          <w:tcPr>
            <w:tcW w:w="0" w:type="dxa"/>
            <w:vAlign w:val="bottom"/>
          </w:tcPr>
          <w:p>
            <w:pPr>
              <w:spacing w:after="0"/>
              <w:rPr>
                <w:sz w:val="1"/>
                <w:szCs w:val="1"/>
                <w:color w:val="auto"/>
              </w:rPr>
            </w:pPr>
          </w:p>
        </w:tc>
      </w:tr>
      <w:tr>
        <w:trPr>
          <w:trHeight w:val="213"/>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443,006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440,978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409,116</w:t>
            </w:r>
          </w:p>
        </w:tc>
        <w:tc>
          <w:tcPr>
            <w:tcW w:w="0" w:type="dxa"/>
            <w:vAlign w:val="bottom"/>
          </w:tcPr>
          <w:p>
            <w:pPr>
              <w:spacing w:after="0"/>
              <w:rPr>
                <w:sz w:val="1"/>
                <w:szCs w:val="1"/>
                <w:color w:val="auto"/>
              </w:rPr>
            </w:pPr>
          </w:p>
        </w:tc>
      </w:tr>
      <w:tr>
        <w:trPr>
          <w:trHeight w:val="207"/>
        </w:trPr>
        <w:tc>
          <w:tcPr>
            <w:tcW w:w="6940" w:type="dxa"/>
            <w:vAlign w:val="bottom"/>
          </w:tcPr>
          <w:p>
            <w:pPr>
              <w:ind w:left="20"/>
              <w:spacing w:after="0"/>
              <w:rPr>
                <w:sz w:val="20"/>
                <w:szCs w:val="20"/>
                <w:color w:val="auto"/>
              </w:rPr>
            </w:pPr>
            <w:r>
              <w:rPr>
                <w:rFonts w:ascii="Arial" w:cs="Arial" w:eastAsia="Arial" w:hAnsi="Arial"/>
                <w:sz w:val="16"/>
                <w:szCs w:val="16"/>
                <w:color w:val="auto"/>
              </w:rPr>
              <w:t>Total Company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1,331,863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1,302,062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1,144,698</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&amp; amortization:</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Americas &amp; Asia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25,269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26,950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20,649</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Europe &amp; Australia</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7,232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4,834</w:t>
            </w:r>
          </w:p>
        </w:tc>
        <w:tc>
          <w:tcPr>
            <w:tcW w:w="0" w:type="dxa"/>
            <w:vAlign w:val="bottom"/>
          </w:tcPr>
          <w:p>
            <w:pPr>
              <w:spacing w:after="0"/>
              <w:rPr>
                <w:sz w:val="1"/>
                <w:szCs w:val="1"/>
                <w:color w:val="auto"/>
              </w:rPr>
            </w:pPr>
          </w:p>
        </w:tc>
      </w:tr>
      <w:tr>
        <w:trPr>
          <w:trHeight w:val="207"/>
        </w:trPr>
        <w:tc>
          <w:tcPr>
            <w:tcW w:w="694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32,370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34,182</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25,483</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profit: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Americas &amp; Asia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180,503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157,307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136,635</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Europe &amp; Australia</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63,058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55,357</w:t>
            </w:r>
          </w:p>
        </w:tc>
        <w:tc>
          <w:tcPr>
            <w:tcW w:w="0" w:type="dxa"/>
            <w:vAlign w:val="bottom"/>
          </w:tcPr>
          <w:p>
            <w:pPr>
              <w:spacing w:after="0"/>
              <w:rPr>
                <w:sz w:val="1"/>
                <w:szCs w:val="1"/>
                <w:color w:val="auto"/>
              </w:rPr>
            </w:pPr>
          </w:p>
        </w:tc>
      </w:tr>
      <w:tr>
        <w:trPr>
          <w:trHeight w:val="206"/>
        </w:trPr>
        <w:tc>
          <w:tcPr>
            <w:tcW w:w="6940" w:type="dxa"/>
            <w:vAlign w:val="bottom"/>
          </w:tcPr>
          <w:p>
            <w:pPr>
              <w:ind w:left="360"/>
              <w:spacing w:after="0"/>
              <w:rPr>
                <w:sz w:val="20"/>
                <w:szCs w:val="20"/>
                <w:color w:val="auto"/>
              </w:rPr>
            </w:pPr>
            <w:r>
              <w:rPr>
                <w:rFonts w:ascii="Arial" w:cs="Arial" w:eastAsia="Arial" w:hAnsi="Arial"/>
                <w:sz w:val="16"/>
                <w:szCs w:val="16"/>
                <w:color w:val="auto"/>
              </w:rPr>
              <w:t>Total Company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246,245</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220,365</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191,992</w:t>
            </w:r>
          </w:p>
        </w:tc>
        <w:tc>
          <w:tcPr>
            <w:tcW w:w="0" w:type="dxa"/>
            <w:vAlign w:val="bottom"/>
          </w:tcPr>
          <w:p>
            <w:pPr>
              <w:spacing w:after="0"/>
              <w:rPr>
                <w:sz w:val="1"/>
                <w:szCs w:val="1"/>
                <w:color w:val="auto"/>
              </w:rPr>
            </w:pP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Americas &amp; Asia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829,562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868,922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829,278</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Europe &amp; Australia</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408,163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384,341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401,143</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Corporate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151,532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114,069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147,335</w:t>
            </w:r>
          </w:p>
        </w:tc>
        <w:tc>
          <w:tcPr>
            <w:tcW w:w="0" w:type="dxa"/>
            <w:vAlign w:val="bottom"/>
          </w:tcPr>
          <w:p>
            <w:pPr>
              <w:spacing w:after="0"/>
              <w:rPr>
                <w:sz w:val="1"/>
                <w:szCs w:val="1"/>
                <w:color w:val="auto"/>
              </w:rPr>
            </w:pPr>
          </w:p>
        </w:tc>
      </w:tr>
      <w:tr>
        <w:trPr>
          <w:trHeight w:val="235"/>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Company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1,389,257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1,367,332</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1,377,756</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Expenditures for property, plant &amp; equipment: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Americas &amp; Asia</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20,344</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Europe &amp; Australia</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19,087</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6,845</w:t>
            </w:r>
          </w:p>
        </w:tc>
        <w:tc>
          <w:tcPr>
            <w:tcW w:w="0" w:type="dxa"/>
            <w:vAlign w:val="bottom"/>
          </w:tcPr>
          <w:p>
            <w:pPr>
              <w:spacing w:after="0"/>
              <w:rPr>
                <w:sz w:val="1"/>
                <w:szCs w:val="1"/>
                <w:color w:val="auto"/>
              </w:rPr>
            </w:pPr>
          </w:p>
        </w:tc>
      </w:tr>
      <w:tr>
        <w:trPr>
          <w:trHeight w:val="234"/>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Company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19,226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43,138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27,189</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is a reconciliation of segment profit to income before income taxes and losses of unconsolidated affiliate for the years ended July 31, 2023, 2022 and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3"/>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2"/>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profit from reportable segments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246,245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220,365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191,992</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Unallocated costs: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Administrative costs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(24,865)</w:t>
            </w: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Gain on sale of business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Investment and other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4,333</w:t>
            </w:r>
          </w:p>
        </w:tc>
      </w:tr>
      <w:tr>
        <w:trPr>
          <w:trHeight w:val="213"/>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 and losses of unconsolidated affiliate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225,696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171,023</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sales by business platform for the years ended July 31, 2023, 2022 and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3"/>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2"/>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IDS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1,045,891</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1,010,883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841,508</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WPS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285,972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291,179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303,190</w:t>
            </w:r>
          </w:p>
        </w:tc>
      </w:tr>
      <w:tr>
        <w:trPr>
          <w:trHeight w:val="210"/>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Company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1,331,863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1,302,062</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1,144,698</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sales and long-lived assets by geographic region for the years ended July 31, 2023,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Revenues*</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Long-Lived Assets**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3"/>
        </w:trPr>
        <w:tc>
          <w:tcPr>
            <w:tcW w:w="2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Years Ended July 31,</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1"/>
              </w:rPr>
              <w:t>As of July 31,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209"/>
        </w:trPr>
        <w:tc>
          <w:tcPr>
            <w:tcW w:w="26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199"/>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Geographic information:</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2620" w:type="dxa"/>
            <w:vAlign w:val="bottom"/>
          </w:tcPr>
          <w:p>
            <w:pPr>
              <w:ind w:left="360"/>
              <w:spacing w:after="0"/>
              <w:rPr>
                <w:sz w:val="20"/>
                <w:szCs w:val="20"/>
                <w:color w:val="auto"/>
              </w:rPr>
            </w:pPr>
            <w:r>
              <w:rPr>
                <w:rFonts w:ascii="Arial" w:cs="Arial" w:eastAsia="Arial" w:hAnsi="Arial"/>
                <w:sz w:val="16"/>
                <w:szCs w:val="16"/>
                <w:color w:val="auto"/>
              </w:rPr>
              <w:t>United States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790,596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764,930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642,268</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524,258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543,187</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560,405</w:t>
            </w:r>
          </w:p>
        </w:tc>
      </w:tr>
      <w:tr>
        <w:trPr>
          <w:trHeight w:val="219"/>
        </w:trPr>
        <w:tc>
          <w:tcPr>
            <w:tcW w:w="26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610,553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613,433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565,956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288,477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309,686</w:t>
            </w:r>
          </w:p>
        </w:tc>
      </w:tr>
      <w:tr>
        <w:trPr>
          <w:trHeight w:val="213"/>
        </w:trPr>
        <w:tc>
          <w:tcPr>
            <w:tcW w:w="262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Eliminations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(69,286)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(76,301)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(63,526)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26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Consolidated total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1,331,863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1,302,062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1,144,698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826,579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831,664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870,091</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Revenues are attributed based on country of origin.</w:t>
      </w:r>
    </w:p>
    <w:p>
      <w:pPr>
        <w:spacing w:after="0" w:line="32" w:lineRule="exact"/>
        <w:rPr>
          <w:sz w:val="20"/>
          <w:szCs w:val="20"/>
          <w:color w:val="auto"/>
        </w:rPr>
      </w:pPr>
    </w:p>
    <w:p>
      <w:pPr>
        <w:ind w:left="560" w:hanging="210"/>
        <w:spacing w:after="0"/>
        <w:tabs>
          <w:tab w:leader="none" w:pos="560" w:val="left"/>
        </w:tabs>
        <w:numPr>
          <w:ilvl w:val="1"/>
          <w:numId w:val="15"/>
        </w:numPr>
        <w:rPr>
          <w:rFonts w:ascii="Arial" w:cs="Arial" w:eastAsia="Arial" w:hAnsi="Arial"/>
          <w:sz w:val="16"/>
          <w:szCs w:val="16"/>
          <w:color w:val="auto"/>
        </w:rPr>
      </w:pPr>
      <w:r>
        <w:rPr>
          <w:rFonts w:ascii="Arial" w:cs="Arial" w:eastAsia="Arial" w:hAnsi="Arial"/>
          <w:sz w:val="16"/>
          <w:szCs w:val="16"/>
          <w:color w:val="auto"/>
        </w:rPr>
        <w:t>Long-lived assets consist of property, plant and equipment, goodwill, other intangible assets, and operating lease assets.</w:t>
      </w:r>
    </w:p>
    <w:p>
      <w:pPr>
        <w:spacing w:after="0" w:line="200" w:lineRule="exact"/>
        <w:rPr>
          <w:rFonts w:ascii="Arial" w:cs="Arial" w:eastAsia="Arial" w:hAnsi="Arial"/>
          <w:sz w:val="16"/>
          <w:szCs w:val="16"/>
          <w:color w:val="auto"/>
        </w:rPr>
      </w:pPr>
    </w:p>
    <w:p>
      <w:pPr>
        <w:spacing w:after="0" w:line="309" w:lineRule="exact"/>
        <w:rPr>
          <w:rFonts w:ascii="Arial" w:cs="Arial" w:eastAsia="Arial" w:hAnsi="Arial"/>
          <w:sz w:val="16"/>
          <w:szCs w:val="16"/>
          <w:color w:val="auto"/>
        </w:rPr>
      </w:pPr>
    </w:p>
    <w:p>
      <w:pPr>
        <w:ind w:left="260" w:hanging="252"/>
        <w:spacing w:after="0"/>
        <w:tabs>
          <w:tab w:leader="none" w:pos="2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before income taxes and losses of unconsolidated affiliate consists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3"/>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2"/>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92,053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59,504</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Nations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133,643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98,995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111,519</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225,696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171,023</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increase in income before income taxes and losses of unconsolidated affiliates in Other Nations to $133,643 in fiscal 2023 from $98,995 in fiscal 2022 was primarily due to intercompany royalty payments to the United States that occurred in fiscal 2022 which reduced Other Nations income before income taxes and losses of unconsolidated affiliate by $32,857.</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decrease in income before income taxes and losses of unconsolidated affiliate in Other Nations to $98,995 in fiscal 2022 from $111,519 in fiscal 2021 was primarily due to intercompany royalty payments to the United States that occurred in fiscal 2022 which reduced Other Nations income before income taxes and losses of unconsolidated affiliate by $32,857. This was partially offset by improved profitability in Other Nations in fiscal 2022 compared to fiscal 2021.</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consists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3"/>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19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income tax expense:</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United States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26,324</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8,639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16,322</w:t>
            </w: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Nations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26,141</w:t>
            </w:r>
          </w:p>
        </w:tc>
      </w:tr>
      <w:tr>
        <w:trPr>
          <w:trHeight w:val="213"/>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States (U.S.)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w:t>
            </w:r>
          </w:p>
        </w:tc>
      </w:tr>
      <w:tr>
        <w:trPr>
          <w:trHeight w:val="213"/>
        </w:trPr>
        <w:tc>
          <w:tcPr>
            <w:tcW w:w="69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63,311</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44,575</w:t>
            </w:r>
          </w:p>
        </w:tc>
      </w:tr>
      <w:tr>
        <w:trPr>
          <w:trHeight w:val="193"/>
        </w:trPr>
        <w:tc>
          <w:tcPr>
            <w:tcW w:w="6940" w:type="dxa"/>
            <w:vAlign w:val="bottom"/>
          </w:tcPr>
          <w:p>
            <w:pPr>
              <w:ind w:left="20"/>
              <w:spacing w:after="0"/>
              <w:rPr>
                <w:sz w:val="20"/>
                <w:szCs w:val="20"/>
                <w:color w:val="auto"/>
              </w:rPr>
            </w:pPr>
            <w:r>
              <w:rPr>
                <w:rFonts w:ascii="Arial" w:cs="Arial" w:eastAsia="Arial" w:hAnsi="Arial"/>
                <w:sz w:val="16"/>
                <w:szCs w:val="16"/>
                <w:color w:val="auto"/>
              </w:rPr>
              <w:t>Deferred income tax (benefit) expense:</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United States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(10,577)</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(2,662)</w:t>
            </w: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Other Nations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(5,938)</w:t>
            </w:r>
          </w:p>
        </w:tc>
      </w:tr>
      <w:tr>
        <w:trPr>
          <w:trHeight w:val="216"/>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States (U.S.)</w:t>
            </w: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w:t>
            </w:r>
          </w:p>
        </w:tc>
      </w:tr>
      <w:tr>
        <w:trPr>
          <w:trHeight w:val="209"/>
        </w:trPr>
        <w:tc>
          <w:tcPr>
            <w:tcW w:w="69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(12,472)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(8,965)</w:t>
            </w: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income tax expense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50,839</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35,610</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effects of temporary differences are as follows as of July 31,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July 31, 2023</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12"/>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8,462</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Employee compensation and benefits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8,556</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Fixed assets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(6,120)</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(48,507)</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Capitalized R&amp;D expenditures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9,986</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and equity-based compensation</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9,937</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Postretirement benefits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2,583</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 and net operating loss carry-forwards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51,387</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Valuation allowances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(52,750)</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19,826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(4,798)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15,028</w:t>
            </w:r>
          </w:p>
        </w:tc>
      </w:tr>
      <w:tr>
        <w:trPr>
          <w:trHeight w:val="207"/>
        </w:trPr>
        <w:tc>
          <w:tcPr>
            <w:tcW w:w="6940" w:type="dxa"/>
            <w:vAlign w:val="bottom"/>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64,231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(63,467)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764</w:t>
            </w:r>
          </w:p>
        </w:tc>
      </w:tr>
      <w:tr>
        <w:trPr>
          <w:trHeight w:val="23"/>
        </w:trPr>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July 31, 2022</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210"/>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320" w:type="dxa"/>
            <w:vAlign w:val="bottom"/>
            <w:gridSpan w:val="2"/>
          </w:tcPr>
          <w:p>
            <w:pPr>
              <w:ind w:left="18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12"/>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8,058</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Employee compensation and benefits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8,146</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Fixed assets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(6,441)</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(49,236)</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Deferred and equity-based compensation</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9,221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9,221</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Postretirement benefits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2,301</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Tax credit and net operating loss carry-forwards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49,006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49,006</w:t>
            </w: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(47,276)</w:t>
            </w:r>
          </w:p>
        </w:tc>
      </w:tr>
      <w:tr>
        <w:trPr>
          <w:trHeight w:val="213"/>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(5,226)</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12,693</w:t>
            </w:r>
          </w:p>
        </w:tc>
      </w:tr>
      <w:tr>
        <w:trPr>
          <w:trHeight w:val="23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53,570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(64,993)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(11,423)</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Tax credit carry-forwards as of July 31, 2023 consist of the following:</w:t>
      </w:r>
    </w:p>
    <w:p>
      <w:pPr>
        <w:spacing w:after="0" w:line="171" w:lineRule="exact"/>
        <w:rPr>
          <w:sz w:val="20"/>
          <w:szCs w:val="20"/>
          <w:color w:val="auto"/>
        </w:rPr>
      </w:pPr>
    </w:p>
    <w:p>
      <w:pPr>
        <w:ind w:left="980" w:hanging="324"/>
        <w:spacing w:after="0" w:line="277"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Foreign net operating loss carry-forwards of $95,141, of which $76,902 have no expiration date and the remainder of which expire from fiscal 2024 to fiscal 2040.</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 net operating loss carry-forwards of $22,424, which expire in fiscal 2032.</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Foreign tax credit carry-forwards of $20,153, which expire from fiscal 2024 to fiscal 2033.</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 credit carry-forwards of $13,151, which expire from fiscal 2024 to fiscal 2038.</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Rate Reconciliation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reconciliation of the income tax rate computed by applying the statutory U.S. federal income tax rate to income before income taxes and losses of unconsolidated affiliate to the total income tax expense is as follows:</w:t>
      </w:r>
    </w:p>
    <w:p>
      <w:pPr>
        <w:spacing w:after="0" w:line="157"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Years Ended July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2"/>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Tax at statutory rate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6"/>
        </w:trPr>
        <w:tc>
          <w:tcPr>
            <w:tcW w:w="75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International rate differential </w:t>
            </w:r>
            <w:r>
              <w:rPr>
                <w:rFonts w:ascii="Arial" w:cs="Arial" w:eastAsia="Arial" w:hAnsi="Arial"/>
                <w:sz w:val="21"/>
                <w:szCs w:val="21"/>
                <w:color w:val="auto"/>
                <w:vertAlign w:val="superscript"/>
              </w:rPr>
              <w:t>(1)</w:t>
            </w:r>
          </w:p>
        </w:tc>
        <w:tc>
          <w:tcPr>
            <w:tcW w:w="52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16"/>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tax accruals and reserves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3.3 %</w:t>
            </w:r>
          </w:p>
        </w:tc>
      </w:tr>
      <w:tr>
        <w:trPr>
          <w:trHeight w:val="213"/>
        </w:trPr>
        <w:tc>
          <w:tcPr>
            <w:tcW w:w="758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 tax credits</w:t>
            </w:r>
          </w:p>
        </w:tc>
        <w:tc>
          <w:tcPr>
            <w:tcW w:w="5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9"/>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Valuation allowance against foreign tax credits and foreign net operating loss carry-forwards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7580" w:type="dxa"/>
            <w:vAlign w:val="bottom"/>
            <w:gridSpan w:val="2"/>
          </w:tcPr>
          <w:p>
            <w:pPr>
              <w:ind w:left="20"/>
              <w:spacing w:after="0"/>
              <w:rPr>
                <w:sz w:val="20"/>
                <w:szCs w:val="20"/>
                <w:color w:val="auto"/>
              </w:rPr>
            </w:pPr>
            <w:r>
              <w:rPr>
                <w:rFonts w:ascii="Arial" w:cs="Arial" w:eastAsia="Arial" w:hAnsi="Arial"/>
                <w:sz w:val="16"/>
                <w:szCs w:val="16"/>
                <w:color w:val="auto"/>
              </w:rPr>
              <w:t>Deferred tax and other adjustments, net</w:t>
            </w:r>
          </w:p>
        </w:tc>
        <w:tc>
          <w:tcPr>
            <w:tcW w:w="5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35"/>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rate</w:t>
            </w: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20.8 %</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60" w:hanging="328"/>
        <w:spacing w:after="0" w:line="277" w:lineRule="auto"/>
        <w:tabs>
          <w:tab w:leader="none" w:pos="6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foreign income tax rate differential when compared to the U.S. statutory income tax rate for the years ended July 31, 2023, 2022, and 2021.</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follows the guidance in ASC 740, "Income Taxes" regarding uncertain tax positions. The guidance requires application of a more-likely-than-not threshold to the recognition and de-recognition of income tax positions. A reconciliation of unrecognized tax benefits (excluding interest and penalties)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July 31, 2020</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Additions for tax positions of prior years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Lapse of statute of limitations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July 31, 2021</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 for tax positions of prior years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Reductions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Lapse of statute of limitations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Settlements with tax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Cumulative translation adjustments and other</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July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Additions based on tax positions related to the current year</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Reductions for tax positions of prior years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Settlements with tax authorities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Cumulative translation adjustments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Balance as of July 31, 2023</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826" w:hanging="826"/>
        <w:spacing w:after="0"/>
        <w:tabs>
          <w:tab w:leader="none" w:pos="8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13,622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43815</wp:posOffset>
            </wp:positionV>
            <wp:extent cx="8655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4,664</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3,940</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(365)</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(159)</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210</w:t>
      </w:r>
    </w:p>
    <w:p>
      <w:pPr>
        <w:spacing w:after="0" w:line="46" w:lineRule="exact"/>
        <w:rPr>
          <w:sz w:val="20"/>
          <w:szCs w:val="20"/>
          <w:color w:val="auto"/>
        </w:rPr>
      </w:pPr>
    </w:p>
    <w:p>
      <w:pPr>
        <w:ind w:left="826" w:hanging="826"/>
        <w:spacing w:after="0"/>
        <w:tabs>
          <w:tab w:leader="none" w:pos="826" w:val="left"/>
        </w:tabs>
        <w:numPr>
          <w:ilvl w:val="0"/>
          <w:numId w:val="20"/>
        </w:numPr>
        <w:rPr>
          <w:rFonts w:ascii="Arial" w:cs="Arial" w:eastAsia="Arial" w:hAnsi="Arial"/>
          <w:sz w:val="16"/>
          <w:szCs w:val="16"/>
          <w:color w:val="auto"/>
        </w:rPr>
      </w:pPr>
      <w:r>
        <w:rPr>
          <w:rFonts w:ascii="Arial" w:cs="Arial" w:eastAsia="Arial" w:hAnsi="Arial"/>
          <w:sz w:val="16"/>
          <w:szCs w:val="16"/>
          <w:color w:val="auto"/>
        </w:rPr>
        <w:t>21,912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43815</wp:posOffset>
            </wp:positionV>
            <wp:extent cx="8655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3,233</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435</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(122)</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(3,226)</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(1,129)</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8655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6" w:lineRule="exact"/>
        <w:rPr>
          <w:sz w:val="20"/>
          <w:szCs w:val="20"/>
          <w:color w:val="auto"/>
        </w:rPr>
      </w:pPr>
    </w:p>
    <w:p>
      <w:pPr>
        <w:ind w:left="826" w:hanging="826"/>
        <w:spacing w:after="0"/>
        <w:tabs>
          <w:tab w:leader="none" w:pos="826" w:val="left"/>
        </w:tabs>
        <w:numPr>
          <w:ilvl w:val="0"/>
          <w:numId w:val="21"/>
        </w:numPr>
        <w:rPr>
          <w:rFonts w:ascii="Arial" w:cs="Arial" w:eastAsia="Arial" w:hAnsi="Arial"/>
          <w:sz w:val="16"/>
          <w:szCs w:val="16"/>
          <w:color w:val="auto"/>
        </w:rPr>
      </w:pPr>
      <w:r>
        <w:rPr>
          <w:rFonts w:ascii="Arial" w:cs="Arial" w:eastAsia="Arial" w:hAnsi="Arial"/>
          <w:sz w:val="16"/>
          <w:szCs w:val="16"/>
          <w:color w:val="auto"/>
        </w:rPr>
        <w:t>20,564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8655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66"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2,902</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792</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(19)</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(2,682)</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(782)</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124</w:t>
      </w:r>
    </w:p>
    <w:p>
      <w:pPr>
        <w:spacing w:after="0" w:line="46" w:lineRule="exact"/>
        <w:rPr>
          <w:sz w:val="20"/>
          <w:szCs w:val="20"/>
          <w:color w:val="auto"/>
        </w:rPr>
      </w:pPr>
    </w:p>
    <w:p>
      <w:pPr>
        <w:ind w:left="826" w:hanging="826"/>
        <w:spacing w:after="0"/>
        <w:tabs>
          <w:tab w:leader="none" w:pos="826" w:val="left"/>
        </w:tabs>
        <w:numPr>
          <w:ilvl w:val="0"/>
          <w:numId w:val="22"/>
        </w:numPr>
        <w:rPr>
          <w:rFonts w:ascii="Arial" w:cs="Arial" w:eastAsia="Arial" w:hAnsi="Arial"/>
          <w:sz w:val="16"/>
          <w:szCs w:val="16"/>
          <w:color w:val="auto"/>
        </w:rPr>
      </w:pPr>
      <w:r>
        <w:rPr>
          <w:rFonts w:ascii="Arial" w:cs="Arial" w:eastAsia="Arial" w:hAnsi="Arial"/>
          <w:sz w:val="16"/>
          <w:szCs w:val="16"/>
          <w:color w:val="auto"/>
        </w:rPr>
        <w:t>20,899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43815</wp:posOffset>
            </wp:positionV>
            <wp:extent cx="8655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74" w:space="720"/>
            <w:col w:w="1346"/>
          </w:cols>
          <w:pgMar w:left="320" w:top="122" w:right="339" w:bottom="1440" w:gutter="0" w:footer="0" w:header="0"/>
          <w:type w:val="continuous"/>
        </w:sectPr>
      </w:pP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acquisitions.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Of the $20,899 of unrecognized tax benefits, if recognized, $17,811 would affect the Company's income tax rate. The Company has classified $17,587 and $17,689, excluding interest and penalties, of the reserve for uncertain tax positions in "Other liabilities" on the Consolidated Balance Sheets as of July 31, 2023 and 2022, respectively. The Company has classified $3,312 and $2,875, excluding interest and penalties, as a reduction of long-term deferred income tax assets on the accompanying Consolidated Balance Sheets as of July 31, 2023 and 2022, respectively.</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Interest expense is recognized on the amount of potentially underpaid taxes associated with the Company's tax positions, beginning in the first period in which interest starts accruing under the respective tax law and continuing until the tax positions are settled. The Company recognized interest expense of $700, $701, and $596 on the reserve for uncertain tax positions during the years ended July 31, 2023, 2022, and 2021, respectively. The Company also recognized benefits and (expenses) related to penalties of $281, $82, and ($595) during the years ended July 31, 2023, 2022, and 2021, respectively. These amounts are net of reversals due to reductions for tax positions of prior years, statute of limitations, and settlements. At July 31, 2023 and 2022, the Company had $3,581 and $2,878, respectively, accrued for interest on unrecognized tax benefits. Penalties are accrued if the tax position does not meet the minimum statutory threshold to avoid the payment of a penalty. At July 31, 2023 and 2022, the Company had $1,674 and $1,925, respectively, accrued for penalties on unrecognized tax benefits. Interest expense and penalties are recorded as a component of "Income tax expense" in the Consolidated Statements of Income.</w:t>
      </w:r>
    </w:p>
    <w:p>
      <w:pPr>
        <w:spacing w:after="0" w:line="12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estimates that it is reasonably possible that the unrecognized tax benefits may be reduced by $2,608 during the year ending July 31, 2023 as a result of the resolution of worldwide tax matters, tax audit settlements, amended tax filings, and/or the expiration of statute of limitations, all of which, if recognized, would result in an income tax benefit in the Consolidated Statements of Income.</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During the year ended July 31, 2023, the Company recognized $3,771 of tax benefits (including interest and penalties) associated with the lapse of statutes of limitations.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and its subsidiaries file income tax returns in the U.S., various states, and foreign jurisdictions. The following table summarizes the open tax years for the Company's major jurisdictions: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Jurisdiction</w:t>
            </w:r>
          </w:p>
        </w:tc>
        <w:tc>
          <w:tcPr>
            <w:tcW w:w="100" w:type="dxa"/>
            <w:vAlign w:val="bottom"/>
            <w:tcBorders>
              <w:bottom w:val="single" w:sz="8" w:color="CCEEFF"/>
            </w:tcBorders>
          </w:tcPr>
          <w:p>
            <w:pPr>
              <w:spacing w:after="0"/>
              <w:rPr>
                <w:sz w:val="18"/>
                <w:szCs w:val="18"/>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Open Tax Years</w:t>
            </w:r>
          </w:p>
        </w:tc>
      </w:tr>
      <w:tr>
        <w:trPr>
          <w:trHeight w:val="212"/>
        </w:trPr>
        <w:tc>
          <w:tcPr>
            <w:tcW w:w="87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United States — Federal</w:t>
            </w:r>
          </w:p>
        </w:tc>
        <w:tc>
          <w:tcPr>
            <w:tcW w:w="2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F’20 — F’23</w:t>
            </w: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Common Share</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Reconciliations of the numerator and denominator of the basic and diluted per share computations for the Company’s Class A and Class B common stock are summarized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w w:val="93"/>
              </w:rPr>
              <w:t>Years ended July 31,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6940" w:type="dxa"/>
            <w:vAlign w:val="bottom"/>
          </w:tcPr>
          <w:p>
            <w:pPr>
              <w:ind w:left="20"/>
              <w:spacing w:after="0"/>
              <w:rPr>
                <w:sz w:val="20"/>
                <w:szCs w:val="20"/>
                <w:color w:val="auto"/>
              </w:rPr>
            </w:pPr>
            <w:r>
              <w:rPr>
                <w:rFonts w:ascii="Arial" w:cs="Arial" w:eastAsia="Arial" w:hAnsi="Arial"/>
                <w:sz w:val="16"/>
                <w:szCs w:val="16"/>
                <w:color w:val="auto"/>
              </w:rPr>
              <w:t>Numerator (in thousands):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9"/>
              </w:rPr>
              <w:t>Net Income (Numerator for basic and diluted income per Class A Nonvoting Common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174,857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149,979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129,659</w:t>
            </w: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Less: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Preferential dividends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Preferential dividends on dilutive stock options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Numerator for basic and diluted income per Class B Voting Common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174,085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149,168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128,847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Denominator (in thousands):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Denominator for basic income per share for both Class A and Class B</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51,321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52,039</w:t>
            </w:r>
          </w:p>
        </w:tc>
        <w:tc>
          <w:tcPr>
            <w:tcW w:w="0" w:type="dxa"/>
            <w:vAlign w:val="bottom"/>
          </w:tcPr>
          <w:p>
            <w:pPr>
              <w:spacing w:after="0"/>
              <w:rPr>
                <w:sz w:val="1"/>
                <w:szCs w:val="1"/>
                <w:color w:val="auto"/>
              </w:rPr>
            </w:pPr>
          </w:p>
        </w:tc>
      </w:tr>
      <w:tr>
        <w:trPr>
          <w:trHeight w:val="213"/>
        </w:trPr>
        <w:tc>
          <w:tcPr>
            <w:tcW w:w="69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Plus: Effect of dilutive equity awards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34"/>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Denominator for diluted income per share for both Class A and Class B</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49,869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51,651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52,409</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Net income per Class A Nonvoting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0" w:type="dxa"/>
            <w:vAlign w:val="bottom"/>
          </w:tcPr>
          <w:p>
            <w:pPr>
              <w:spacing w:after="0"/>
              <w:rPr>
                <w:sz w:val="1"/>
                <w:szCs w:val="1"/>
                <w:color w:val="auto"/>
              </w:rPr>
            </w:pPr>
          </w:p>
        </w:tc>
      </w:tr>
      <w:tr>
        <w:trPr>
          <w:trHeight w:val="213"/>
        </w:trPr>
        <w:tc>
          <w:tcPr>
            <w:tcW w:w="6940" w:type="dxa"/>
            <w:vAlign w:val="bottom"/>
          </w:tcPr>
          <w:p>
            <w:pPr>
              <w:ind w:left="68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3.51</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2.47</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Class B Voting Common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6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3.51</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Potentially dilutive securities attributable to outstanding stock options and restricted stock units were excluded from the calculation of diluted earnings per share where the combined exercise price and average unamortized fair value were greater than the average market price of Brady's Class A Nonvoting Common Stock because the effect would have been anti-dilutive. The amount of anti-dilutive shares were 549,031, 497,307, and 511,189 for the years ended July 31, 2023, 2022, and 2021,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fair value accounting guidance, the Company determines fair value based on the exchange price that would be received to sell an asset or paid to transfer a liability in an orderly transaction between market participants. The inputs used to measure fair value are classified into the following hierarchy: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in active markets for identical instruments that are accessible as of the reporting date.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Other significant pricing inputs that are either directly or indirectly observable.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Significant unobservable pricing inputs, which result in the use of management's own assumptions.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Company's financial assets and liabilities that were accounted for at fair value on a recurring basis at July 31, 2023 and July 31, 2022, according to the valuation techniques the Company used to determine their fair values.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July 31, 2023</w:t>
            </w:r>
          </w:p>
        </w:tc>
        <w:tc>
          <w:tcPr>
            <w:tcW w:w="160" w:type="dxa"/>
            <w:vAlign w:val="bottom"/>
          </w:tcPr>
          <w:p>
            <w:pPr>
              <w:spacing w:after="0"/>
              <w:rPr>
                <w:sz w:val="16"/>
                <w:szCs w:val="16"/>
                <w:color w:val="auto"/>
              </w:rPr>
            </w:pPr>
          </w:p>
        </w:tc>
        <w:tc>
          <w:tcPr>
            <w:tcW w:w="13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July 31, 2022</w:t>
            </w:r>
          </w:p>
        </w:tc>
        <w:tc>
          <w:tcPr>
            <w:tcW w:w="1360" w:type="dxa"/>
            <w:vAlign w:val="bottom"/>
          </w:tcPr>
          <w:p>
            <w:pPr>
              <w:ind w:left="320"/>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360" w:type="dxa"/>
            <w:vAlign w:val="bottom"/>
          </w:tcPr>
          <w:p>
            <w:pPr>
              <w:ind w:left="320"/>
              <w:spacing w:after="0"/>
              <w:rPr>
                <w:sz w:val="20"/>
                <w:szCs w:val="20"/>
                <w:color w:val="auto"/>
              </w:rPr>
            </w:pPr>
            <w:r>
              <w:rPr>
                <w:rFonts w:ascii="Arial" w:cs="Arial" w:eastAsia="Arial" w:hAnsi="Arial"/>
                <w:sz w:val="16"/>
                <w:szCs w:val="16"/>
                <w:b w:val="1"/>
                <w:bCs w:val="1"/>
                <w:color w:val="auto"/>
              </w:rPr>
              <w:t>Hierarchy</w:t>
            </w:r>
          </w:p>
        </w:tc>
        <w:tc>
          <w:tcPr>
            <w:tcW w:w="0" w:type="dxa"/>
            <w:vAlign w:val="bottom"/>
          </w:tcPr>
          <w:p>
            <w:pPr>
              <w:spacing w:after="0"/>
              <w:rPr>
                <w:sz w:val="1"/>
                <w:szCs w:val="1"/>
                <w:color w:val="auto"/>
              </w:rPr>
            </w:pPr>
          </w:p>
        </w:tc>
      </w:tr>
      <w:tr>
        <w:trPr>
          <w:trHeight w:val="19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360"/>
              <w:spacing w:after="0"/>
              <w:rPr>
                <w:sz w:val="20"/>
                <w:szCs w:val="20"/>
                <w:color w:val="auto"/>
              </w:rPr>
            </w:pPr>
            <w:r>
              <w:rPr>
                <w:rFonts w:ascii="Arial" w:cs="Arial" w:eastAsia="Arial" w:hAnsi="Arial"/>
                <w:sz w:val="16"/>
                <w:szCs w:val="16"/>
                <w:color w:val="auto"/>
              </w:rPr>
              <w:t>Deferred compensation plan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18,288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18,037</w:t>
            </w:r>
          </w:p>
        </w:tc>
        <w:tc>
          <w:tcPr>
            <w:tcW w:w="120" w:type="dxa"/>
            <w:vAlign w:val="bottom"/>
          </w:tcPr>
          <w:p>
            <w:pPr>
              <w:spacing w:after="0"/>
              <w:rPr>
                <w:sz w:val="18"/>
                <w:szCs w:val="18"/>
                <w:color w:val="auto"/>
              </w:rPr>
            </w:pPr>
          </w:p>
        </w:tc>
        <w:tc>
          <w:tcPr>
            <w:tcW w:w="1360" w:type="dxa"/>
            <w:vAlign w:val="bottom"/>
          </w:tcPr>
          <w:p>
            <w:pPr>
              <w:ind w:left="860"/>
              <w:spacing w:after="0"/>
              <w:rPr>
                <w:sz w:val="20"/>
                <w:szCs w:val="20"/>
                <w:color w:val="auto"/>
              </w:rPr>
            </w:pPr>
            <w:r>
              <w:rPr>
                <w:rFonts w:ascii="Arial" w:cs="Arial" w:eastAsia="Arial" w:hAnsi="Arial"/>
                <w:sz w:val="16"/>
                <w:szCs w:val="16"/>
                <w:color w:val="auto"/>
                <w:w w:val="92"/>
              </w:rPr>
              <w:t>Level 1</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contracts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2"/>
              </w:rPr>
              <w:t>Level 2</w:t>
            </w:r>
          </w:p>
        </w:tc>
        <w:tc>
          <w:tcPr>
            <w:tcW w:w="0" w:type="dxa"/>
            <w:vAlign w:val="bottom"/>
          </w:tcPr>
          <w:p>
            <w:pPr>
              <w:spacing w:after="0"/>
              <w:rPr>
                <w:sz w:val="1"/>
                <w:szCs w:val="1"/>
                <w:color w:val="auto"/>
              </w:rPr>
            </w:pP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Foreign exchange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ind w:left="860"/>
              <w:spacing w:after="0"/>
              <w:rPr>
                <w:sz w:val="20"/>
                <w:szCs w:val="20"/>
                <w:color w:val="auto"/>
              </w:rPr>
            </w:pPr>
            <w:r>
              <w:rPr>
                <w:rFonts w:ascii="Arial" w:cs="Arial" w:eastAsia="Arial" w:hAnsi="Arial"/>
                <w:sz w:val="16"/>
                <w:szCs w:val="16"/>
                <w:color w:val="auto"/>
                <w:w w:val="92"/>
              </w:rPr>
              <w:t>Level 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Deferred compensation plan assets</w:t>
      </w:r>
      <w:r>
        <w:rPr>
          <w:rFonts w:ascii="Arial" w:cs="Arial" w:eastAsia="Arial" w:hAnsi="Arial"/>
          <w:sz w:val="18"/>
          <w:szCs w:val="18"/>
          <w:color w:val="auto"/>
        </w:rPr>
        <w:t>: The Company’s deferred compensation investments consist of investments in mutual funds, which are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assets" on the accompanying Consolidated Balance Sheets. These investments were classified as Level 1 as the shares of these investments trade with sufficient frequency and volume to enable us to obtain pricing information on an ongoing basis.</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Foreign exchange contracts</w:t>
      </w:r>
      <w:r>
        <w:rPr>
          <w:rFonts w:ascii="Arial" w:cs="Arial" w:eastAsia="Arial" w:hAnsi="Arial"/>
          <w:sz w:val="18"/>
          <w:szCs w:val="18"/>
          <w:color w:val="auto"/>
        </w:rPr>
        <w:t>: The Company’s foreign exchange contracts were classified as Level 2 as the fair value was based on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future cash flows using external models that use observable inputs, such as interest rates, yield curves and foreign exchange rates. See Note 14, “Derivatives and Hedging Activities,” for additional information.</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transfers of assets or liabilities between the fair value hierarchy levels, outlined above, during the years ended July 31, 2023 and July 31, 2022.</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information regarding the fair value of the Company's long-term debt.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Derivatives and Hedging Activities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utilizes forward foreign exchange currency contracts to reduce the exchange rate risk of specific foreign currency denominated transactions. These contracts typically require the exchange of a foreign currency for U.S. dollars at a fixed rate at a future date, with maturities of less than 18 months, which qualify as cash flow hedges or net investment hedges under the accounting guidance for derivative instruments and hedging activities. The primary objective of the Company’s foreign currency exchange risk management program is to minimize the impact of currency movements due to transactions in other than the respective subsidiaries’ functional currency and to minimize the impact of currency movements on the Company’s net investment denominated in a currency other than the U.S. dollar. To achieve this objective, the Company hedges a portion of known exposures using forward foreign exchange contracts.</w:t>
      </w:r>
    </w:p>
    <w:p>
      <w:pPr>
        <w:spacing w:after="0" w:line="1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Main foreign currency exposures are related to transactions denominated in the British Pound, Euro, Canadian dollar, Australian dollar, Mexican Peso, Chinese Yuan, Malaysian Ringgit and Singapore dollar. Generally, these risk management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transactions will involve the use of foreign currency derivatives to minimize the impact of currency movements on non-functional currency transactions.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U.S. dollar equivalent notional amounts of outstanding forward exchange contracts were as follows as of July 31, 2023 and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July 31, 2023</w:t>
            </w:r>
          </w:p>
        </w:tc>
        <w:tc>
          <w:tcPr>
            <w:tcW w:w="1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July 31, 2022</w:t>
            </w:r>
          </w:p>
        </w:tc>
      </w:tr>
      <w:tr>
        <w:trPr>
          <w:trHeight w:val="213"/>
        </w:trPr>
        <w:tc>
          <w:tcPr>
            <w:tcW w:w="8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Designated as cash flow hedges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39,661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25,276</w:t>
            </w:r>
          </w:p>
        </w:tc>
      </w:tr>
      <w:tr>
        <w:trPr>
          <w:trHeight w:val="213"/>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Non-designated hedges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4,057</w:t>
            </w:r>
          </w:p>
        </w:tc>
      </w:tr>
      <w:tr>
        <w:trPr>
          <w:trHeight w:val="238"/>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foreign exchange contracts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44,464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29,333</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designated a portion of its forward foreign exchange contracts as cash flow hedges and recorded these contracts at fair value on the accompanying Consolidated Balance Sheets. For these instruments, the gain or loss on the derivative is reported as a component of other comprehensive income (“OCI”) and reclassified into income in the same period or periods during which the hedged transaction affects income. At July 31, 2023 and 2022, unrealized gains of $1,580 and $1,040 have been included in AOCI,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Investment Hedges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has designated certain third party foreign currency denominated debt borrowed under its credit agreement as net investment hedges. These debt obligations, denominated in Euros and British Pounds, were designated as net investment hedges to hedge portions of the Company's net investment in its European operations. The Company’s foreign currency denominated debt obligations are valued under a market approach using publicized spot prices, and the net gains or losses attributable to the changes in spot prices are recorded as cumulative translation within AOCI and are included in the foreign currency translation adjustments section of the consolidated statements of comprehensive income. As of July 31, 2023 and July 31, 2022, the cumulative balance recognized in accumulated other comprehensive income were losses of $1,746 and $0, respectively, on any outstanding foreign currency denominated debt obligations.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amount of pre-tax gains and losses related to derivatives designated as hedging instruments: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July 31, 2023</w:t>
            </w: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July 31, 2022</w:t>
            </w:r>
          </w:p>
        </w:tc>
        <w:tc>
          <w:tcPr>
            <w:tcW w:w="160" w:type="dxa"/>
            <w:vAlign w:val="bottom"/>
          </w:tcPr>
          <w:p>
            <w:pPr>
              <w:spacing w:after="0"/>
              <w:rPr>
                <w:sz w:val="18"/>
                <w:szCs w:val="18"/>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b w:val="1"/>
                <w:bCs w:val="1"/>
                <w:color w:val="auto"/>
                <w:w w:val="97"/>
              </w:rPr>
              <w:t>July 31, 2021</w:t>
            </w:r>
          </w:p>
        </w:tc>
      </w:tr>
      <w:tr>
        <w:trPr>
          <w:trHeight w:val="19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Gains (losses) recognized in OCI:</w:t>
            </w: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3"/>
        </w:trPr>
        <w:tc>
          <w:tcPr>
            <w:tcW w:w="6940" w:type="dxa"/>
            <w:vAlign w:val="bottom"/>
          </w:tcPr>
          <w:p>
            <w:pPr>
              <w:ind w:left="220"/>
              <w:spacing w:after="0"/>
              <w:rPr>
                <w:sz w:val="20"/>
                <w:szCs w:val="20"/>
                <w:color w:val="auto"/>
              </w:rPr>
            </w:pPr>
            <w:r>
              <w:rPr>
                <w:rFonts w:ascii="Arial" w:cs="Arial" w:eastAsia="Arial" w:hAnsi="Arial"/>
                <w:sz w:val="16"/>
                <w:szCs w:val="16"/>
                <w:color w:val="auto"/>
              </w:rPr>
              <w:t>Forward exchange contracts (cash flow hedges)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center"/>
              <w:ind w:left="599"/>
              <w:spacing w:after="0"/>
              <w:rPr>
                <w:sz w:val="20"/>
                <w:szCs w:val="20"/>
                <w:color w:val="auto"/>
              </w:rPr>
            </w:pPr>
            <w:r>
              <w:rPr>
                <w:rFonts w:ascii="Arial" w:cs="Arial" w:eastAsia="Arial" w:hAnsi="Arial"/>
                <w:sz w:val="16"/>
                <w:szCs w:val="16"/>
                <w:color w:val="auto"/>
                <w:w w:val="89"/>
              </w:rPr>
              <w:t>2,680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1,282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1,451</w:t>
            </w:r>
          </w:p>
        </w:tc>
      </w:tr>
      <w:tr>
        <w:trPr>
          <w:trHeight w:val="219"/>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denominated debt (net investment hedges)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94"/>
              </w:rPr>
              <w:t>(1,746)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Gains reclassified from OCI into cost of goods sold: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Forward exchange contracts (cash flow hedges)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89"/>
              </w:rPr>
              <w:t>2,140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Fair values of derivative and hedging instruments in the accompanying Consolidated Balance Sheets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3"/>
              </w:rPr>
              <w:t>July 31, 2023</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6"/>
                <w:szCs w:val="16"/>
                <w:b w:val="1"/>
                <w:bCs w:val="1"/>
                <w:color w:val="auto"/>
              </w:rPr>
              <w:t>July 31, 2022</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5"/>
              </w:rPr>
              <w:t>Prepaid</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1"/>
              </w:rPr>
              <w:t>Prepaid</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6"/>
              </w:rPr>
              <w:t>expenses and</w:t>
            </w: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3"/>
              </w:rPr>
              <w:t>Other current</w:t>
            </w:r>
          </w:p>
        </w:tc>
        <w:tc>
          <w:tcPr>
            <w:tcW w:w="14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Long-term</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4"/>
              </w:rPr>
              <w:t>expenses and</w:t>
            </w:r>
          </w:p>
        </w:tc>
        <w:tc>
          <w:tcPr>
            <w:tcW w:w="11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9"/>
              </w:rPr>
              <w:t>Other current</w:t>
            </w:r>
          </w:p>
        </w:tc>
        <w:tc>
          <w:tcPr>
            <w:tcW w:w="0" w:type="dxa"/>
            <w:vAlign w:val="bottom"/>
          </w:tcPr>
          <w:p>
            <w:pPr>
              <w:spacing w:after="0"/>
              <w:rPr>
                <w:sz w:val="1"/>
                <w:szCs w:val="1"/>
                <w:color w:val="auto"/>
              </w:rPr>
            </w:pPr>
          </w:p>
        </w:tc>
      </w:tr>
      <w:tr>
        <w:trPr>
          <w:trHeight w:val="162"/>
        </w:trPr>
        <w:tc>
          <w:tcPr>
            <w:tcW w:w="5160" w:type="dxa"/>
            <w:vAlign w:val="bottom"/>
          </w:tcPr>
          <w:p>
            <w:pPr>
              <w:spacing w:after="0"/>
              <w:rPr>
                <w:sz w:val="14"/>
                <w:szCs w:val="14"/>
                <w:color w:val="auto"/>
              </w:rPr>
            </w:pPr>
          </w:p>
        </w:tc>
        <w:tc>
          <w:tcPr>
            <w:tcW w:w="122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other current</w:t>
            </w: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4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other current</w:t>
            </w: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0"/>
              </w:rPr>
              <w:t>assets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liabilities</w:t>
            </w: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obligations</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0"/>
              </w:rPr>
              <w:t>assets</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220"/>
              <w:spacing w:after="0"/>
              <w:rPr>
                <w:sz w:val="20"/>
                <w:szCs w:val="20"/>
                <w:color w:val="auto"/>
              </w:rPr>
            </w:pPr>
            <w:r>
              <w:rPr>
                <w:rFonts w:ascii="Arial" w:cs="Arial" w:eastAsia="Arial" w:hAnsi="Arial"/>
                <w:sz w:val="16"/>
                <w:szCs w:val="16"/>
                <w:color w:val="auto"/>
              </w:rPr>
              <w:t>Foreign exchange contracts (cash flow hedges)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240" w:type="dxa"/>
            <w:vAlign w:val="bottom"/>
          </w:tcPr>
          <w:p>
            <w:pPr>
              <w:jc w:val="right"/>
              <w:spacing w:after="0"/>
              <w:rPr>
                <w:sz w:val="20"/>
                <w:szCs w:val="20"/>
                <w:color w:val="auto"/>
              </w:rPr>
            </w:pPr>
            <w:r>
              <w:rPr>
                <w:rFonts w:ascii="Arial" w:cs="Arial" w:eastAsia="Arial" w:hAnsi="Arial"/>
                <w:sz w:val="16"/>
                <w:szCs w:val="16"/>
                <w:color w:val="auto"/>
                <w:w w:val="78"/>
              </w:rPr>
              <w:t>30</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denominated debt (net investment hedges)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exchange contracts (non-designated hedges)</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6"/>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Total derivative instruments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36,716</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489</w:t>
            </w:r>
          </w:p>
        </w:tc>
        <w:tc>
          <w:tcPr>
            <w:tcW w:w="12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78"/>
              </w:rPr>
              <w:t>32</w:t>
            </w:r>
          </w:p>
        </w:tc>
        <w:tc>
          <w:tcPr>
            <w:tcW w:w="0" w:type="dxa"/>
            <w:vAlign w:val="bottom"/>
          </w:tcPr>
          <w:p>
            <w:pPr>
              <w:spacing w:after="0"/>
              <w:rPr>
                <w:sz w:val="1"/>
                <w:szCs w:val="1"/>
                <w:color w:val="auto"/>
              </w:rPr>
            </w:pPr>
          </w:p>
        </w:tc>
      </w:tr>
      <w:tr>
        <w:trPr>
          <w:trHeight w:val="24"/>
        </w:trPr>
        <w:tc>
          <w:tcPr>
            <w:tcW w:w="5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Acquisitions</w:t>
      </w:r>
    </w:p>
    <w:p>
      <w:pPr>
        <w:spacing w:after="0" w:line="1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did not complete any business acquisitions during the years ended July 31, 2023 and 2022 and completed three business acquisitions during the year ended July 31, 2021. All of these transactions were accounted for using business combination accounting. The results of the operations of the acquired businesses have been included since the date of acquisition in the accompanying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2021</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21, 2021, the Company acquired Magicard Holdings Limited (“Magicard”), based in Weymouth, United Kingdom, for $56,694, net of cash received. Magicard is a manufacturer of identification card printers with high-resolution, full-color image capabilities, built-in security features and the ability to encode smart cards. Magicard was initially included in the Company’s IDS segment. As a result of the regional reorganization effective February 1, 2023, Magicard operates within both of our reportable segments.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May 21, 2021, the Company acquired Nordic ID Oyj (“Nordic ID”), based in Salo, Finland for $9,804 plus the assumption of debt of $4,668. Nordic ID specializes in RFID readers, scanners, and the associated software to power track-and-trace applications in industrial manufacturing. Nordic ID was initially included in the Company’s IDS segment. As a result of the regional reorganization effective February 1, 2023, Nordic ID operates within both of our reportable segments.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June 16, 2021, the Company acquired The Code Corporation (“Code”), based in Salt Lake City, Utah, for $172,815, net of cash received. Code specializes in high-quality barcode scanners and the associated software to power track and trace applications in a variety of industries. Code was initially included in the Company’s IDS segment. As a result of the regional reorganization effective February 1, 2023, Code operates within both of our reportable segments.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Acquisition-related expenses of $3,164 were recognized in SG&amp;A during the year ended July 31, 2021.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normal course of business, the Company is subject to a variety of investigations, claims, suits, and other legal proceedings, including but not limited to, intellectual property, employment, unclaimed property, tort, and breach of contract matters. Any legal proceedings are subject to inherent uncertainties, and these matters and their potential effects may change in the future. The Company records a liability for contingencies when a loss is deemed to be probable and the loss can be reasonably estimated. The Company currently believes that the outcomes of such proceedings will not have a material adverse impact on its business, financial position, results of operations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September 4, 2023, the Company announced an increase in the annual dividend to shareholders of the Company's Class A Common Stock, from $0.92 to $0.94 per share. A quarterly dividend of $0.235 will be paid on October 31, 2023, to shareholders of record at the close of business on October 10, 2023. This dividend represents an increase of 2.2% and is the 38th consecutive annual increase in dividends.</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30, 2023, the Company's Board of Directors authorized an increase in the Company's share repurchase program, authorizing the repurchase of an additional $100.0 million of the Company's Class A Nonvoting Common Stock. The share repurchase program may be implemented from time to time on the open market or in privately negotiated transactions and has no expiration date. The repurchased shares will be available for use in connection with the Company's stock-based plans and for other corporate purposes.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Brady Corporation maintains disclosure controls and procedures that are designed to ensure that information required to be disclosed by the Company in the reports filed by the Company under the Securities Exchange Act of 1934, as amended (the “Exchange Act”), is recorded, processed, summarized and reported within the time periods specified in the SEC’s rules and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forms. Disclosure controls and procedures include, without limitation, controls and procedures designed to ensure that information required to be disclosed by the Company in the reports the Company files under the Exchange Act is accumulated and communicated to the Company’s management, including the Company’s principal executive and principal financial officers, or persons performing similar functions, as appropriate to allow timely decisions regarding required disclosure. The Company carried out an evaluation, under the supervision and with the participation of its management, including its President and Chief Executive Officer and its Chief Financial Officer and Treasurer, of the effectiveness of the design and operation of the Company’s disclosure controls and procedures pursuant to Rule 13a-15 of the Exchange Act. Based on that evaluation, the Company’s President and Chief Executive Officer and Chief Financial Officer and Treasurer concluded that the Company’s disclosure controls and procedures are effective as of the end of the period covered by this report.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management of Brady Corporation and its subsidiaries is responsible for establishing and maintaining adequate internal control over financial reporting for the Company, as such term is defined in Rule 13a-15(f) under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133"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 xml:space="preserve">With the participation of the President and Chief Executive Officer and Chief Financial Officer and Treasurer, management conducted an evaluation of the effectiveness of our internal control over financial reporting as of July 31, 2023, based on the framework and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Integrated Framework (2013)</w:t>
      </w:r>
      <w:r>
        <w:rPr>
          <w:rFonts w:ascii="Arial" w:cs="Arial" w:eastAsia="Arial" w:hAnsi="Arial"/>
          <w:sz w:val="16"/>
          <w:szCs w:val="16"/>
          <w:color w:val="auto"/>
        </w:rPr>
        <w:t>, issued by the Committee of Sponsoring Organizations of the Treadway Commission</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assessment,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concluded that, as of July 31, 2023, the Company’s internal control over financial reporting is effective based on those criteria.</w:t>
      </w:r>
    </w:p>
    <w:p>
      <w:pPr>
        <w:spacing w:after="0" w:line="10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Because of the inherent limitations of internal control over financial reporting, misstatements may not be prevented or detected on a timely basis.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Company’s internal control over financial reporting, as of July 31, 2023, has been audited by Deloitte &amp; Touche LLP, an independent registered public accounting firm, as stated in their report, which is included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defined in Exchange Act Rules 13a-15(f) and 15d-15(f)) that occurred during the Company’s most recently completed fiscal quarter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Brady Corporation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Brady Corporation and subsidiaries (the “Company”) as of July 31,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July 31, 2023,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July 31, 2023, of the Company and our report dated September 5, 2023,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5, 2023</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the three months ended July 31, 2023, no director or Section 16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320" w:top="122" w:right="107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PART III</w:t>
            </w:r>
          </w:p>
        </w:tc>
        <w:tc>
          <w:tcPr>
            <w:tcW w:w="4860" w:type="dxa"/>
            <w:vAlign w:val="bottom"/>
          </w:tcPr>
          <w:p>
            <w:pPr>
              <w:spacing w:after="0"/>
              <w:rPr>
                <w:sz w:val="20"/>
                <w:szCs w:val="20"/>
                <w:color w:val="auto"/>
              </w:rPr>
            </w:pPr>
          </w:p>
        </w:tc>
      </w:tr>
      <w:tr>
        <w:trPr>
          <w:trHeight w:val="459"/>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w w:val="90"/>
              </w:rPr>
              <w:t xml:space="preserve">Item 10. </w:t>
            </w:r>
            <w:r>
              <w:rPr>
                <w:rFonts w:ascii="Arial" w:cs="Arial" w:eastAsia="Arial" w:hAnsi="Arial"/>
                <w:sz w:val="18"/>
                <w:szCs w:val="18"/>
                <w:b w:val="1"/>
                <w:bCs w:val="1"/>
                <w:i w:val="1"/>
                <w:iCs w:val="1"/>
                <w:color w:val="auto"/>
                <w:w w:val="90"/>
              </w:rPr>
              <w:t>Directors, Executive Officers and Corporate Governance</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18"/>
        </w:trPr>
        <w:tc>
          <w:tcPr>
            <w:tcW w:w="5060" w:type="dxa"/>
            <w:vAlign w:val="bottom"/>
            <w:gridSpan w:val="3"/>
          </w:tcPr>
          <w:p>
            <w:pPr>
              <w:ind w:left="20"/>
              <w:spacing w:after="0"/>
              <w:rPr>
                <w:sz w:val="20"/>
                <w:szCs w:val="20"/>
                <w:color w:val="auto"/>
              </w:rPr>
            </w:pPr>
            <w:r>
              <w:rPr>
                <w:rFonts w:ascii="Arial" w:cs="Arial" w:eastAsia="Arial" w:hAnsi="Arial"/>
                <w:sz w:val="18"/>
                <w:szCs w:val="18"/>
                <w:b w:val="1"/>
                <w:bCs w:val="1"/>
                <w:color w:val="auto"/>
              </w:rPr>
              <w:t>Name</w:t>
            </w: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w:t>
            </w:r>
          </w:p>
        </w:tc>
        <w:tc>
          <w:tcPr>
            <w:tcW w:w="4860" w:type="dxa"/>
            <w:vAlign w:val="bottom"/>
          </w:tcPr>
          <w:p>
            <w:pPr>
              <w:ind w:left="2260"/>
              <w:spacing w:after="0"/>
              <w:rPr>
                <w:sz w:val="20"/>
                <w:szCs w:val="20"/>
                <w:color w:val="auto"/>
              </w:rPr>
            </w:pPr>
            <w:r>
              <w:rPr>
                <w:rFonts w:ascii="Arial" w:cs="Arial" w:eastAsia="Arial" w:hAnsi="Arial"/>
                <w:sz w:val="18"/>
                <w:szCs w:val="18"/>
                <w:b w:val="1"/>
                <w:bCs w:val="1"/>
                <w:color w:val="auto"/>
              </w:rPr>
              <w:t>Title</w:t>
            </w:r>
          </w:p>
        </w:tc>
      </w:tr>
      <w:tr>
        <w:trPr>
          <w:trHeight w:val="223"/>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Russell R. Shaller</w:t>
            </w:r>
          </w:p>
        </w:tc>
        <w:tc>
          <w:tcPr>
            <w:tcW w:w="12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4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President, CEO and Director</w:t>
            </w:r>
          </w:p>
        </w:tc>
      </w:tr>
      <w:tr>
        <w:trPr>
          <w:trHeight w:val="229"/>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Ann E. Thornton</w:t>
            </w:r>
          </w:p>
        </w:tc>
        <w:tc>
          <w:tcPr>
            <w:tcW w:w="1220" w:type="dxa"/>
            <w:vAlign w:val="bottom"/>
          </w:tcPr>
          <w:p>
            <w:pPr>
              <w:ind w:left="20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w w:val="96"/>
              </w:rPr>
              <w:t>Chief Financial Officer, Chief Accounting Officer and Treasurer</w:t>
            </w:r>
          </w:p>
        </w:tc>
      </w:tr>
      <w:tr>
        <w:trPr>
          <w:trHeight w:val="229"/>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Olivier Bojarski</w:t>
            </w:r>
          </w:p>
        </w:tc>
        <w:tc>
          <w:tcPr>
            <w:tcW w:w="1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 Americas &amp; Asia</w:t>
            </w:r>
          </w:p>
        </w:tc>
      </w:tr>
      <w:tr>
        <w:trPr>
          <w:trHeight w:val="230"/>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Bentley N. Curran</w:t>
            </w:r>
          </w:p>
        </w:tc>
        <w:tc>
          <w:tcPr>
            <w:tcW w:w="1220" w:type="dxa"/>
            <w:vAlign w:val="bottom"/>
          </w:tcPr>
          <w:p>
            <w:pPr>
              <w:ind w:left="20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V.P. - Digital Business and Chief Information Officer</w:t>
            </w:r>
          </w:p>
        </w:tc>
      </w:tr>
      <w:tr>
        <w:trPr>
          <w:trHeight w:val="229"/>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Andrew T. Gorman</w:t>
            </w:r>
          </w:p>
        </w:tc>
        <w:tc>
          <w:tcPr>
            <w:tcW w:w="1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 and Secretary</w:t>
            </w:r>
          </w:p>
        </w:tc>
      </w:tr>
      <w:tr>
        <w:trPr>
          <w:trHeight w:val="229"/>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Brett Wilms</w:t>
            </w:r>
          </w:p>
        </w:tc>
        <w:tc>
          <w:tcPr>
            <w:tcW w:w="1220" w:type="dxa"/>
            <w:vAlign w:val="bottom"/>
          </w:tcPr>
          <w:p>
            <w:pPr>
              <w:ind w:left="20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President – EMEA &amp; Australia</w:t>
            </w:r>
          </w:p>
        </w:tc>
      </w:tr>
      <w:tr>
        <w:trPr>
          <w:trHeight w:val="230"/>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Patrick W. Allender</w:t>
            </w:r>
          </w:p>
        </w:tc>
        <w:tc>
          <w:tcPr>
            <w:tcW w:w="1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David S. Bem</w:t>
            </w:r>
          </w:p>
        </w:tc>
        <w:tc>
          <w:tcPr>
            <w:tcW w:w="1220" w:type="dxa"/>
            <w:vAlign w:val="bottom"/>
          </w:tcPr>
          <w:p>
            <w:pPr>
              <w:ind w:left="20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Elizabeth P. Bruno</w:t>
            </w:r>
          </w:p>
        </w:tc>
        <w:tc>
          <w:tcPr>
            <w:tcW w:w="1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Joanne Collins Smee</w:t>
            </w:r>
          </w:p>
        </w:tc>
        <w:tc>
          <w:tcPr>
            <w:tcW w:w="1220" w:type="dxa"/>
            <w:vAlign w:val="bottom"/>
          </w:tcPr>
          <w:p>
            <w:pPr>
              <w:ind w:left="20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Nancy L. Gioia</w:t>
            </w:r>
          </w:p>
        </w:tc>
        <w:tc>
          <w:tcPr>
            <w:tcW w:w="1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Vineet Nargolwala</w:t>
            </w:r>
          </w:p>
        </w:tc>
        <w:tc>
          <w:tcPr>
            <w:tcW w:w="1220" w:type="dxa"/>
            <w:vAlign w:val="bottom"/>
          </w:tcPr>
          <w:p>
            <w:pPr>
              <w:ind w:left="20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0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Bradley C. Richardson</w:t>
            </w:r>
          </w:p>
        </w:tc>
        <w:tc>
          <w:tcPr>
            <w:tcW w:w="1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060" w:type="dxa"/>
            <w:vAlign w:val="bottom"/>
            <w:gridSpan w:val="3"/>
          </w:tcPr>
          <w:p>
            <w:pPr>
              <w:ind w:left="20"/>
              <w:spacing w:after="0"/>
              <w:rPr>
                <w:sz w:val="20"/>
                <w:szCs w:val="20"/>
                <w:color w:val="auto"/>
              </w:rPr>
            </w:pPr>
            <w:r>
              <w:rPr>
                <w:rFonts w:ascii="Arial" w:cs="Arial" w:eastAsia="Arial" w:hAnsi="Arial"/>
                <w:sz w:val="18"/>
                <w:szCs w:val="18"/>
                <w:color w:val="auto"/>
              </w:rPr>
              <w:t>Michelle E. Williams</w:t>
            </w:r>
          </w:p>
        </w:tc>
        <w:tc>
          <w:tcPr>
            <w:tcW w:w="1220" w:type="dxa"/>
            <w:vAlign w:val="bottom"/>
          </w:tcPr>
          <w:p>
            <w:pPr>
              <w:ind w:left="20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24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Russell R. Shaller – </w:t>
      </w:r>
      <w:r>
        <w:rPr>
          <w:rFonts w:ascii="Arial" w:cs="Arial" w:eastAsia="Arial" w:hAnsi="Arial"/>
          <w:sz w:val="18"/>
          <w:szCs w:val="18"/>
          <w:color w:val="auto"/>
        </w:rPr>
        <w:t>Mr. Shaller joined the Company in 2015 and has served on the Company’s Board of Directors and as the Company’s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CEO since April 2022 after serving as the Company’s Senior Vice President and President - Identification Solutions from 2015 to 2022. From 2008 to 2015, he served as President, Teledyne Microwave Solutions. Before joining Teledyne, Mr. Shaller held a number of positions of increasing responsibility at W.L. Gore &amp; Associates, including Division Leader, Electronic Products Division from 2003 to 2008 and General Manager of Gore Photonics from 2001 to 2003. Prior to joining W.L. Gore in 1993, Mr. Shaller worked in engineering and program management positions at Westinghouse Corporation. In 2023, Mr. Shaller was elected to the Board of Directors of Quaker Houghton (NYSE: KWR). Mr. Shaller holds a bachelor’s degree in electrical engineering from the University of Michigan, a master’s degree in electrical engineering from Johns Hopkins University and a master’s degree in business administration from the University of Delaware.</w:t>
      </w:r>
    </w:p>
    <w:p>
      <w:pPr>
        <w:spacing w:after="0" w:line="13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Ann E. Thornton – </w:t>
      </w:r>
      <w:r>
        <w:rPr>
          <w:rFonts w:ascii="Arial" w:cs="Arial" w:eastAsia="Arial" w:hAnsi="Arial"/>
          <w:sz w:val="16"/>
          <w:szCs w:val="16"/>
          <w:color w:val="auto"/>
        </w:rPr>
        <w:t>Ms. Thornton joined the Company in 2009 and was named Chief Financial Officer and Treasurer in April 2023 after serving as</w:t>
      </w:r>
      <w:r>
        <w:rPr>
          <w:rFonts w:ascii="Arial" w:cs="Arial" w:eastAsia="Arial" w:hAnsi="Arial"/>
          <w:sz w:val="16"/>
          <w:szCs w:val="16"/>
          <w:i w:val="1"/>
          <w:iCs w:val="1"/>
          <w:color w:val="auto"/>
        </w:rPr>
        <w:t xml:space="preserve"> </w:t>
      </w:r>
      <w:r>
        <w:rPr>
          <w:rFonts w:ascii="Arial" w:cs="Arial" w:eastAsia="Arial" w:hAnsi="Arial"/>
          <w:sz w:val="16"/>
          <w:szCs w:val="16"/>
          <w:color w:val="auto"/>
        </w:rPr>
        <w:t>Brady’s Chief Accounting Officer since 2016 and Corporate Controller and Director of Investor Relations since 2015. She held the positions of Corporate Accounting Supervisor, Corporate Accounting Manager, External Reporting Manager, Corporate Finance Manager and Director of Global Accounting from 2009 to 2014. Prior to joining the Company, Ms. Thornton was an auditor with PricewaterhouseCoopers from 2005 to 2009. She has a bachelor's degree in business administration and a master of accountancy degree from the University of Wisconsin - Madison and is a certified public accountant.</w:t>
      </w:r>
    </w:p>
    <w:p>
      <w:pPr>
        <w:spacing w:after="0" w:line="1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Olivier Bojarski – </w:t>
      </w:r>
      <w:r>
        <w:rPr>
          <w:rFonts w:ascii="Arial" w:cs="Arial" w:eastAsia="Arial" w:hAnsi="Arial"/>
          <w:sz w:val="18"/>
          <w:szCs w:val="18"/>
          <w:color w:val="auto"/>
        </w:rPr>
        <w:t>Mr. Bojarski joined the Company in August 2022 as President – Identification Solutions, before assuming the role of President –</w:t>
      </w:r>
      <w:r>
        <w:rPr>
          <w:rFonts w:ascii="Arial" w:cs="Arial" w:eastAsia="Arial" w:hAnsi="Arial"/>
          <w:sz w:val="18"/>
          <w:szCs w:val="18"/>
          <w:i w:val="1"/>
          <w:iCs w:val="1"/>
          <w:color w:val="auto"/>
        </w:rPr>
        <w:t xml:space="preserve"> </w:t>
      </w:r>
      <w:r>
        <w:rPr>
          <w:rFonts w:ascii="Arial" w:cs="Arial" w:eastAsia="Arial" w:hAnsi="Arial"/>
          <w:sz w:val="18"/>
          <w:szCs w:val="18"/>
          <w:color w:val="auto"/>
        </w:rPr>
        <w:t>Americas &amp; Asia in February 2023. From 2016 to 2022, Mr. Bojarski held several positions of increasing responsibility at Belden Incorporated and served as Executive Vice President, Broadband and 5G from 2019 to 2022. Before joining Belden, Mr. Bojarski was General Manager of a business unit within the electrification division of ABB Ltd. Prior to joining ABB, Mr. Bojarski held a number of positions of increasing responsibility at Panduit Corporation. He holds a bachelor’s degree in electrical engineering from the Georgia Institute of Technology and a master’s degree in business administration from Georgia State University.</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Bentley N. Curran – </w:t>
      </w:r>
      <w:r>
        <w:rPr>
          <w:rFonts w:ascii="Arial" w:cs="Arial" w:eastAsia="Arial" w:hAnsi="Arial"/>
          <w:sz w:val="18"/>
          <w:szCs w:val="18"/>
          <w:color w:val="auto"/>
        </w:rPr>
        <w:t>Mr. Curran joined the Company in 1999 and has served as Vice President of Digital Business and Chief Information Officer since</w:t>
      </w:r>
      <w:r>
        <w:rPr>
          <w:rFonts w:ascii="Arial" w:cs="Arial" w:eastAsia="Arial" w:hAnsi="Arial"/>
          <w:sz w:val="18"/>
          <w:szCs w:val="18"/>
          <w:i w:val="1"/>
          <w:iCs w:val="1"/>
          <w:color w:val="auto"/>
        </w:rPr>
        <w:t xml:space="preserve"> </w:t>
      </w:r>
      <w:r>
        <w:rPr>
          <w:rFonts w:ascii="Arial" w:cs="Arial" w:eastAsia="Arial" w:hAnsi="Arial"/>
          <w:sz w:val="18"/>
          <w:szCs w:val="18"/>
          <w:color w:val="auto"/>
        </w:rPr>
        <w:t>2012. He has also served as Global Chief Information Officer and Vice President of Information Technology. Prior to joining Brady, Mr. Curran served in a variety of technology leadership roles for Compucom and the Speed Queen Company. He holds a bachelor's degree in business administration from Marian University and an associate of science degree in electronics and engineering systems.</w:t>
      </w:r>
    </w:p>
    <w:p>
      <w:pPr>
        <w:spacing w:after="0" w:line="133"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Andrew T. Gorman – </w:t>
      </w:r>
      <w:r>
        <w:rPr>
          <w:rFonts w:ascii="Arial" w:cs="Arial" w:eastAsia="Arial" w:hAnsi="Arial"/>
          <w:sz w:val="16"/>
          <w:szCs w:val="16"/>
          <w:color w:val="auto"/>
        </w:rPr>
        <w:t>Mr. Gorman joined the Company as General Counsel and Corporate Secretary in April 2020. Prior to joining the Company, he</w:t>
      </w:r>
      <w:r>
        <w:rPr>
          <w:rFonts w:ascii="Arial" w:cs="Arial" w:eastAsia="Arial" w:hAnsi="Arial"/>
          <w:sz w:val="16"/>
          <w:szCs w:val="16"/>
          <w:i w:val="1"/>
          <w:iCs w:val="1"/>
          <w:color w:val="auto"/>
        </w:rPr>
        <w:t xml:space="preserve"> </w:t>
      </w:r>
      <w:r>
        <w:rPr>
          <w:rFonts w:ascii="Arial" w:cs="Arial" w:eastAsia="Arial" w:hAnsi="Arial"/>
          <w:sz w:val="16"/>
          <w:szCs w:val="16"/>
          <w:color w:val="auto"/>
        </w:rPr>
        <w:t>was employed at AptarGroup, Inc., beginning in 2012. At AptarGroup, he served as Vice President, General Counsel, North America, Compliance Officer and Assistant Secretary. Before joining AptarGroup, he counseled corporate clients in private practice, including as an attorney at Mayer Brown, LLP in Chicago, where Mr. Gorman started his legal career. He holds a juris doctor from Loyola University Chicago School of Law, a master in professional accounting from The University of Texas at Austin, a bachelor of business administration from The University of Texas at Austin and is a certified public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accountant</w:t>
      </w:r>
      <w:r>
        <w:rPr>
          <w:rFonts w:ascii="Arial" w:cs="Arial" w:eastAsia="Arial" w:hAnsi="Arial"/>
          <w:sz w:val="21"/>
          <w:szCs w:val="21"/>
          <w:i w:val="1"/>
          <w:iCs w:val="1"/>
          <w:color w:val="auto"/>
        </w:rPr>
        <w:t>.</w:t>
      </w:r>
    </w:p>
    <w:p>
      <w:pPr>
        <w:spacing w:after="0" w:line="16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Brett Wilms – </w:t>
      </w:r>
      <w:r>
        <w:rPr>
          <w:rFonts w:ascii="Arial" w:cs="Arial" w:eastAsia="Arial" w:hAnsi="Arial"/>
          <w:sz w:val="18"/>
          <w:szCs w:val="18"/>
          <w:color w:val="auto"/>
        </w:rPr>
        <w:t>Brett Wilms joined the Company in June 2018 as Managing Director of Identification Solutions EMEA. In October 2022, Mr. Wilms</w:t>
      </w:r>
      <w:r>
        <w:rPr>
          <w:rFonts w:ascii="Arial" w:cs="Arial" w:eastAsia="Arial" w:hAnsi="Arial"/>
          <w:sz w:val="18"/>
          <w:szCs w:val="18"/>
          <w:i w:val="1"/>
          <w:iCs w:val="1"/>
          <w:color w:val="auto"/>
        </w:rPr>
        <w:t xml:space="preserve"> </w:t>
      </w:r>
      <w:r>
        <w:rPr>
          <w:rFonts w:ascii="Arial" w:cs="Arial" w:eastAsia="Arial" w:hAnsi="Arial"/>
          <w:sz w:val="18"/>
          <w:szCs w:val="18"/>
          <w:color w:val="auto"/>
        </w:rPr>
        <w:t>added responsibility as the Interim General Manager of the Workplace Safety business, before being appointed to the role of President – EMEA &amp; Australia in February 2023. Prior to joining Brady, he was Managing Director of a business within Groupe Autajon, a French publicly-traded labels and packaging group with a primary focus on the pharmaceutical market. Before joining Groupe Autajon, Mr. Wilms was Vice President of Operations EMEA for Pentair, Inc. He holds a master’s degree in electrical engineering from the University of Brussels and a master’s degree in business administration from the University of Minnesota.</w:t>
      </w:r>
    </w:p>
    <w:p>
      <w:pPr>
        <w:spacing w:after="0" w:line="13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Patrick W. Allender – </w:t>
      </w:r>
      <w:r>
        <w:rPr>
          <w:rFonts w:ascii="Arial" w:cs="Arial" w:eastAsia="Arial" w:hAnsi="Arial"/>
          <w:sz w:val="17"/>
          <w:szCs w:val="17"/>
          <w:color w:val="auto"/>
        </w:rPr>
        <w:t>Mr. Allender was elected to the Board of Directors in 2007. He serves as the Chair of the Finance Committee and as a member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Audit and Corporate Governance Committees. He served as Executive Vice President and CFO of Danaher Corporation from 1998 to 2005 and Executive Vice President from 2005 to 2007. He served as a director of Colfax Corporation (NYSE: CFX) from 2008 to 2022, when ESAB Corporation separated from Colfax Corporation. Mr. Allender joined ESAB Corporation’s (NYSE: ESAB) board in 2022, and currently serves as a director. Mr. Allender previously served as a director of Diebold Nixdorf, Inc. (NYSE: DBD) from 2011 to 2020. He has a bachelor's degree in accounting from Loyola University Maryland and is a certified public accountant. Mr. Allender's strong background in finance and accounting, as well as his past experience as the CFO of a public company, provides the Board with financial expertise and insight.</w:t>
      </w:r>
    </w:p>
    <w:p>
      <w:pPr>
        <w:spacing w:after="0" w:line="12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David S. Bem, Ph.D – </w:t>
      </w:r>
      <w:r>
        <w:rPr>
          <w:rFonts w:ascii="Arial" w:cs="Arial" w:eastAsia="Arial" w:hAnsi="Arial"/>
          <w:sz w:val="18"/>
          <w:szCs w:val="18"/>
          <w:color w:val="auto"/>
        </w:rPr>
        <w:t>Dr. Bem was elected to the Board of Directors in 2019. He serves as a member of the Management Development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Audit and Technology Committees. Dr. Bem is Vice President, Science and Technology and Chief Technology Officer of PPG. Prior to PPG, he spent 8 years at Dow Chemical Company in a number of research and development roles, most recently as Vice President, Research and Development Consumer Solutions and Infrastructure Solutions, and also worked in research and development roles at Celanese Corporation and UOP/Honeywell International, Inc. He has a bachelor’s degree in chemistry from West Virginia University and a doctorate in inorganic chemistry from the Massachusetts Institute of Technology. Dr. Bem’s extensive experience in technology and research and development provides the Board with important expertise in new product development and innovation.</w:t>
      </w:r>
    </w:p>
    <w:p>
      <w:pPr>
        <w:spacing w:after="0" w:line="14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i w:val="1"/>
          <w:iCs w:val="1"/>
          <w:color w:val="auto"/>
        </w:rPr>
        <w:t xml:space="preserve">Elizabeth P. Bruno, Ph.D – </w:t>
      </w:r>
      <w:r>
        <w:rPr>
          <w:rFonts w:ascii="Arial" w:cs="Arial" w:eastAsia="Arial" w:hAnsi="Arial"/>
          <w:sz w:val="16"/>
          <w:szCs w:val="16"/>
          <w:color w:val="auto"/>
        </w:rPr>
        <w:t>Dr. Bruno was elected to the Board of Directors in 2003. She serves as the Chair of the Corporate Governance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and is a member of the Finance and Technology Committees. Dr. Bruno is the President of the Brady Education Foundation in Chapel Hill, North Carolina. Dr. Bruno has a bachelor’s degree in psychology from the University of Rochester, a master of child clinical psychology degree from the University of North Carolina Chapel Hill and a doctorate in developmental psychology from the University of North Carolina Chapel Hill. She is the granddaughter of William H. Brady, Jr., the founder of Brady Corporation. As a result of her substantial ownership stake in the Company, as well as her family's history with the Company, she is well positioned to understand, articulate and advocate for the rights and interests of the Company's shareholders.</w:t>
      </w:r>
    </w:p>
    <w:p>
      <w:pPr>
        <w:spacing w:after="0" w:line="11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Joanne Collins Smee – </w:t>
      </w:r>
      <w:r>
        <w:rPr>
          <w:rFonts w:ascii="Arial" w:cs="Arial" w:eastAsia="Arial" w:hAnsi="Arial"/>
          <w:sz w:val="17"/>
          <w:szCs w:val="17"/>
          <w:color w:val="auto"/>
        </w:rPr>
        <w:t>Ms. Collins Smee was elected to the Board of Directors in 2022. She serves as a member of the Technology and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and Compensation Committees. Ms. Collins Smee is Executive Vice President and President, Americas, for Xerox Corporation and has been in this role since June 2022. She is also an Executive Vice President of Xerox Holdings Corporation. Previously, she was Chief Commercial, SMB and Channels Officer for Xerox and was in that role since February 2020. Ms. Collins Smee joined Xerox in September 2018 as Senior Vice President and Chief Commercial Officer. Before Xerox, she led Technology Transformation Services for the U.S. Federal Government and spent more than two decades at IBM in global executive roles spanning client sales and delivery of technical products and services. Ms. Collins Smee has a bachelor’s degree of arts from Boston College, a master of business administration degree from New York University and a master of arts degree from Columbia University. Ms. Collins Smee’s extensive experience in high-technology global business and strong leadership skills, provides the Board with important expertise in product and services innovation.</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Nancy L. Gioia – </w:t>
      </w:r>
      <w:r>
        <w:rPr>
          <w:rFonts w:ascii="Arial" w:cs="Arial" w:eastAsia="Arial" w:hAnsi="Arial"/>
          <w:sz w:val="16"/>
          <w:szCs w:val="16"/>
          <w:color w:val="auto"/>
        </w:rPr>
        <w:t>Ms. Gioia was elected to the Board of Directors in 2013. She serves as the Chair of the Management Development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Committee, and is a member of the Technology Committee. She was the Director, Global Electrical Connectivity and User Experience for Ford Motor Company until her retirement in 2014, where she also held a variety of engineering and technology roles including, Director, Global Electrification; Director, Sustainable Mobility Technologies and Hybrid Vehicle Programs; Director, North America Current Vehicle Model Quality; Engineering Director, Visteon/Ford Due Diligence; Engineering Director, Small Front Wheel Drive/Rear Wheel Drive Car Platforms-North America; and Vehicle Programs Director, Lifestyle Vehicles. She previously served as director of Exelon Corporation (NYSE: EXC), Meggitt PLC (LSE: MGGT), Lucid Group, Inc. (NASDAQ: LCID) and as the Executive Director of Blue Current. In 2022, she was elected to the Board of Directors of Power Integrations (NASDAQ: POWI). Ms. Gioia has a bachelor’s degree in electrical engineering from the University of Michigan and a master of manufacturing systems engineering degree from Stanford University. Ms. Gioia has a CERT Certificate in Cyber-Risk Oversight from the National Association of Corporate Directors. Ms. Gioia's extensive experience in strategy, technology and engineering solutions, as well as in electrified vehicles, provides the Board with important expertise in product development and operations, and environmental sustainability for products and processes.</w:t>
      </w:r>
    </w:p>
    <w:p>
      <w:pPr>
        <w:spacing w:after="0" w:line="11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Vineet Nargolwala – </w:t>
      </w:r>
      <w:r>
        <w:rPr>
          <w:rFonts w:ascii="Arial" w:cs="Arial" w:eastAsia="Arial" w:hAnsi="Arial"/>
          <w:sz w:val="18"/>
          <w:szCs w:val="18"/>
          <w:color w:val="auto"/>
        </w:rPr>
        <w:t>Mr. Nargolwala was elected to the Board of Directors in 2022. He serves as a member of the Finance and Audit Committees. Mr.</w:t>
      </w:r>
      <w:r>
        <w:rPr>
          <w:rFonts w:ascii="Arial" w:cs="Arial" w:eastAsia="Arial" w:hAnsi="Arial"/>
          <w:sz w:val="18"/>
          <w:szCs w:val="18"/>
          <w:i w:val="1"/>
          <w:iCs w:val="1"/>
          <w:color w:val="auto"/>
        </w:rPr>
        <w:t xml:space="preserve"> </w:t>
      </w:r>
      <w:r>
        <w:rPr>
          <w:rFonts w:ascii="Arial" w:cs="Arial" w:eastAsia="Arial" w:hAnsi="Arial"/>
          <w:sz w:val="18"/>
          <w:szCs w:val="18"/>
          <w:color w:val="auto"/>
        </w:rPr>
        <w:t>Nargolwala is President, Chief Executive Officer and Director of Allegro MicroSystems, Inc. (NASDAQ: ALGM) and has been in these roles since June 2022. Prior to joining Allegro, Mr. Nargolwala was with Sensata Technologies from 2013 to June 2022, most recently serving as the Executive Vice President, Sensing Solutions, from March 2020 to June 2022. Before joining Sensata, he was with Honeywell International, Inc., in business strategy and leadership roles of increasing responsibility. Mr. Nargolwala has a bachelor’s degree in electrical engineering from Maharaja Sayajirao University, a master of science in electrical engineering from the University of Texas-Arlington and a master in business administration from Cornell University. Mr. Nargolwala’s extensive experience in high-technology global business and strong leadership skills, provides the Board with important expertise in product and services innovation.</w:t>
      </w:r>
    </w:p>
    <w:p>
      <w:pPr>
        <w:spacing w:after="0" w:line="1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Bradley C. Richardson – </w:t>
      </w:r>
      <w:r>
        <w:rPr>
          <w:rFonts w:ascii="Arial" w:cs="Arial" w:eastAsia="Arial" w:hAnsi="Arial"/>
          <w:sz w:val="16"/>
          <w:szCs w:val="16"/>
          <w:color w:val="auto"/>
        </w:rPr>
        <w:t>Mr. Richardson was elected to the Board of Directors in 2007 and became Chairman of the Board in May 2021. He serves as</w:t>
      </w:r>
      <w:r>
        <w:rPr>
          <w:rFonts w:ascii="Arial" w:cs="Arial" w:eastAsia="Arial" w:hAnsi="Arial"/>
          <w:sz w:val="16"/>
          <w:szCs w:val="16"/>
          <w:i w:val="1"/>
          <w:iCs w:val="1"/>
          <w:color w:val="auto"/>
        </w:rPr>
        <w:t xml:space="preserve"> </w:t>
      </w:r>
      <w:r>
        <w:rPr>
          <w:rFonts w:ascii="Arial" w:cs="Arial" w:eastAsia="Arial" w:hAnsi="Arial"/>
          <w:sz w:val="16"/>
          <w:szCs w:val="16"/>
          <w:color w:val="auto"/>
        </w:rPr>
        <w:t>the Chair of the Board of Directors and the Chair of the Audit Committee and is a member of the Corporate Governance, Finance and Management Development and Compensation Committees. He served as the Executive Vice President and CFO of Avient Corporation from 2013 through 2020. He previously served as the Executive Vice President and CFO of Diebold, Inc. and as Executive Vice President Corporate Strategy and CFO of Modine Manufacturing. Prior to Modine, he spent 21 years with BP Amoco serving in various financial and operational roles. Mr. Richardson has served on the boards of Modine Manufacturing and Tronox, Inc. In 2023, Mr. Richardson was elected to the Board of Directors of Virco Mfg. Corporation (NASDAQ: VIRC). Mr. Richardson has a bachelor’s degree in finance and economics from Miami University and a master of business administration in accounting and finance from Indiana University. He brings to the Company extensive knowledge and global experience in the areas of operations, strategy, accounting, tax accounting and finance, which are areas of critical importance to the Company as a global company.</w:t>
      </w:r>
    </w:p>
    <w:p>
      <w:pPr>
        <w:spacing w:after="0" w:line="11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Michelle E. Williams, Ph.D – </w:t>
      </w:r>
      <w:r>
        <w:rPr>
          <w:rFonts w:ascii="Arial" w:cs="Arial" w:eastAsia="Arial" w:hAnsi="Arial"/>
          <w:sz w:val="17"/>
          <w:szCs w:val="17"/>
          <w:color w:val="auto"/>
        </w:rPr>
        <w:t>Dr. Williams was elected to the Board of Directors in 2019. She serves as the Chair of the Technology Committee, the</w:t>
      </w:r>
      <w:r>
        <w:rPr>
          <w:rFonts w:ascii="Arial" w:cs="Arial" w:eastAsia="Arial" w:hAnsi="Arial"/>
          <w:sz w:val="17"/>
          <w:szCs w:val="17"/>
          <w:i w:val="1"/>
          <w:iCs w:val="1"/>
          <w:color w:val="auto"/>
        </w:rPr>
        <w:t xml:space="preserve"> </w:t>
      </w:r>
      <w:r>
        <w:rPr>
          <w:rFonts w:ascii="Arial" w:cs="Arial" w:eastAsia="Arial" w:hAnsi="Arial"/>
          <w:sz w:val="17"/>
          <w:szCs w:val="17"/>
          <w:color w:val="auto"/>
        </w:rPr>
        <w:t>ESG Liaison and is a member of the Corporate Governance and Management Development and Compensation Committees. Dr. Williams served as Global Group President of Altuglas International, a subsidiary of Arkema S.A., through May 2021. Prior to joining Arkema in 2011, she spent 23 years with Rohm and Haas Company and Dow Chemical in manufacturing, commercial, strategy and general management positions. She was General Manager, Chemical Mechanical Polishing Technologies, and later, General Manager, Adhesives and Sealants. She has a bachelor’s degree in chemistry from Pace University and a doctorate in physical chemistry from the University of Utah. Dr. Williams’ experience in commercial, technology and business leadership roles provides the Board with important expertise in innovation, new product development and operations.</w:t>
      </w:r>
    </w:p>
    <w:p>
      <w:pPr>
        <w:spacing w:after="0" w:line="12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All directors are elected to serve until their respective successors are elected at the next annual meeting of shareholders. Officers serve at the discretion of the Board of Directors. None of the Company's directors or executive officers has any family relationship with any other director or executive officer.</w:t>
      </w:r>
    </w:p>
    <w:p>
      <w:pPr>
        <w:spacing w:after="0" w:line="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Board Leadership Structure - </w:t>
      </w:r>
      <w:r>
        <w:rPr>
          <w:rFonts w:ascii="Arial" w:cs="Arial" w:eastAsia="Arial" w:hAnsi="Arial"/>
          <w:sz w:val="16"/>
          <w:szCs w:val="16"/>
          <w:color w:val="auto"/>
        </w:rPr>
        <w:t>The Board does not have a formal policy regarding the separation of the roles of Chief Executive Officer and Chair of</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as the Board believes it is in the best interest of the Company to make that determination based on the position and direction of the Company and the membership of the Board. Since September 2015, the Board’s leadership structure has included a non-executive Chair of the Board of Directors. Mr. Richardson, an independent director, currently serves in the position of non-executive Chair of the Board. The duties of the non-executive Chair include, among others: chairing meetings of the Board and executive sessions of the non-management directors; meeting periodically with the Chief Executive Officer and consulting as necessary with management on issues facing the Company; facilitating effective communication among the Chief Executive Officer and all members of the Board; and overseeing the Board's shareholder communication policies and procedures.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Board believes that its current leadership structure enhances the Board's oversight of, and independence from, Company management; the ability of the Board to carry out its roles and responsibilities on behalf of the Company’s shareholders; and the Company’s overall corporate governance.</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Risk Oversight - </w:t>
      </w:r>
      <w:r>
        <w:rPr>
          <w:rFonts w:ascii="Arial" w:cs="Arial" w:eastAsia="Arial" w:hAnsi="Arial"/>
          <w:sz w:val="16"/>
          <w:szCs w:val="16"/>
          <w:color w:val="auto"/>
        </w:rPr>
        <w:t>The Board oversees the Company's risk management processes directly and through its committees. In general, the Board oversees the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of risks inherent in the operation of the Company's businesses, the implementation of its strategic plan, its acquisition and capital allocation program and its organizational structure. Each of the Board's committees also oversees the management of Company risks that fall within the respective committee's areas of responsibility. Specifically, cybersecurity is a critical part of risk management for the Company. The Audit Committee is aware of the rapidly evolving nature of threats presented by cybersecurity incidents and is committed to the prevention, timely detection, and mitigation of the effects of any such incidents on the Company. With respect to cybersecurity, the Audit Committee receives regular reports from management, including updates on the internal and external cybersecurity threat landscape, incident response, assessment and training activities, and relevant regulatory and technical developments. In 2022, the Board elected Ms. Williams as the ESG Liaison to facilitate the Company's efforts in connection with sustainability and inclusivity. Additionally, the Audit Committee, Corporate Governance Committee, Management Development and Compensation Committee, the Technology Committee and the ESG Liaison, each review certain risks, exposures and opportunities relating to the Company’s Environmental, Social, and Governance ("ESG") strategies, initiatives, policies and practices. The Company's management is responsible for reporting significant risks to executive management as a part of the disclosure process. The significance of the risk is assessed by executive management and escalated to the respective Board committee or the Board of Directors as deemed appropriate. The Company reviews its risk assessment with the Audit Committee annually.</w:t>
      </w:r>
    </w:p>
    <w:p>
      <w:pPr>
        <w:spacing w:after="0" w:line="12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Audit Committee Financial Expert - </w:t>
      </w:r>
      <w:r>
        <w:rPr>
          <w:rFonts w:ascii="Arial" w:cs="Arial" w:eastAsia="Arial" w:hAnsi="Arial"/>
          <w:sz w:val="18"/>
          <w:szCs w:val="18"/>
          <w:color w:val="auto"/>
        </w:rPr>
        <w:t>The Board of Directors has determined that at least one Audit Committee financial expert is serving on its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Messrs. Richardson, Chair of the Audit Committee, and Allender, member of the Audit Committee, are financial experts and are independent under the rules of the SEC and the NYSE.</w:t>
      </w:r>
    </w:p>
    <w:p>
      <w:pPr>
        <w:spacing w:after="0" w:line="13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Director Independence - </w:t>
      </w:r>
      <w:r>
        <w:rPr>
          <w:rFonts w:ascii="Arial" w:cs="Arial" w:eastAsia="Arial" w:hAnsi="Arial"/>
          <w:sz w:val="16"/>
          <w:szCs w:val="16"/>
          <w:color w:val="auto"/>
        </w:rPr>
        <w:t>A majority of the directors must meet the criteria for independence established by the Board in accordance with the rules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NYSE. In determining the independence of a director, the Board must find that a director has no relationship that may interfere with the exercise of his or her independence from management and the Company. In undertaking this determination with respect to the Company’s directors other than Mr. Shaller, President and CEO,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After consideration of these factors, the Board concluded that the commercial relationships were not material and did not prevent the Company’s directors from being considered independent. Based on application of the NYSE independence criteria, all directors, with the exception of Mr. Shaller, are deemed independent. All members of the Audit, Management Development and Compensation, and Corporate Governance Committees are deemed independent.</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Meetings of Non-management Directors - </w:t>
      </w:r>
      <w:r>
        <w:rPr>
          <w:rFonts w:ascii="Arial" w:cs="Arial" w:eastAsia="Arial" w:hAnsi="Arial"/>
          <w:sz w:val="18"/>
          <w:szCs w:val="18"/>
          <w:color w:val="auto"/>
        </w:rPr>
        <w:t>The non-management directors of the Board regularly meet without any members of management present.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Chair of the Board, Mr. Richardson, is the presiding director at these sessions. In fiscal 2023, executive sessions were conducted at all regularly scheduled Board meetings. Interested parties can raise concerns to be addressed at these meetings by calling the confidential Brady hotline at 1-877-781-9309.</w:t>
      </w:r>
    </w:p>
    <w:p>
      <w:pPr>
        <w:spacing w:after="0" w:line="133"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Audit Committee Members - </w:t>
      </w:r>
      <w:r>
        <w:rPr>
          <w:rFonts w:ascii="Arial" w:cs="Arial" w:eastAsia="Arial" w:hAnsi="Arial"/>
          <w:sz w:val="18"/>
          <w:szCs w:val="18"/>
          <w:color w:val="auto"/>
        </w:rPr>
        <w:t>The Audit Committee, which is a separately-designated standing committee of the Board of Directors, is composed of</w:t>
      </w:r>
      <w:r>
        <w:rPr>
          <w:rFonts w:ascii="Arial" w:cs="Arial" w:eastAsia="Arial" w:hAnsi="Arial"/>
          <w:sz w:val="18"/>
          <w:szCs w:val="18"/>
          <w:i w:val="1"/>
          <w:iCs w:val="1"/>
          <w:color w:val="auto"/>
        </w:rPr>
        <w:t xml:space="preserve"> </w:t>
      </w:r>
      <w:r>
        <w:rPr>
          <w:rFonts w:ascii="Arial" w:cs="Arial" w:eastAsia="Arial" w:hAnsi="Arial"/>
          <w:sz w:val="18"/>
          <w:szCs w:val="18"/>
          <w:color w:val="auto"/>
        </w:rPr>
        <w:t>Messrs. Richardson (Chair), Allender, Bem and Nargolwala. Each member of the Audit Committee has been determined by the Board to be independent under the rules of the SEC and NYSE.</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Code of Ethics - </w:t>
      </w:r>
      <w:r>
        <w:rPr>
          <w:rFonts w:ascii="Arial" w:cs="Arial" w:eastAsia="Arial" w:hAnsi="Arial"/>
          <w:sz w:val="18"/>
          <w:szCs w:val="18"/>
          <w:color w:val="auto"/>
        </w:rPr>
        <w:t>The Company has a code of ethics. This code of ethics applies to all of the Company's employees, officers and directors. The code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ethics can be viewed at the Company's corporate website, www.bradyid.com, or may be obtained in print by any person, without charge, by contacting Brady Corporation, Investor Relations, P.O. Box 571, Milwaukee, WI 53201 by contacting </w:t>
      </w:r>
      <w:r>
        <w:rPr>
          <w:rFonts w:ascii="Arial" w:cs="Arial" w:eastAsia="Arial" w:hAnsi="Arial"/>
          <w:sz w:val="18"/>
          <w:szCs w:val="18"/>
          <w:u w:val="single" w:color="auto"/>
          <w:color w:val="0000FF"/>
        </w:rPr>
        <w:t>investor@bradycorp.com</w:t>
      </w:r>
      <w:r>
        <w:rPr>
          <w:rFonts w:ascii="Arial" w:cs="Arial" w:eastAsia="Arial" w:hAnsi="Arial"/>
          <w:sz w:val="18"/>
          <w:szCs w:val="18"/>
          <w:color w:val="auto"/>
        </w:rPr>
        <w:t>. The Company intends to satisfy the disclosure requirements under Item 5.05 of Form 8-K regarding an amendment to, or a waiver from, a provision of its code of ethics by placing such information on its website.</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Corporate Governance Guidelines - </w:t>
      </w:r>
      <w:r>
        <w:rPr>
          <w:rFonts w:ascii="Arial" w:cs="Arial" w:eastAsia="Arial" w:hAnsi="Arial"/>
          <w:sz w:val="18"/>
          <w:szCs w:val="18"/>
          <w:color w:val="auto"/>
        </w:rPr>
        <w:t>Brady's Corporate Governance Principles, as well as the charters of the Audit, Corporate Governance, Finance,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Management Development and Compensation, and Technology Committees, are available on the Company's Corporate website, www.bradyid.com. Shareholders may request printed copies of these documents from Brady Corporation, Investor Relations, P.O. Box 571, Milwaukee, WI 53201 or by contacting </w:t>
      </w:r>
      <w:r>
        <w:rPr>
          <w:rFonts w:ascii="Arial" w:cs="Arial" w:eastAsia="Arial" w:hAnsi="Arial"/>
          <w:sz w:val="18"/>
          <w:szCs w:val="18"/>
          <w:u w:val="single" w:color="auto"/>
          <w:color w:val="0000FF"/>
        </w:rPr>
        <w:t>investor@bradycorp.com</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Director Qualifications - </w:t>
      </w:r>
      <w:r>
        <w:rPr>
          <w:rFonts w:ascii="Arial" w:cs="Arial" w:eastAsia="Arial" w:hAnsi="Arial"/>
          <w:sz w:val="18"/>
          <w:szCs w:val="18"/>
          <w:color w:val="auto"/>
        </w:rPr>
        <w:t>Brady's Corporate Governance Committee reviews the individual skills and characteristics of the directors, as well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composition of the Board as a whole. This assessment includes a consideration of independence, diversity, age, skills, expertise, and industry backgrounds in the context of the needs of the Board and the Company. Although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no policy regarding diversity, the Corporate Governance Committee seeks a broad range of perspectives and considers both the personal characteristics and experience of directors and prospective nominees to the Board so that, as a group, the Board will possess the appropriate talent, skills and expertise to oversee the Company's businesses. The Board does not discriminate on the basis of race, national origin, gender, religion, disability, or sexual orientation in selecting director candidates.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DELINQUENT SECTION 16(a) REPORTS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To the Company’s knowledge, based solely on a review of the Section 16(a) filings and written representations that no other reports were required, during the fiscal year ended July 31, 2023, all Section 16(a) filing requirements were complied with applicable to the Company's officers, directors and greater than 10 percent beneficial owners.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Compensation Discussion and Analysis describes the Company's executive compensation pay-for-performance philosophy and practices, the elements of our executive compensation programs, and the compensation decisions the Management Development and Compensation Committee (the "Committee") has made under those programs and the factors considered in making those decisions. The Compensation Discussion and Analysis also analyzes the total compensation of Brady’s Chief Executive Officer (principal executive officer), Chief Financial Officer (principal financial officer), and the three other most highly compensated executive officers that were serving as executive officers as of July 31, 2023. Brady's former Vice President, General Manager - Workplace Safety who resigned from Brady effective October 3, 2022, and Brady's former Chief Financial Officer and Treasurer who resigned from Brady effective April 14, 2023 would have been included if they continued to serve as executive officers through July 31, 2023, thus are included in this Compensation Discussion and Analysis.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fiscal 2023, the following named executive officers' (the "NEOs") compensation is disclosed and discussed in this section:</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Russell R. Shaller, President, Chief Executive Officer and Director;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 E. Thornton, Chief Financial Officer, Chief Accounting Officer and Treasurer;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Olivier Bojarski, President - Americas &amp; Asia;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Bentley N. Curran, Vice President, Digital Business and Chief Information Officer;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Andrew T. Gorman, General Counsel and Secretary;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Pascal Deman, Former Vice President, General Manager - Workplace Safety (resigned on October 3, 2022);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Aaron J. Pearce, Former Chief Financial Officer and Treasurer (resigned on April 14, 2023).</w:t>
      </w:r>
    </w:p>
    <w:p>
      <w:pPr>
        <w:spacing w:after="0" w:line="15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Appointment of Olivier Bojarski: </w:t>
      </w:r>
      <w:r>
        <w:rPr>
          <w:rFonts w:ascii="Arial" w:cs="Arial" w:eastAsia="Arial" w:hAnsi="Arial"/>
          <w:sz w:val="18"/>
          <w:szCs w:val="18"/>
          <w:color w:val="auto"/>
        </w:rPr>
        <w:t>Mr. Bojarski was appointed as President – Identification Solutions, effective August 25, 2022, before assuming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role of President - Americas &amp; Asia effective February 1, 2023.</w:t>
      </w:r>
    </w:p>
    <w:p>
      <w:pPr>
        <w:spacing w:after="0" w:line="108" w:lineRule="exact"/>
        <w:rPr>
          <w:sz w:val="20"/>
          <w:szCs w:val="20"/>
          <w:color w:val="auto"/>
        </w:rPr>
      </w:pPr>
    </w:p>
    <w:p>
      <w:pPr>
        <w:jc w:val="both"/>
        <w:ind w:firstLine="324"/>
        <w:spacing w:after="0" w:line="314" w:lineRule="auto"/>
        <w:rPr>
          <w:sz w:val="20"/>
          <w:szCs w:val="20"/>
          <w:color w:val="auto"/>
        </w:rPr>
      </w:pPr>
      <w:r>
        <w:rPr>
          <w:rFonts w:ascii="Arial" w:cs="Arial" w:eastAsia="Arial" w:hAnsi="Arial"/>
          <w:sz w:val="16"/>
          <w:szCs w:val="16"/>
          <w:b w:val="1"/>
          <w:bCs w:val="1"/>
          <w:color w:val="auto"/>
        </w:rPr>
        <w:t xml:space="preserve">Resignation of Pascal Deman: </w:t>
      </w:r>
      <w:r>
        <w:rPr>
          <w:rFonts w:ascii="Arial" w:cs="Arial" w:eastAsia="Arial" w:hAnsi="Arial"/>
          <w:sz w:val="16"/>
          <w:szCs w:val="16"/>
          <w:color w:val="auto"/>
        </w:rPr>
        <w:t>Mr. Deman resigned as Vice President, General Manager - Workplace Safety, effective October 3, 2022.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entered into a Settlement Agreement dated as of October 10, 2022 with Mr. Deman. Pursuant to the terms of the Settlement Agreement, Mr. Deman received his salary and fringe benefits through January 4, 2023, a bonus in the amount of € 51,231 and a settlement in the amount of € 667,933.</w:t>
      </w:r>
    </w:p>
    <w:p>
      <w:pPr>
        <w:spacing w:after="0" w:line="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Resignation of Aaron J. Pearce: </w:t>
      </w:r>
      <w:r>
        <w:rPr>
          <w:rFonts w:ascii="Arial" w:cs="Arial" w:eastAsia="Arial" w:hAnsi="Arial"/>
          <w:sz w:val="17"/>
          <w:szCs w:val="17"/>
          <w:color w:val="auto"/>
        </w:rPr>
        <w:t>Mr. Pearce resigned as the Company’s Chief Financial Officer and Treasurer, effective April 14, 2023. Mr. Pearce</w:t>
      </w:r>
      <w:r>
        <w:rPr>
          <w:rFonts w:ascii="Arial" w:cs="Arial" w:eastAsia="Arial" w:hAnsi="Arial"/>
          <w:sz w:val="17"/>
          <w:szCs w:val="17"/>
          <w:b w:val="1"/>
          <w:bCs w:val="1"/>
          <w:color w:val="auto"/>
        </w:rPr>
        <w:t xml:space="preserve"> </w:t>
      </w:r>
      <w:r>
        <w:rPr>
          <w:rFonts w:ascii="Arial" w:cs="Arial" w:eastAsia="Arial" w:hAnsi="Arial"/>
          <w:sz w:val="17"/>
          <w:szCs w:val="17"/>
          <w:color w:val="auto"/>
        </w:rPr>
        <w:t>remained employed by the Company through April 28, 2023 (the "Separation Date"), during which time he was available in a consultative position to assist with respect to the transition. The Company entered into a written agreement with Mr. Pearce in connection with his resignation that provided for payment of his base salary for twelve months following the Separation Date, payment of 100% of his fiscal 2023 annual target cash bonus, and full vesting of his outstanding stock options and restricted stock units that were granted in fiscal 2021 and 2022.</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Appointment of Ann E. Thornton: </w:t>
      </w:r>
      <w:r>
        <w:rPr>
          <w:rFonts w:ascii="Arial" w:cs="Arial" w:eastAsia="Arial" w:hAnsi="Arial"/>
          <w:sz w:val="16"/>
          <w:szCs w:val="16"/>
          <w:color w:val="auto"/>
        </w:rPr>
        <w:t>Ms. Thornton was appointed as Chief Financial Officer and Treasurer of the Company, effective April 14, 2023.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Prior to April 14, Ms. Thornton served as Chief Accounting Officer and Corporate Controller for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2023 Business Highlights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Refer to Item 1 "General Development of Business" for a business overview and key initiatives during fiscal 2023. Highlights for fiscal 2023 include:</w:t>
      </w:r>
    </w:p>
    <w:p>
      <w:pPr>
        <w:spacing w:after="0" w:line="194" w:lineRule="exact"/>
        <w:rPr>
          <w:sz w:val="20"/>
          <w:szCs w:val="20"/>
          <w:color w:val="auto"/>
        </w:rPr>
      </w:pPr>
    </w:p>
    <w:p>
      <w:pPr>
        <w:ind w:left="660" w:hanging="328"/>
        <w:spacing w:after="0" w:line="258"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per diluted Class A Nonvoting Common Share was an all-time record high of $3.51 for the year ended July 31, 2023, an increase of 21.0% from fiscal 2022 Net income per diluted Class A Nonvoting Common Share of $2.90.</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Income before income taxes and losses of unconsolidated affiliate was $225.7 million for the year ended July 31, 2023, an increase of $33.7 million (17.6%) from fiscal 2022 income before income taxes and losses of unconsolidated affiliate of $192.0 million.</w:t>
      </w:r>
    </w:p>
    <w:p>
      <w:pPr>
        <w:ind w:left="660" w:hanging="328"/>
        <w:spacing w:after="0" w:line="26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sales were $1,331.9 million in fiscal 2023 compared to $1,302.1 million in fiscal 2022, an increase of 2.3%. Organic sales increased sales 5.5%, while divestiture decreased sales 0.2% and foreign currency translation decreased sales 3.0%.</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24"/>
        <w:spacing w:after="0" w:line="438" w:lineRule="auto"/>
        <w:rPr>
          <w:sz w:val="20"/>
          <w:szCs w:val="20"/>
          <w:color w:val="auto"/>
        </w:rPr>
      </w:pPr>
      <w:r>
        <w:rPr>
          <w:rFonts w:ascii="Arial" w:cs="Arial" w:eastAsia="Arial" w:hAnsi="Arial"/>
          <w:sz w:val="18"/>
          <w:szCs w:val="18"/>
          <w:color w:val="auto"/>
        </w:rPr>
        <w:t xml:space="preserve">Refer to Item 7 "Management's Discussion and Analysis of Financial Condition and Results of Operations" for further discussion of fiscal 2023 results. </w:t>
      </w:r>
      <w:r>
        <w:rPr>
          <w:rFonts w:ascii="Arial" w:cs="Arial" w:eastAsia="Arial" w:hAnsi="Arial"/>
          <w:sz w:val="18"/>
          <w:szCs w:val="18"/>
          <w:b w:val="1"/>
          <w:bCs w:val="1"/>
          <w:i w:val="1"/>
          <w:iCs w:val="1"/>
          <w:color w:val="auto"/>
        </w:rPr>
        <w:t>Fiscal 2023 Executive Summary</w:t>
      </w:r>
    </w:p>
    <w:p>
      <w:pPr>
        <w:spacing w:after="0" w:line="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For fiscal 2023, the Board of Directors approved a 15.2% increase in base salary for Mr. Shaller. In addition, Mr. Shaller recommended and the Committee approved increases in base salary for Ms. Thornton and Messrs. Curran, Gorman, and Pearce. All increases were made to recognize the performance, current scope of responsibilities and peer company data for each executive and, with regard to Messrs. Pearce and Shaller, to better align their base salary with individuals holding comparable positions at peer companies. Effective August 25, 2022, Mr. Bojarski was appointed as President - Identification Solutions, and subsequently, President - Americas &amp; Asia. As part of Mr. Bojarski's appointment, his base salary was determined based on individuals holding comparable positions at peer companies. On April 14, 2023, Ms. Thornton was appointed as Chief Financial Officer, Chief Accounting Officer and Treasurer of the Company. As part of her appointment, Ms. Thornton was awarded a 68.5% increase in her base salary.</w:t>
      </w:r>
    </w:p>
    <w:p>
      <w:pPr>
        <w:spacing w:after="0" w:line="11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Company's fiscal 2023 annual equity grants consisted of 30% stock options, 30% time-based restricted stock units ("RSUs") and 40% performance-based restricted stock units ("PRSUs"). The stock options vest equally over a three-year period and are inherently performance-based since they have value only to the extent that the price of the Company's stock increases. The RSUs vest equally over three years and are intended to facilitate retention and align with the creation of long-term shareholder value. The PRSUs reinforce the Company's pay-for-performance philosophy because award payout increases and decreases based on Company performance. Specifically, the PRSU awards granted in fiscal 2023 have a three-year performance period with 50% of vesting determined by the Company's total shareholder return ("TSR") relative to the S&amp;P 600 SmallCap Industrials Index, and 50% of vesting determined by the achievement of organic revenue growth targets over four performance periods as set forth in the below table:</w:t>
      </w:r>
    </w:p>
    <w:p>
      <w:pPr>
        <w:spacing w:after="0" w:line="154" w:lineRule="exact"/>
        <w:rPr>
          <w:sz w:val="20"/>
          <w:szCs w:val="20"/>
          <w:color w:val="auto"/>
        </w:rPr>
      </w:pPr>
    </w:p>
    <w:tbl>
      <w:tblPr>
        <w:tblLayout w:type="fixed"/>
        <w:tblInd w:w="2440" w:type="dxa"/>
        <w:tblCellMar>
          <w:top w:w="0" w:type="dxa"/>
          <w:left w:w="0" w:type="dxa"/>
          <w:bottom w:w="0" w:type="dxa"/>
          <w:right w:w="0" w:type="dxa"/>
        </w:tblCellMar>
      </w:tblP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Performance Period</w:t>
            </w:r>
          </w:p>
        </w:tc>
        <w:tc>
          <w:tcPr>
            <w:tcW w:w="2460" w:type="dxa"/>
            <w:vAlign w:val="bottom"/>
            <w:shd w:val="clear" w:color="auto" w:fill="CCEEFF"/>
          </w:tcPr>
          <w:p>
            <w:pPr>
              <w:jc w:val="center"/>
              <w:ind w:left="1230"/>
              <w:spacing w:after="0"/>
              <w:rPr>
                <w:sz w:val="20"/>
                <w:szCs w:val="20"/>
                <w:color w:val="auto"/>
              </w:rPr>
            </w:pPr>
            <w:r>
              <w:rPr>
                <w:rFonts w:ascii="Arial" w:cs="Arial" w:eastAsia="Arial" w:hAnsi="Arial"/>
                <w:sz w:val="18"/>
                <w:szCs w:val="18"/>
                <w:b w:val="1"/>
                <w:bCs w:val="1"/>
                <w:color w:val="auto"/>
                <w:w w:val="89"/>
              </w:rPr>
              <w:t>Weighting</w:t>
            </w: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August 1, 2022 through July 31, 2023</w:t>
            </w:r>
          </w:p>
        </w:tc>
        <w:tc>
          <w:tcPr>
            <w:tcW w:w="2460" w:type="dxa"/>
            <w:vAlign w:val="bottom"/>
          </w:tcPr>
          <w:p>
            <w:pPr>
              <w:jc w:val="center"/>
              <w:ind w:left="1230"/>
              <w:spacing w:after="0"/>
              <w:rPr>
                <w:sz w:val="20"/>
                <w:szCs w:val="20"/>
                <w:color w:val="auto"/>
              </w:rPr>
            </w:pPr>
            <w:r>
              <w:rPr>
                <w:rFonts w:ascii="Arial" w:cs="Arial" w:eastAsia="Arial" w:hAnsi="Arial"/>
                <w:sz w:val="18"/>
                <w:szCs w:val="18"/>
                <w:color w:val="auto"/>
                <w:w w:val="94"/>
              </w:rPr>
              <w:t>25%</w:t>
            </w: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August 1, 2023 through July 31, 2024</w:t>
            </w:r>
          </w:p>
        </w:tc>
        <w:tc>
          <w:tcPr>
            <w:tcW w:w="246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4"/>
              </w:rPr>
              <w:t>25%</w:t>
            </w:r>
          </w:p>
        </w:tc>
      </w:tr>
      <w:tr>
        <w:trPr>
          <w:trHeight w:val="229"/>
        </w:trPr>
        <w:tc>
          <w:tcPr>
            <w:tcW w:w="4240" w:type="dxa"/>
            <w:vAlign w:val="bottom"/>
          </w:tcPr>
          <w:p>
            <w:pPr>
              <w:spacing w:after="0"/>
              <w:rPr>
                <w:sz w:val="20"/>
                <w:szCs w:val="20"/>
                <w:color w:val="auto"/>
              </w:rPr>
            </w:pPr>
            <w:r>
              <w:rPr>
                <w:rFonts w:ascii="Arial" w:cs="Arial" w:eastAsia="Arial" w:hAnsi="Arial"/>
                <w:sz w:val="18"/>
                <w:szCs w:val="18"/>
                <w:color w:val="auto"/>
              </w:rPr>
              <w:t>August 1, 2024 through July 31, 2025</w:t>
            </w:r>
          </w:p>
        </w:tc>
        <w:tc>
          <w:tcPr>
            <w:tcW w:w="2460" w:type="dxa"/>
            <w:vAlign w:val="bottom"/>
          </w:tcPr>
          <w:p>
            <w:pPr>
              <w:jc w:val="center"/>
              <w:ind w:left="1230"/>
              <w:spacing w:after="0"/>
              <w:rPr>
                <w:sz w:val="20"/>
                <w:szCs w:val="20"/>
                <w:color w:val="auto"/>
              </w:rPr>
            </w:pPr>
            <w:r>
              <w:rPr>
                <w:rFonts w:ascii="Arial" w:cs="Arial" w:eastAsia="Arial" w:hAnsi="Arial"/>
                <w:sz w:val="18"/>
                <w:szCs w:val="18"/>
                <w:color w:val="auto"/>
                <w:w w:val="94"/>
              </w:rPr>
              <w:t>25%</w:t>
            </w:r>
          </w:p>
        </w:tc>
      </w:tr>
      <w:tr>
        <w:trPr>
          <w:trHeight w:val="229"/>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August 1, 2022 through July 31, 2025</w:t>
            </w:r>
          </w:p>
        </w:tc>
        <w:tc>
          <w:tcPr>
            <w:tcW w:w="2460" w:type="dxa"/>
            <w:vAlign w:val="bottom"/>
            <w:shd w:val="clear" w:color="auto" w:fill="CCEEFF"/>
          </w:tcPr>
          <w:p>
            <w:pPr>
              <w:jc w:val="center"/>
              <w:ind w:left="1230"/>
              <w:spacing w:after="0"/>
              <w:rPr>
                <w:sz w:val="20"/>
                <w:szCs w:val="20"/>
                <w:color w:val="auto"/>
              </w:rPr>
            </w:pPr>
            <w:r>
              <w:rPr>
                <w:rFonts w:ascii="Arial" w:cs="Arial" w:eastAsia="Arial" w:hAnsi="Arial"/>
                <w:sz w:val="18"/>
                <w:szCs w:val="18"/>
                <w:color w:val="auto"/>
                <w:w w:val="94"/>
              </w:rPr>
              <w:t>25%</w:t>
            </w: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Payout opportunities will range from 0% to 200% of the target award at the end of the three-year performance period.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 Practices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part of the Company's pay-for-performance philosophy, the Company's compensation program includes several features that maintain alignment with shareholders: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ind w:left="20"/>
              <w:spacing w:after="0"/>
              <w:rPr>
                <w:sz w:val="20"/>
                <w:szCs w:val="20"/>
                <w:color w:val="auto"/>
              </w:rPr>
            </w:pPr>
            <w:r>
              <w:rPr>
                <w:rFonts w:ascii="Arial" w:cs="Arial" w:eastAsia="Arial" w:hAnsi="Arial"/>
                <w:sz w:val="18"/>
                <w:szCs w:val="18"/>
                <w:color w:val="auto"/>
              </w:rPr>
              <w:t>Emphasis on Variable Compensation</w:t>
            </w:r>
          </w:p>
        </w:tc>
        <w:tc>
          <w:tcPr>
            <w:tcW w:w="8220" w:type="dxa"/>
            <w:vAlign w:val="bottom"/>
          </w:tcPr>
          <w:p>
            <w:pPr>
              <w:ind w:left="160"/>
              <w:spacing w:after="0"/>
              <w:rPr>
                <w:sz w:val="20"/>
                <w:szCs w:val="20"/>
                <w:color w:val="auto"/>
              </w:rPr>
            </w:pPr>
            <w:r>
              <w:rPr>
                <w:rFonts w:ascii="Arial" w:cs="Arial" w:eastAsia="Arial" w:hAnsi="Arial"/>
                <w:sz w:val="18"/>
                <w:szCs w:val="18"/>
                <w:color w:val="auto"/>
                <w:w w:val="93"/>
              </w:rPr>
              <w:t>A significant portion of each NEO's total compensation opportunity is tied to Company performance, which is</w:t>
            </w:r>
          </w:p>
        </w:tc>
      </w:tr>
      <w:tr>
        <w:trPr>
          <w:trHeight w:val="230"/>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intended to drive shareholder value.</w:t>
            </w:r>
          </w:p>
        </w:tc>
      </w:tr>
      <w:tr>
        <w:trPr>
          <w:trHeight w:val="296"/>
        </w:trPr>
        <w:tc>
          <w:tcPr>
            <w:tcW w:w="3020" w:type="dxa"/>
            <w:vAlign w:val="bottom"/>
          </w:tcPr>
          <w:p>
            <w:pPr>
              <w:ind w:left="20"/>
              <w:spacing w:after="0"/>
              <w:rPr>
                <w:sz w:val="20"/>
                <w:szCs w:val="20"/>
                <w:color w:val="auto"/>
              </w:rPr>
            </w:pPr>
            <w:r>
              <w:rPr>
                <w:rFonts w:ascii="Arial" w:cs="Arial" w:eastAsia="Arial" w:hAnsi="Arial"/>
                <w:sz w:val="18"/>
                <w:szCs w:val="18"/>
                <w:color w:val="auto"/>
              </w:rPr>
              <w:t>Ownership Requirements</w:t>
            </w:r>
          </w:p>
        </w:tc>
        <w:tc>
          <w:tcPr>
            <w:tcW w:w="8220" w:type="dxa"/>
            <w:vAlign w:val="bottom"/>
          </w:tcPr>
          <w:p>
            <w:pPr>
              <w:ind w:left="160"/>
              <w:spacing w:after="0"/>
              <w:rPr>
                <w:sz w:val="20"/>
                <w:szCs w:val="20"/>
                <w:color w:val="auto"/>
              </w:rPr>
            </w:pPr>
            <w:r>
              <w:rPr>
                <w:rFonts w:ascii="Arial" w:cs="Arial" w:eastAsia="Arial" w:hAnsi="Arial"/>
                <w:sz w:val="18"/>
                <w:szCs w:val="18"/>
                <w:color w:val="auto"/>
                <w:w w:val="95"/>
              </w:rPr>
              <w:t>The Company believes that the interests of shareholders and executives are aligned when executives are</w:t>
            </w:r>
          </w:p>
        </w:tc>
      </w:tr>
      <w:tr>
        <w:trPr>
          <w:trHeight w:val="188"/>
        </w:trPr>
        <w:tc>
          <w:tcPr>
            <w:tcW w:w="3020" w:type="dxa"/>
            <w:vAlign w:val="bottom"/>
          </w:tcPr>
          <w:p>
            <w:pPr>
              <w:spacing w:after="0"/>
              <w:rPr>
                <w:sz w:val="16"/>
                <w:szCs w:val="16"/>
                <w:color w:val="auto"/>
              </w:rPr>
            </w:pPr>
          </w:p>
        </w:tc>
        <w:tc>
          <w:tcPr>
            <w:tcW w:w="8220" w:type="dxa"/>
            <w:vAlign w:val="bottom"/>
          </w:tcPr>
          <w:p>
            <w:pPr>
              <w:ind w:left="160"/>
              <w:spacing w:after="0" w:line="189" w:lineRule="exact"/>
              <w:rPr>
                <w:sz w:val="20"/>
                <w:szCs w:val="20"/>
                <w:color w:val="auto"/>
              </w:rPr>
            </w:pPr>
            <w:r>
              <w:rPr>
                <w:rFonts w:ascii="Arial" w:cs="Arial" w:eastAsia="Arial" w:hAnsi="Arial"/>
                <w:sz w:val="18"/>
                <w:szCs w:val="18"/>
                <w:color w:val="auto"/>
                <w:w w:val="99"/>
              </w:rPr>
              <w:t>shareholders in possession of a meaningful amount of Company stock. Furthermore, stock ownership</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8"/>
              </w:rPr>
              <w:t>requirements encourage positive performance behaviors and discourage executive officers from taking</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2"/>
              </w:rPr>
              <w:t>excessive risk. In order to encourage our executive officers and directors to acquire and retain ownership of a</w:t>
            </w:r>
          </w:p>
        </w:tc>
      </w:tr>
      <w:tr>
        <w:trPr>
          <w:trHeight w:val="188"/>
        </w:trPr>
        <w:tc>
          <w:tcPr>
            <w:tcW w:w="3020" w:type="dxa"/>
            <w:vAlign w:val="bottom"/>
          </w:tcPr>
          <w:p>
            <w:pPr>
              <w:spacing w:after="0"/>
              <w:rPr>
                <w:sz w:val="16"/>
                <w:szCs w:val="16"/>
                <w:color w:val="auto"/>
              </w:rPr>
            </w:pPr>
          </w:p>
        </w:tc>
        <w:tc>
          <w:tcPr>
            <w:tcW w:w="8220" w:type="dxa"/>
            <w:vAlign w:val="bottom"/>
          </w:tcPr>
          <w:p>
            <w:pPr>
              <w:ind w:left="160"/>
              <w:spacing w:after="0" w:line="189" w:lineRule="exact"/>
              <w:rPr>
                <w:sz w:val="20"/>
                <w:szCs w:val="20"/>
                <w:color w:val="auto"/>
              </w:rPr>
            </w:pPr>
            <w:r>
              <w:rPr>
                <w:rFonts w:ascii="Arial" w:cs="Arial" w:eastAsia="Arial" w:hAnsi="Arial"/>
                <w:sz w:val="18"/>
                <w:szCs w:val="18"/>
                <w:color w:val="auto"/>
                <w:w w:val="90"/>
              </w:rPr>
              <w:t>significant number of shares of the Company's stock, stock ownership requirements have been established and</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4"/>
              </w:rPr>
              <w:t>are equal to a specified multiple of the executive officer's base salary. Our NEOs are expected to obtain the</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6"/>
              </w:rPr>
              <w:t>required ownership levels within five years of becoming an executive officer. Refer to the heading "Stock</w:t>
            </w:r>
          </w:p>
        </w:tc>
      </w:tr>
      <w:tr>
        <w:trPr>
          <w:trHeight w:val="188"/>
        </w:trPr>
        <w:tc>
          <w:tcPr>
            <w:tcW w:w="3020" w:type="dxa"/>
            <w:vAlign w:val="bottom"/>
          </w:tcPr>
          <w:p>
            <w:pPr>
              <w:spacing w:after="0"/>
              <w:rPr>
                <w:sz w:val="16"/>
                <w:szCs w:val="16"/>
                <w:color w:val="auto"/>
              </w:rPr>
            </w:pPr>
          </w:p>
        </w:tc>
        <w:tc>
          <w:tcPr>
            <w:tcW w:w="8220" w:type="dxa"/>
            <w:vAlign w:val="bottom"/>
          </w:tcPr>
          <w:p>
            <w:pPr>
              <w:ind w:left="160"/>
              <w:spacing w:after="0" w:line="189" w:lineRule="exact"/>
              <w:rPr>
                <w:sz w:val="20"/>
                <w:szCs w:val="20"/>
                <w:color w:val="auto"/>
              </w:rPr>
            </w:pPr>
            <w:r>
              <w:rPr>
                <w:rFonts w:ascii="Arial" w:cs="Arial" w:eastAsia="Arial" w:hAnsi="Arial"/>
                <w:sz w:val="18"/>
                <w:szCs w:val="18"/>
                <w:color w:val="auto"/>
                <w:w w:val="90"/>
              </w:rPr>
              <w:t>Ownership Requirements" for further discussion of the stock ownership requirements established for each NEO</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2"/>
              </w:rPr>
              <w:t>and the actions that the Company may take when an executive is not in compliance with his or her respective</w:t>
            </w:r>
          </w:p>
        </w:tc>
      </w:tr>
      <w:tr>
        <w:trPr>
          <w:trHeight w:val="230"/>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stock ownership requirement.</w:t>
            </w:r>
          </w:p>
        </w:tc>
      </w:tr>
      <w:tr>
        <w:trPr>
          <w:trHeight w:val="283"/>
        </w:trPr>
        <w:tc>
          <w:tcPr>
            <w:tcW w:w="3020" w:type="dxa"/>
            <w:vAlign w:val="bottom"/>
          </w:tcPr>
          <w:p>
            <w:pPr>
              <w:ind w:left="20"/>
              <w:spacing w:after="0"/>
              <w:rPr>
                <w:sz w:val="20"/>
                <w:szCs w:val="20"/>
                <w:color w:val="auto"/>
              </w:rPr>
            </w:pPr>
            <w:r>
              <w:rPr>
                <w:rFonts w:ascii="Arial" w:cs="Arial" w:eastAsia="Arial" w:hAnsi="Arial"/>
                <w:sz w:val="18"/>
                <w:szCs w:val="18"/>
                <w:color w:val="auto"/>
              </w:rPr>
              <w:t>Clawback Provisions</w:t>
            </w:r>
          </w:p>
        </w:tc>
        <w:tc>
          <w:tcPr>
            <w:tcW w:w="8220" w:type="dxa"/>
            <w:vAlign w:val="bottom"/>
          </w:tcPr>
          <w:p>
            <w:pPr>
              <w:ind w:left="160"/>
              <w:spacing w:after="0"/>
              <w:rPr>
                <w:sz w:val="20"/>
                <w:szCs w:val="20"/>
                <w:color w:val="auto"/>
              </w:rPr>
            </w:pPr>
            <w:r>
              <w:rPr>
                <w:rFonts w:ascii="Arial" w:cs="Arial" w:eastAsia="Arial" w:hAnsi="Arial"/>
                <w:sz w:val="18"/>
                <w:szCs w:val="18"/>
                <w:color w:val="auto"/>
                <w:w w:val="92"/>
              </w:rPr>
              <w:t>There is a recoupment policy under which incentive compensation payments and/or awards may be recouped</w:t>
            </w:r>
          </w:p>
        </w:tc>
      </w:tr>
      <w:tr>
        <w:trPr>
          <w:trHeight w:val="188"/>
        </w:trPr>
        <w:tc>
          <w:tcPr>
            <w:tcW w:w="3020" w:type="dxa"/>
            <w:vAlign w:val="bottom"/>
          </w:tcPr>
          <w:p>
            <w:pPr>
              <w:spacing w:after="0"/>
              <w:rPr>
                <w:sz w:val="16"/>
                <w:szCs w:val="16"/>
                <w:color w:val="auto"/>
              </w:rPr>
            </w:pPr>
          </w:p>
        </w:tc>
        <w:tc>
          <w:tcPr>
            <w:tcW w:w="8220" w:type="dxa"/>
            <w:vAlign w:val="bottom"/>
          </w:tcPr>
          <w:p>
            <w:pPr>
              <w:ind w:left="160"/>
              <w:spacing w:after="0" w:line="189" w:lineRule="exact"/>
              <w:rPr>
                <w:sz w:val="20"/>
                <w:szCs w:val="20"/>
                <w:color w:val="auto"/>
              </w:rPr>
            </w:pPr>
            <w:r>
              <w:rPr>
                <w:rFonts w:ascii="Arial" w:cs="Arial" w:eastAsia="Arial" w:hAnsi="Arial"/>
                <w:sz w:val="18"/>
                <w:szCs w:val="18"/>
                <w:color w:val="auto"/>
                <w:w w:val="94"/>
              </w:rPr>
              <w:t>by the Company if such payments and/or awards were based on erroneous results. The recoupment policy</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2"/>
              </w:rPr>
              <w:t>applies to executive officers and other key executives who participate in any of the Company's incentive plans</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2"/>
              </w:rPr>
              <w:t>and i) have engaged in intentional misconduct that results in a material inaccuracy in the Company's financial</w:t>
            </w:r>
          </w:p>
        </w:tc>
      </w:tr>
      <w:tr>
        <w:trPr>
          <w:trHeight w:val="188"/>
        </w:trPr>
        <w:tc>
          <w:tcPr>
            <w:tcW w:w="3020" w:type="dxa"/>
            <w:vAlign w:val="bottom"/>
          </w:tcPr>
          <w:p>
            <w:pPr>
              <w:spacing w:after="0"/>
              <w:rPr>
                <w:sz w:val="16"/>
                <w:szCs w:val="16"/>
                <w:color w:val="auto"/>
              </w:rPr>
            </w:pPr>
          </w:p>
        </w:tc>
        <w:tc>
          <w:tcPr>
            <w:tcW w:w="8220" w:type="dxa"/>
            <w:vAlign w:val="bottom"/>
          </w:tcPr>
          <w:p>
            <w:pPr>
              <w:ind w:left="160"/>
              <w:spacing w:after="0" w:line="189" w:lineRule="exact"/>
              <w:rPr>
                <w:sz w:val="20"/>
                <w:szCs w:val="20"/>
                <w:color w:val="auto"/>
              </w:rPr>
            </w:pPr>
            <w:r>
              <w:rPr>
                <w:rFonts w:ascii="Arial" w:cs="Arial" w:eastAsia="Arial" w:hAnsi="Arial"/>
                <w:sz w:val="18"/>
                <w:szCs w:val="18"/>
                <w:color w:val="auto"/>
                <w:w w:val="96"/>
              </w:rPr>
              <w:t>statements, ii) have engaged in fraudulent or other willful and deliberate conduct that is detrimental to the</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rPr>
              <w:t>Company or iii) there is a material, negative revision of a performance measure for which incentive</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3"/>
              </w:rPr>
              <w:t>compensation was paid or awarded. Under the policy, the Committee may take a variety of actions including,</w:t>
            </w:r>
          </w:p>
        </w:tc>
      </w:tr>
      <w:tr>
        <w:trPr>
          <w:trHeight w:val="188"/>
        </w:trPr>
        <w:tc>
          <w:tcPr>
            <w:tcW w:w="3020" w:type="dxa"/>
            <w:vAlign w:val="bottom"/>
          </w:tcPr>
          <w:p>
            <w:pPr>
              <w:spacing w:after="0"/>
              <w:rPr>
                <w:sz w:val="16"/>
                <w:szCs w:val="16"/>
                <w:color w:val="auto"/>
              </w:rPr>
            </w:pPr>
          </w:p>
        </w:tc>
        <w:tc>
          <w:tcPr>
            <w:tcW w:w="8220" w:type="dxa"/>
            <w:vAlign w:val="bottom"/>
          </w:tcPr>
          <w:p>
            <w:pPr>
              <w:ind w:left="160"/>
              <w:spacing w:after="0" w:line="189" w:lineRule="exact"/>
              <w:rPr>
                <w:sz w:val="20"/>
                <w:szCs w:val="20"/>
                <w:color w:val="auto"/>
              </w:rPr>
            </w:pPr>
            <w:r>
              <w:rPr>
                <w:rFonts w:ascii="Arial" w:cs="Arial" w:eastAsia="Arial" w:hAnsi="Arial"/>
                <w:sz w:val="18"/>
                <w:szCs w:val="18"/>
                <w:color w:val="auto"/>
                <w:w w:val="94"/>
              </w:rPr>
              <w:t>among others, seeking repayment of incentive compensation (cash and/or equity) that is greater than what</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7"/>
              </w:rPr>
              <w:t>would have been awarded if the compensation had been based on accurate results and the forfeiture of</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5"/>
              </w:rPr>
              <w:t>incentive compensation. As this policy suggests, the Committee believes that any incentive compensation</w:t>
            </w:r>
          </w:p>
        </w:tc>
      </w:tr>
      <w:tr>
        <w:trPr>
          <w:trHeight w:val="188"/>
        </w:trPr>
        <w:tc>
          <w:tcPr>
            <w:tcW w:w="3020" w:type="dxa"/>
            <w:vAlign w:val="bottom"/>
          </w:tcPr>
          <w:p>
            <w:pPr>
              <w:spacing w:after="0"/>
              <w:rPr>
                <w:sz w:val="16"/>
                <w:szCs w:val="16"/>
                <w:color w:val="auto"/>
              </w:rPr>
            </w:pPr>
          </w:p>
        </w:tc>
        <w:tc>
          <w:tcPr>
            <w:tcW w:w="8220" w:type="dxa"/>
            <w:vAlign w:val="bottom"/>
          </w:tcPr>
          <w:p>
            <w:pPr>
              <w:ind w:left="160"/>
              <w:spacing w:after="0" w:line="189" w:lineRule="exact"/>
              <w:rPr>
                <w:sz w:val="20"/>
                <w:szCs w:val="20"/>
                <w:color w:val="auto"/>
              </w:rPr>
            </w:pPr>
            <w:r>
              <w:rPr>
                <w:rFonts w:ascii="Arial" w:cs="Arial" w:eastAsia="Arial" w:hAnsi="Arial"/>
                <w:sz w:val="18"/>
                <w:szCs w:val="18"/>
                <w:color w:val="auto"/>
                <w:w w:val="94"/>
              </w:rPr>
              <w:t>should  be  based  only  on  accurate  and  reliable  financial  and  operational  information,  and,  thus,  any</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0"/>
              </w:rPr>
              <w:t>inappropriately paid incentive compensation should be returned to the Company for the benefit of shareholders.</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3"/>
              </w:rPr>
              <w:t>The Committee believes that this policy enhances the Company's compensation risk mitigation efforts. While</w:t>
            </w:r>
          </w:p>
        </w:tc>
      </w:tr>
      <w:tr>
        <w:trPr>
          <w:trHeight w:val="188"/>
        </w:trPr>
        <w:tc>
          <w:tcPr>
            <w:tcW w:w="3020" w:type="dxa"/>
            <w:vAlign w:val="bottom"/>
          </w:tcPr>
          <w:p>
            <w:pPr>
              <w:spacing w:after="0"/>
              <w:rPr>
                <w:sz w:val="16"/>
                <w:szCs w:val="16"/>
                <w:color w:val="auto"/>
              </w:rPr>
            </w:pPr>
          </w:p>
        </w:tc>
        <w:tc>
          <w:tcPr>
            <w:tcW w:w="8220" w:type="dxa"/>
            <w:vAlign w:val="bottom"/>
          </w:tcPr>
          <w:p>
            <w:pPr>
              <w:ind w:left="160"/>
              <w:spacing w:after="0" w:line="189" w:lineRule="exact"/>
              <w:rPr>
                <w:sz w:val="20"/>
                <w:szCs w:val="20"/>
                <w:color w:val="auto"/>
              </w:rPr>
            </w:pPr>
            <w:r>
              <w:rPr>
                <w:rFonts w:ascii="Arial" w:cs="Arial" w:eastAsia="Arial" w:hAnsi="Arial"/>
                <w:sz w:val="18"/>
                <w:szCs w:val="18"/>
                <w:color w:val="auto"/>
                <w:w w:val="93"/>
              </w:rPr>
              <w:t>the policy currently affords the Committee discretion regarding the application and enforcement of the policy,</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rPr>
              <w:t>the Company and the Committee intend to conform the policy to comply with the new NYSE listing</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6"/>
              </w:rPr>
              <w:t>requirements implementing SEC rules adopted under the Dodd-Frank Wall Street Reform and Consumer</w:t>
            </w:r>
          </w:p>
        </w:tc>
      </w:tr>
      <w:tr>
        <w:trPr>
          <w:trHeight w:val="230"/>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Protection Act by the deadline provided in such listing requirements.</w:t>
            </w:r>
          </w:p>
        </w:tc>
      </w:tr>
      <w:tr>
        <w:trPr>
          <w:trHeight w:val="296"/>
        </w:trPr>
        <w:tc>
          <w:tcPr>
            <w:tcW w:w="3020" w:type="dxa"/>
            <w:vAlign w:val="bottom"/>
          </w:tcPr>
          <w:p>
            <w:pPr>
              <w:ind w:left="20"/>
              <w:spacing w:after="0"/>
              <w:rPr>
                <w:sz w:val="20"/>
                <w:szCs w:val="20"/>
                <w:color w:val="auto"/>
              </w:rPr>
            </w:pPr>
            <w:r>
              <w:rPr>
                <w:rFonts w:ascii="Arial" w:cs="Arial" w:eastAsia="Arial" w:hAnsi="Arial"/>
                <w:sz w:val="18"/>
                <w:szCs w:val="18"/>
                <w:color w:val="auto"/>
              </w:rPr>
              <w:t>Performance Thresholds and Caps</w:t>
            </w:r>
          </w:p>
        </w:tc>
        <w:tc>
          <w:tcPr>
            <w:tcW w:w="8220" w:type="dxa"/>
            <w:vAlign w:val="bottom"/>
          </w:tcPr>
          <w:p>
            <w:pPr>
              <w:ind w:left="160"/>
              <w:spacing w:after="0"/>
              <w:rPr>
                <w:sz w:val="20"/>
                <w:szCs w:val="20"/>
                <w:color w:val="auto"/>
              </w:rPr>
            </w:pPr>
            <w:r>
              <w:rPr>
                <w:rFonts w:ascii="Arial" w:cs="Arial" w:eastAsia="Arial" w:hAnsi="Arial"/>
                <w:sz w:val="18"/>
                <w:szCs w:val="18"/>
                <w:color w:val="auto"/>
                <w:w w:val="94"/>
              </w:rPr>
              <w:t>Excessive risk-taking is mitigated by utilizing caps on incentive plan payouts, multiple performance metrics,</w:t>
            </w:r>
          </w:p>
        </w:tc>
      </w:tr>
      <w:tr>
        <w:trPr>
          <w:trHeight w:val="188"/>
        </w:trPr>
        <w:tc>
          <w:tcPr>
            <w:tcW w:w="3020" w:type="dxa"/>
            <w:vAlign w:val="bottom"/>
          </w:tcPr>
          <w:p>
            <w:pPr>
              <w:spacing w:after="0"/>
              <w:rPr>
                <w:sz w:val="16"/>
                <w:szCs w:val="16"/>
                <w:color w:val="auto"/>
              </w:rPr>
            </w:pPr>
          </w:p>
        </w:tc>
        <w:tc>
          <w:tcPr>
            <w:tcW w:w="8220" w:type="dxa"/>
            <w:vAlign w:val="bottom"/>
          </w:tcPr>
          <w:p>
            <w:pPr>
              <w:ind w:left="160"/>
              <w:spacing w:after="0" w:line="189" w:lineRule="exact"/>
              <w:rPr>
                <w:sz w:val="20"/>
                <w:szCs w:val="20"/>
                <w:color w:val="auto"/>
              </w:rPr>
            </w:pPr>
            <w:r>
              <w:rPr>
                <w:rFonts w:ascii="Arial" w:cs="Arial" w:eastAsia="Arial" w:hAnsi="Arial"/>
                <w:sz w:val="18"/>
                <w:szCs w:val="18"/>
                <w:color w:val="auto"/>
                <w:w w:val="96"/>
              </w:rPr>
              <w:t>and different performance metrics for our annual cash incentive program and PRSUs. Our cash incentive</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3"/>
              </w:rPr>
              <w:t>awards are determined based on financial results for organic revenue, income before income taxes, division</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5"/>
              </w:rPr>
              <w:t>organic revenue and division operating income, which aggregate to a maximum payout of 200% of target.</w:t>
            </w:r>
          </w:p>
        </w:tc>
      </w:tr>
      <w:tr>
        <w:trPr>
          <w:trHeight w:val="188"/>
        </w:trPr>
        <w:tc>
          <w:tcPr>
            <w:tcW w:w="3020" w:type="dxa"/>
            <w:vAlign w:val="bottom"/>
          </w:tcPr>
          <w:p>
            <w:pPr>
              <w:spacing w:after="0"/>
              <w:rPr>
                <w:sz w:val="16"/>
                <w:szCs w:val="16"/>
                <w:color w:val="auto"/>
              </w:rPr>
            </w:pPr>
          </w:p>
        </w:tc>
        <w:tc>
          <w:tcPr>
            <w:tcW w:w="8220" w:type="dxa"/>
            <w:vAlign w:val="bottom"/>
          </w:tcPr>
          <w:p>
            <w:pPr>
              <w:ind w:left="160"/>
              <w:spacing w:after="0" w:line="189" w:lineRule="exact"/>
              <w:rPr>
                <w:sz w:val="20"/>
                <w:szCs w:val="20"/>
                <w:color w:val="auto"/>
              </w:rPr>
            </w:pPr>
            <w:r>
              <w:rPr>
                <w:rFonts w:ascii="Arial" w:cs="Arial" w:eastAsia="Arial" w:hAnsi="Arial"/>
                <w:sz w:val="18"/>
                <w:szCs w:val="18"/>
                <w:color w:val="auto"/>
                <w:w w:val="96"/>
              </w:rPr>
              <w:t>Executive officers then receive a performance rating that results in a multiplier ranging from 0% to 150%,</w:t>
            </w:r>
          </w:p>
        </w:tc>
      </w:tr>
      <w:tr>
        <w:trPr>
          <w:trHeight w:val="230"/>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resulting in a maximum payout of 300% of target.</w:t>
            </w:r>
          </w:p>
        </w:tc>
      </w:tr>
      <w:tr>
        <w:trPr>
          <w:trHeight w:val="297"/>
        </w:trPr>
        <w:tc>
          <w:tcPr>
            <w:tcW w:w="3020" w:type="dxa"/>
            <w:vAlign w:val="bottom"/>
          </w:tcPr>
          <w:p>
            <w:pPr>
              <w:spacing w:after="0"/>
              <w:rPr>
                <w:sz w:val="24"/>
                <w:szCs w:val="24"/>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w w:val="94"/>
              </w:rPr>
              <w:t>We  grant  equity  compensation  to  executive  officers  that  promotes  long-term  financial  and  operating</w:t>
            </w:r>
          </w:p>
        </w:tc>
      </w:tr>
      <w:tr>
        <w:trPr>
          <w:trHeight w:val="188"/>
        </w:trPr>
        <w:tc>
          <w:tcPr>
            <w:tcW w:w="3020" w:type="dxa"/>
            <w:vAlign w:val="bottom"/>
          </w:tcPr>
          <w:p>
            <w:pPr>
              <w:spacing w:after="0"/>
              <w:rPr>
                <w:sz w:val="16"/>
                <w:szCs w:val="16"/>
                <w:color w:val="auto"/>
              </w:rPr>
            </w:pPr>
          </w:p>
        </w:tc>
        <w:tc>
          <w:tcPr>
            <w:tcW w:w="8220" w:type="dxa"/>
            <w:vAlign w:val="bottom"/>
          </w:tcPr>
          <w:p>
            <w:pPr>
              <w:ind w:left="160"/>
              <w:spacing w:after="0" w:line="189" w:lineRule="exact"/>
              <w:rPr>
                <w:sz w:val="20"/>
                <w:szCs w:val="20"/>
                <w:color w:val="auto"/>
              </w:rPr>
            </w:pPr>
            <w:r>
              <w:rPr>
                <w:rFonts w:ascii="Arial" w:cs="Arial" w:eastAsia="Arial" w:hAnsi="Arial"/>
                <w:sz w:val="18"/>
                <w:szCs w:val="18"/>
                <w:color w:val="auto"/>
                <w:w w:val="95"/>
              </w:rPr>
              <w:t>performance by delivering incremental value to the extent that our stock price increases over time. PRSUs</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5"/>
              </w:rPr>
              <w:t>incorporate Company performance relative to a benchmark over a three-year period and have a maximum</w:t>
            </w:r>
          </w:p>
        </w:tc>
      </w:tr>
      <w:tr>
        <w:trPr>
          <w:trHeight w:val="230"/>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payout of 200% of target.</w:t>
            </w:r>
          </w:p>
        </w:tc>
      </w:tr>
      <w:tr>
        <w:trPr>
          <w:trHeight w:val="283"/>
        </w:trPr>
        <w:tc>
          <w:tcPr>
            <w:tcW w:w="3020" w:type="dxa"/>
            <w:vAlign w:val="bottom"/>
          </w:tcPr>
          <w:p>
            <w:pPr>
              <w:ind w:left="20"/>
              <w:spacing w:after="0"/>
              <w:rPr>
                <w:sz w:val="20"/>
                <w:szCs w:val="20"/>
                <w:color w:val="auto"/>
              </w:rPr>
            </w:pPr>
            <w:r>
              <w:rPr>
                <w:rFonts w:ascii="Arial" w:cs="Arial" w:eastAsia="Arial" w:hAnsi="Arial"/>
                <w:sz w:val="18"/>
                <w:szCs w:val="18"/>
                <w:color w:val="auto"/>
              </w:rPr>
              <w:t>Insider  Trading  and  Anti-Hedging</w:t>
            </w:r>
          </w:p>
        </w:tc>
        <w:tc>
          <w:tcPr>
            <w:tcW w:w="8220" w:type="dxa"/>
            <w:vAlign w:val="bottom"/>
          </w:tcPr>
          <w:p>
            <w:pPr>
              <w:ind w:left="160"/>
              <w:spacing w:after="0"/>
              <w:rPr>
                <w:sz w:val="20"/>
                <w:szCs w:val="20"/>
                <w:color w:val="auto"/>
              </w:rPr>
            </w:pPr>
            <w:r>
              <w:rPr>
                <w:rFonts w:ascii="Arial" w:cs="Arial" w:eastAsia="Arial" w:hAnsi="Arial"/>
                <w:sz w:val="18"/>
                <w:szCs w:val="18"/>
                <w:color w:val="auto"/>
                <w:w w:val="94"/>
              </w:rPr>
              <w:t>Our Insider Trading Policy prohibits executive officers from trading during certain periods each quarter until</w:t>
            </w:r>
          </w:p>
        </w:tc>
      </w:tr>
      <w:tr>
        <w:trPr>
          <w:trHeight w:val="188"/>
        </w:trPr>
        <w:tc>
          <w:tcPr>
            <w:tcW w:w="3020" w:type="dxa"/>
            <w:vAlign w:val="bottom"/>
          </w:tcPr>
          <w:p>
            <w:pPr>
              <w:ind w:left="20"/>
              <w:spacing w:after="0" w:line="189" w:lineRule="exact"/>
              <w:rPr>
                <w:sz w:val="20"/>
                <w:szCs w:val="20"/>
                <w:color w:val="auto"/>
              </w:rPr>
            </w:pPr>
            <w:r>
              <w:rPr>
                <w:rFonts w:ascii="Arial" w:cs="Arial" w:eastAsia="Arial" w:hAnsi="Arial"/>
                <w:sz w:val="18"/>
                <w:szCs w:val="18"/>
                <w:color w:val="auto"/>
              </w:rPr>
              <w:t>Policy</w:t>
            </w:r>
          </w:p>
        </w:tc>
        <w:tc>
          <w:tcPr>
            <w:tcW w:w="8220" w:type="dxa"/>
            <w:vAlign w:val="bottom"/>
          </w:tcPr>
          <w:p>
            <w:pPr>
              <w:ind w:left="160"/>
              <w:spacing w:after="0" w:line="189" w:lineRule="exact"/>
              <w:rPr>
                <w:sz w:val="20"/>
                <w:szCs w:val="20"/>
                <w:color w:val="auto"/>
              </w:rPr>
            </w:pPr>
            <w:r>
              <w:rPr>
                <w:rFonts w:ascii="Arial" w:cs="Arial" w:eastAsia="Arial" w:hAnsi="Arial"/>
                <w:sz w:val="18"/>
                <w:szCs w:val="18"/>
                <w:color w:val="auto"/>
                <w:w w:val="96"/>
              </w:rPr>
              <w:t>after we publicly disclose our financial and operating results. We may impose additional restricted trading</w:t>
            </w:r>
          </w:p>
        </w:tc>
      </w:tr>
      <w:tr>
        <w:trPr>
          <w:trHeight w:val="176"/>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3"/>
              </w:rPr>
              <w:t>periods at any time if we believe trading by executives would be inappropriate because of developments that</w:t>
            </w:r>
          </w:p>
        </w:tc>
      </w:tr>
      <w:tr>
        <w:trPr>
          <w:trHeight w:val="175"/>
        </w:trPr>
        <w:tc>
          <w:tcPr>
            <w:tcW w:w="3020" w:type="dxa"/>
            <w:vAlign w:val="bottom"/>
          </w:tcPr>
          <w:p>
            <w:pPr>
              <w:spacing w:after="0"/>
              <w:rPr>
                <w:sz w:val="15"/>
                <w:szCs w:val="15"/>
                <w:color w:val="auto"/>
              </w:rPr>
            </w:pPr>
          </w:p>
        </w:tc>
        <w:tc>
          <w:tcPr>
            <w:tcW w:w="8220" w:type="dxa"/>
            <w:vAlign w:val="bottom"/>
          </w:tcPr>
          <w:p>
            <w:pPr>
              <w:ind w:left="160"/>
              <w:spacing w:after="0" w:line="176" w:lineRule="exact"/>
              <w:rPr>
                <w:sz w:val="20"/>
                <w:szCs w:val="20"/>
                <w:color w:val="auto"/>
              </w:rPr>
            </w:pPr>
            <w:r>
              <w:rPr>
                <w:rFonts w:ascii="Arial" w:cs="Arial" w:eastAsia="Arial" w:hAnsi="Arial"/>
                <w:sz w:val="18"/>
                <w:szCs w:val="18"/>
                <w:color w:val="auto"/>
                <w:w w:val="91"/>
              </w:rPr>
              <w:t>are, or could be, material and which have not been publicly disclosed. The Insider Trading Policy also prohibits</w:t>
            </w:r>
          </w:p>
        </w:tc>
      </w:tr>
      <w:tr>
        <w:trPr>
          <w:trHeight w:val="188"/>
        </w:trPr>
        <w:tc>
          <w:tcPr>
            <w:tcW w:w="3020" w:type="dxa"/>
            <w:vAlign w:val="bottom"/>
          </w:tcPr>
          <w:p>
            <w:pPr>
              <w:spacing w:after="0"/>
              <w:rPr>
                <w:sz w:val="16"/>
                <w:szCs w:val="16"/>
                <w:color w:val="auto"/>
              </w:rPr>
            </w:pPr>
          </w:p>
        </w:tc>
        <w:tc>
          <w:tcPr>
            <w:tcW w:w="8220" w:type="dxa"/>
            <w:vAlign w:val="bottom"/>
          </w:tcPr>
          <w:p>
            <w:pPr>
              <w:ind w:left="160"/>
              <w:spacing w:after="0" w:line="189" w:lineRule="exact"/>
              <w:rPr>
                <w:sz w:val="20"/>
                <w:szCs w:val="20"/>
                <w:color w:val="auto"/>
              </w:rPr>
            </w:pPr>
            <w:r>
              <w:rPr>
                <w:rFonts w:ascii="Arial" w:cs="Arial" w:eastAsia="Arial" w:hAnsi="Arial"/>
                <w:sz w:val="18"/>
                <w:szCs w:val="18"/>
                <w:color w:val="auto"/>
                <w:w w:val="95"/>
              </w:rPr>
              <w:t>the pledging of Company stock as collateral for loans, holding Company securities in a margin account by</w:t>
            </w:r>
          </w:p>
        </w:tc>
      </w:tr>
      <w:tr>
        <w:trPr>
          <w:trHeight w:val="230"/>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officers, directors or employees, and the hedging of Company securities.</w:t>
            </w:r>
          </w:p>
        </w:tc>
      </w:tr>
      <w:tr>
        <w:trPr>
          <w:trHeight w:val="283"/>
        </w:trPr>
        <w:tc>
          <w:tcPr>
            <w:tcW w:w="3020" w:type="dxa"/>
            <w:vAlign w:val="bottom"/>
          </w:tcPr>
          <w:p>
            <w:pPr>
              <w:ind w:left="20"/>
              <w:spacing w:after="0"/>
              <w:rPr>
                <w:sz w:val="20"/>
                <w:szCs w:val="20"/>
                <w:color w:val="auto"/>
              </w:rPr>
            </w:pPr>
            <w:r>
              <w:rPr>
                <w:rFonts w:ascii="Arial" w:cs="Arial" w:eastAsia="Arial" w:hAnsi="Arial"/>
                <w:sz w:val="18"/>
                <w:szCs w:val="18"/>
                <w:color w:val="auto"/>
              </w:rPr>
              <w:t>Annual Risk Reviews</w:t>
            </w:r>
          </w:p>
        </w:tc>
        <w:tc>
          <w:tcPr>
            <w:tcW w:w="8220" w:type="dxa"/>
            <w:vAlign w:val="bottom"/>
          </w:tcPr>
          <w:p>
            <w:pPr>
              <w:ind w:left="160"/>
              <w:spacing w:after="0"/>
              <w:rPr>
                <w:sz w:val="20"/>
                <w:szCs w:val="20"/>
                <w:color w:val="auto"/>
              </w:rPr>
            </w:pPr>
            <w:r>
              <w:rPr>
                <w:rFonts w:ascii="Arial" w:cs="Arial" w:eastAsia="Arial" w:hAnsi="Arial"/>
                <w:sz w:val="18"/>
                <w:szCs w:val="18"/>
                <w:color w:val="auto"/>
                <w:w w:val="91"/>
              </w:rPr>
              <w:t>The Company conducts an annual compensation-related risk review and presents findings and suggested risk</w:t>
            </w:r>
          </w:p>
        </w:tc>
      </w:tr>
      <w:tr>
        <w:trPr>
          <w:trHeight w:val="230"/>
        </w:trPr>
        <w:tc>
          <w:tcPr>
            <w:tcW w:w="3020" w:type="dxa"/>
            <w:vAlign w:val="bottom"/>
          </w:tcPr>
          <w:p>
            <w:pPr>
              <w:spacing w:after="0"/>
              <w:rPr>
                <w:sz w:val="20"/>
                <w:szCs w:val="20"/>
                <w:color w:val="auto"/>
              </w:rPr>
            </w:pPr>
          </w:p>
        </w:tc>
        <w:tc>
          <w:tcPr>
            <w:tcW w:w="8220" w:type="dxa"/>
            <w:vAlign w:val="bottom"/>
          </w:tcPr>
          <w:p>
            <w:pPr>
              <w:ind w:left="160"/>
              <w:spacing w:after="0"/>
              <w:rPr>
                <w:sz w:val="20"/>
                <w:szCs w:val="20"/>
                <w:color w:val="auto"/>
              </w:rPr>
            </w:pPr>
            <w:r>
              <w:rPr>
                <w:rFonts w:ascii="Arial" w:cs="Arial" w:eastAsia="Arial" w:hAnsi="Arial"/>
                <w:sz w:val="18"/>
                <w:szCs w:val="18"/>
                <w:color w:val="auto"/>
              </w:rPr>
              <w:t>mitigation actions to both the Audit and Management Development and Compensation Committees.</w:t>
            </w:r>
          </w:p>
        </w:tc>
      </w:tr>
      <w:tr>
        <w:trPr>
          <w:trHeight w:val="877"/>
        </w:trPr>
        <w:tc>
          <w:tcPr>
            <w:tcW w:w="3020" w:type="dxa"/>
            <w:vAlign w:val="bottom"/>
          </w:tcPr>
          <w:p>
            <w:pPr>
              <w:spacing w:after="0"/>
              <w:rPr>
                <w:sz w:val="24"/>
                <w:szCs w:val="24"/>
                <w:color w:val="auto"/>
              </w:rPr>
            </w:pPr>
          </w:p>
        </w:tc>
        <w:tc>
          <w:tcPr>
            <w:tcW w:w="8220" w:type="dxa"/>
            <w:vAlign w:val="bottom"/>
          </w:tcPr>
          <w:p>
            <w:pPr>
              <w:ind w:left="2520"/>
              <w:spacing w:after="0"/>
              <w:rPr>
                <w:sz w:val="20"/>
                <w:szCs w:val="20"/>
                <w:color w:val="auto"/>
              </w:rPr>
            </w:pPr>
            <w:r>
              <w:rPr>
                <w:rFonts w:ascii="Arial" w:cs="Arial" w:eastAsia="Arial" w:hAnsi="Arial"/>
                <w:sz w:val="18"/>
                <w:szCs w:val="18"/>
                <w:color w:val="auto"/>
              </w:rPr>
              <w:t>65</w:t>
            </w:r>
          </w:p>
        </w:tc>
      </w:tr>
      <w:tr>
        <w:trPr>
          <w:trHeight w:val="115"/>
        </w:trPr>
        <w:tc>
          <w:tcPr>
            <w:tcW w:w="3020" w:type="dxa"/>
            <w:vAlign w:val="bottom"/>
            <w:tcBorders>
              <w:bottom w:val="single" w:sz="8" w:color="9A9A9A"/>
            </w:tcBorders>
          </w:tcPr>
          <w:p>
            <w:pPr>
              <w:spacing w:after="0"/>
              <w:rPr>
                <w:sz w:val="10"/>
                <w:szCs w:val="10"/>
                <w:color w:val="auto"/>
              </w:rPr>
            </w:pPr>
          </w:p>
        </w:tc>
        <w:tc>
          <w:tcPr>
            <w:tcW w:w="8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compensation programs also maintain alignment with shareholders by not including certain features:</w:t>
      </w:r>
    </w:p>
    <w:p>
      <w:pPr>
        <w:spacing w:after="0" w:line="196" w:lineRule="exact"/>
        <w:rPr>
          <w:sz w:val="20"/>
          <w:szCs w:val="20"/>
          <w:color w:val="auto"/>
        </w:rPr>
      </w:pPr>
    </w:p>
    <w:p>
      <w:pPr>
        <w:ind w:left="20"/>
        <w:spacing w:after="0"/>
        <w:tabs>
          <w:tab w:leader="none" w:pos="3120" w:val="left"/>
        </w:tabs>
        <w:rPr>
          <w:sz w:val="20"/>
          <w:szCs w:val="20"/>
          <w:color w:val="auto"/>
        </w:rPr>
      </w:pPr>
      <w:r>
        <w:rPr>
          <w:rFonts w:ascii="Arial" w:cs="Arial" w:eastAsia="Arial" w:hAnsi="Arial"/>
          <w:sz w:val="18"/>
          <w:szCs w:val="18"/>
          <w:color w:val="auto"/>
        </w:rPr>
        <w:t>No Excessive Change of Control</w:t>
      </w:r>
      <w:r>
        <w:rPr>
          <w:sz w:val="20"/>
          <w:szCs w:val="20"/>
          <w:color w:val="auto"/>
        </w:rPr>
        <w:tab/>
      </w:r>
      <w:r>
        <w:rPr>
          <w:rFonts w:ascii="Arial" w:cs="Arial" w:eastAsia="Arial" w:hAnsi="Arial"/>
          <w:sz w:val="16"/>
          <w:szCs w:val="16"/>
          <w:color w:val="auto"/>
        </w:rPr>
        <w:t>Messrs. Shaller and Bojarski and Ms. Thornton's maximum cash benefit is equal to two times their base salary</w:t>
      </w:r>
    </w:p>
    <w:p>
      <w:pPr>
        <w:ind w:left="20"/>
        <w:spacing w:after="0"/>
        <w:tabs>
          <w:tab w:leader="none" w:pos="3120" w:val="left"/>
        </w:tabs>
        <w:rPr>
          <w:sz w:val="20"/>
          <w:szCs w:val="20"/>
          <w:color w:val="auto"/>
        </w:rPr>
      </w:pPr>
      <w:r>
        <w:rPr>
          <w:rFonts w:ascii="Arial" w:cs="Arial" w:eastAsia="Arial" w:hAnsi="Arial"/>
          <w:sz w:val="16"/>
          <w:szCs w:val="16"/>
          <w:color w:val="auto"/>
        </w:rPr>
        <w:t>Payments</w:t>
      </w:r>
      <w:r>
        <w:rPr>
          <w:sz w:val="20"/>
          <w:szCs w:val="20"/>
          <w:color w:val="auto"/>
        </w:rPr>
        <w:tab/>
      </w:r>
      <w:r>
        <w:rPr>
          <w:rFonts w:ascii="Arial" w:cs="Arial" w:eastAsia="Arial" w:hAnsi="Arial"/>
          <w:sz w:val="16"/>
          <w:szCs w:val="16"/>
          <w:color w:val="auto"/>
        </w:rPr>
        <w:t>and two times their target annual cash incentive in the year in which the termination occurs. For all other NEOs,</w:t>
      </w:r>
    </w:p>
    <w:p>
      <w:pPr>
        <w:ind w:left="3140"/>
        <w:spacing w:after="0" w:line="221" w:lineRule="auto"/>
        <w:rPr>
          <w:sz w:val="20"/>
          <w:szCs w:val="20"/>
          <w:color w:val="auto"/>
        </w:rPr>
      </w:pPr>
      <w:r>
        <w:rPr>
          <w:rFonts w:ascii="Arial" w:cs="Arial" w:eastAsia="Arial" w:hAnsi="Arial"/>
          <w:sz w:val="17"/>
          <w:szCs w:val="17"/>
          <w:color w:val="auto"/>
        </w:rPr>
        <w:t>their maximum cash benefit is equal to two times salary and two times the average annual cash incentive</w:t>
      </w:r>
    </w:p>
    <w:p>
      <w:pPr>
        <w:ind w:left="3140"/>
        <w:spacing w:after="0" w:line="229" w:lineRule="auto"/>
        <w:rPr>
          <w:sz w:val="20"/>
          <w:szCs w:val="20"/>
          <w:color w:val="auto"/>
        </w:rPr>
      </w:pPr>
      <w:r>
        <w:rPr>
          <w:rFonts w:ascii="Arial" w:cs="Arial" w:eastAsia="Arial" w:hAnsi="Arial"/>
          <w:sz w:val="16"/>
          <w:szCs w:val="16"/>
          <w:color w:val="auto"/>
        </w:rPr>
        <w:t>payment received in the three years immediately prior to the date the change of control occurs. In the event of a</w:t>
      </w:r>
    </w:p>
    <w:p>
      <w:pPr>
        <w:ind w:left="3140"/>
        <w:spacing w:after="0"/>
        <w:rPr>
          <w:sz w:val="20"/>
          <w:szCs w:val="20"/>
          <w:color w:val="auto"/>
        </w:rPr>
      </w:pPr>
      <w:r>
        <w:rPr>
          <w:rFonts w:ascii="Arial" w:cs="Arial" w:eastAsia="Arial" w:hAnsi="Arial"/>
          <w:sz w:val="16"/>
          <w:szCs w:val="16"/>
          <w:color w:val="auto"/>
        </w:rPr>
        <w:t>change of control, unexercised stock options become fully exercisable or, if canceled, each named executive</w:t>
      </w:r>
    </w:p>
    <w:p>
      <w:pPr>
        <w:spacing w:after="0" w:line="5" w:lineRule="exact"/>
        <w:rPr>
          <w:sz w:val="20"/>
          <w:szCs w:val="20"/>
          <w:color w:val="auto"/>
        </w:rPr>
      </w:pPr>
    </w:p>
    <w:p>
      <w:pPr>
        <w:ind w:left="3140" w:right="20"/>
        <w:spacing w:after="0" w:line="226" w:lineRule="auto"/>
        <w:rPr>
          <w:sz w:val="20"/>
          <w:szCs w:val="20"/>
          <w:color w:val="auto"/>
        </w:rPr>
      </w:pPr>
      <w:r>
        <w:rPr>
          <w:rFonts w:ascii="Arial" w:cs="Arial" w:eastAsia="Arial" w:hAnsi="Arial"/>
          <w:sz w:val="18"/>
          <w:szCs w:val="18"/>
          <w:color w:val="auto"/>
        </w:rPr>
        <w:t>officer shall be given cash or stock equal to the in-the-money value of the canceled stock options. In the event of a change of control, PRSUs and RSUs become fully vested at target.</w:t>
      </w:r>
    </w:p>
    <w:p>
      <w:pPr>
        <w:sectPr>
          <w:pgSz w:w="11900" w:h="16838" w:orient="portrait"/>
          <w:cols w:equalWidth="0" w:num="1">
            <w:col w:w="11240"/>
          </w:cols>
          <w:pgMar w:left="320" w:top="122" w:right="339" w:bottom="1440" w:gutter="0" w:footer="0" w:header="0"/>
        </w:sectPr>
      </w:pPr>
    </w:p>
    <w:p>
      <w:pPr>
        <w:spacing w:after="0" w:line="107"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No Reloads, Repricing, or Options Issued at a Discount</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Stock options issued are not repriced, replaced, or regranted through cancellation or by lowering the option price of a previously granted option.</w:t>
      </w:r>
    </w:p>
    <w:p>
      <w:pPr>
        <w:spacing w:after="0" w:line="200" w:lineRule="exact"/>
        <w:rPr>
          <w:sz w:val="20"/>
          <w:szCs w:val="20"/>
          <w:color w:val="auto"/>
        </w:rPr>
      </w:pPr>
    </w:p>
    <w:p>
      <w:pPr>
        <w:sectPr>
          <w:pgSz w:w="11900" w:h="16838" w:orient="portrait"/>
          <w:cols w:equalWidth="0" w:num="2">
            <w:col w:w="2520" w:space="620"/>
            <w:col w:w="8100"/>
          </w:cols>
          <w:pgMar w:left="320" w:top="122" w:right="33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75"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We seek to align the interests of our executives with those of our shareholders by evaluating performance on the basis of key financial measurements that we believe closely correlate to long-term shareholder value. To this end, we have structured our compensation program to accomplish the following:</w:t>
      </w:r>
    </w:p>
    <w:p>
      <w:pPr>
        <w:spacing w:after="0" w:line="7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Allow the Company to attract, retain, motivate, develop and reward talented executives;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Deliver compensation plans that are both internally equitable when comparing similar roles and levels within the Company and externally competitive when comparing to the external market and the Company’s designated peer group;</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an appropriate balance between base salary and short-term and long-term incentive opportunities;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integrated compensation programs aligned to the Company’s annual and long-term financial goals and realized performance in order to reward the successful creation of long-term shareholder value;</w:t>
      </w: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Recognize and reward individual initiative and achievement with the amount of compensation each executive receives reflective of the executive’s level of proficiency within his or her role and their level of sustained performance; and</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Institute a pay-for-performance philosophy where the level of rewards is aligned to Company performance results.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Development &amp; Compensation Committee’s Role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Committee is responsible for fulfilling the following responsibilities and duties:</w:t>
      </w:r>
    </w:p>
    <w:p>
      <w:pPr>
        <w:spacing w:after="0" w:line="171"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approve and monitor the compensation of the Company's CEO and executive officers</w:t>
      </w:r>
    </w:p>
    <w:p>
      <w:pPr>
        <w:spacing w:after="0" w:line="23"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the CEO and executive officers and evaluate CEO and executive officer performance in light of those goals and objectives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and approve executive compensation, benefits, policies and strategies to support corporate objectives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Oversee the development process for executives and review development plans of key executives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Evaluate compensation programs, policies and practices for potential risk and to ensure they do not foster excessive risk taking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Administer the Company's equity incentive plans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Consult with management regarding executive compensation</w:t>
      </w:r>
    </w:p>
    <w:p>
      <w:pPr>
        <w:spacing w:after="0" w:line="15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an annual basis with respect to executive officers, the Committee approves base salary adjustments, long-term equity incentive awards, the annual cash incentives paid for the achievement of performance metrics in the prior fiscal year and the annual cash incentive performance targets for the upcoming fiscal year. In addition, the Committee annually reviews a summary of the elements of compensation for each executive officer in order to evaluate, among other items, how a potential change to an element of our compensation program would affect the respective executive officer's overall compensation. When a new executive officer is hired, the Committee is involved in reviewing and approving base salary, annual incentive target, sign-on incentives, annual equity awards, and other aspects of the executive's compensation.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Consultants’ Role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Committee has historically utilized the services of an executive compensation consulting firm to assist with the review and evaluation of compensation levels and policies on a periodic basis, as well as to provide advice with respect to new or modified compensation programs. In fiscal 2023, the Committee utilized the services of Pay Governance LLC as a compensation consultant, who was determined to be independent by the Corporate Governance Committee. In fiscal 2023, Pay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Governance LLC completed an analysis of the Company's current compensation peer group, reviewed the Company's short-term and long-term incentive framework relative to market trends and the Company's strategy and objectives, completed a peer group review of CEO annual total compensation, presented to the Board of Directors any significant regulatory changes and executive compensation trends, and worked on ad hoc compensation-related requests from the Management Development &amp; Compensation Committee throughout the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Role</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To aid in determining compensation for fiscal 2023, management obtained compensation data on peer group executive officer compensation through a subscription with Equilar, Inc. and published survey data from various third parties. Our CEO, Mr. Shaller, used this data to make recommendations to the Committee concerning compensation for each executive officer other than himself. Mr. Shaller made no recommendation with respect to his own compensation. In setting compensation for each executive officer, the Committee takes into consideration these recommendations, along with Company results during the fiscal year, the level of responsibility and demonstrated leadership capability, third-party market compensation data, and the results of annual performance reviews which, for our CEO, included a self-assessment and feedback from his direct reports and each member of the Board of Directors. The Committee also took into consideration the recommendations of Pay Governance LLC with respect to compensation elements for the CEO. Mr. Shaller did not attend the portion of any meeting during which the Committee discussed matters related specifically to his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total compensation program includes five elements: base salary, annual cash incentives, long-term equity incentives, employee benefits, and perquisites. We use these elements of compensation to attract, retain, motivate, develop and reward our executives.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compensation philosophy is to allocate a significant portion of total compensation to long-term compensation (equity incentive awards) in order to align the achievement of performance goals for our executives with shareholder interests. For fiscal 2023, equity incentive awards comprised 61% of Mr. Shaller’s total target compensation in his role as President, Chief Executive Officer and Director of the Company and on average, 33% of the total target compensation of the other NEOs.</w:t>
      </w:r>
    </w:p>
    <w:p>
      <w:pPr>
        <w:spacing w:after="0" w:line="1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general, we target each NEO's total of base salary, annual cash incentive, and long-term equity incentive compensation elements to be at or near the market median (50th percentile) with an opportunity for above market median pay (generally up to the 75th percentile) if performance goals for annual and long-term incentives are achieved above target. Our compensation structure is balanced by the payment of below market median compensation to our NEOs when actual financial results or individual performance do not meet expected results. The following table describes the purpose of each compensation element and how that element is related to our pay-for-performance approach:</w:t>
      </w:r>
    </w:p>
    <w:p>
      <w:pPr>
        <w:sectPr>
          <w:pgSz w:w="11900" w:h="16838" w:orient="portrait"/>
          <w:cols w:equalWidth="0" w:num="1">
            <w:col w:w="11240"/>
          </w:cols>
          <w:pgMar w:left="320" w:top="122" w:right="339" w:bottom="1440" w:gutter="0" w:footer="0" w:header="0"/>
        </w:sectPr>
      </w:pPr>
    </w:p>
    <w:p>
      <w:pPr>
        <w:spacing w:after="0" w:line="159" w:lineRule="exact"/>
        <w:rPr>
          <w:sz w:val="20"/>
          <w:szCs w:val="20"/>
          <w:color w:val="auto"/>
        </w:rPr>
      </w:pPr>
    </w:p>
    <w:p>
      <w:pPr>
        <w:ind w:left="20" w:right="60" w:firstLine="226"/>
        <w:spacing w:after="0" w:line="313" w:lineRule="auto"/>
        <w:rPr>
          <w:sz w:val="20"/>
          <w:szCs w:val="20"/>
          <w:color w:val="auto"/>
        </w:rPr>
      </w:pPr>
      <w:r>
        <w:rPr>
          <w:rFonts w:ascii="Arial" w:cs="Arial" w:eastAsia="Arial" w:hAnsi="Arial"/>
          <w:sz w:val="18"/>
          <w:szCs w:val="18"/>
          <w:b w:val="1"/>
          <w:bCs w:val="1"/>
          <w:color w:val="auto"/>
        </w:rPr>
        <w:t xml:space="preserve">Compensation Element </w:t>
      </w:r>
      <w:r>
        <w:rPr>
          <w:rFonts w:ascii="Arial" w:cs="Arial" w:eastAsia="Arial" w:hAnsi="Arial"/>
          <w:sz w:val="18"/>
          <w:szCs w:val="18"/>
          <w:color w:val="auto"/>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14484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Annual cash incentive award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right="300"/>
        <w:spacing w:after="0" w:line="248" w:lineRule="auto"/>
        <w:rPr>
          <w:sz w:val="20"/>
          <w:szCs w:val="20"/>
          <w:color w:val="auto"/>
        </w:rPr>
      </w:pPr>
      <w:r>
        <w:rPr>
          <w:rFonts w:ascii="Arial" w:cs="Arial" w:eastAsia="Arial" w:hAnsi="Arial"/>
          <w:sz w:val="16"/>
          <w:szCs w:val="16"/>
          <w:color w:val="auto"/>
        </w:rPr>
        <w:t>Annual long-term equity incentive awards: stock</w:t>
      </w:r>
    </w:p>
    <w:p>
      <w:pPr>
        <w:ind w:left="20"/>
        <w:spacing w:after="0"/>
        <w:rPr>
          <w:sz w:val="20"/>
          <w:szCs w:val="20"/>
          <w:color w:val="auto"/>
        </w:rPr>
      </w:pPr>
      <w:r>
        <w:rPr>
          <w:rFonts w:ascii="Arial" w:cs="Arial" w:eastAsia="Arial" w:hAnsi="Arial"/>
          <w:sz w:val="17"/>
          <w:szCs w:val="17"/>
          <w:color w:val="auto"/>
        </w:rPr>
        <w:t>options, RSUs and PRSUs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17145</wp:posOffset>
            </wp:positionV>
            <wp:extent cx="222885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 w:lineRule="exact"/>
        <w:rPr>
          <w:sz w:val="20"/>
          <w:szCs w:val="20"/>
          <w:color w:val="auto"/>
        </w:rPr>
      </w:pPr>
    </w:p>
    <w:p>
      <w:pPr>
        <w:spacing w:after="0" w:line="220" w:lineRule="auto"/>
        <w:rPr>
          <w:sz w:val="20"/>
          <w:szCs w:val="20"/>
          <w:color w:val="auto"/>
        </w:rPr>
      </w:pPr>
      <w:r>
        <w:rPr>
          <w:rFonts w:ascii="Arial" w:cs="Arial" w:eastAsia="Arial" w:hAnsi="Arial"/>
          <w:sz w:val="18"/>
          <w:szCs w:val="18"/>
          <w:color w:val="auto"/>
        </w:rPr>
        <w:t>A fixed level of income used to attract and retain executives by compensating for the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primary functions and responsibilities of the position.</w:t>
      </w:r>
    </w:p>
    <w:p>
      <w:pPr>
        <w:spacing w:after="0" w:line="10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To attract, retain, motivate and reward executives for achieving or exceeding annual</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performance goals at total Company and division levels.</w:t>
      </w:r>
    </w:p>
    <w:p>
      <w:pPr>
        <w:spacing w:after="0" w:line="10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To attract, retain, motivate and reward executives for the successful creation of long-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term shareholder value.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33172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2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Base salary increase depends upon individual performance, job proficiency and market competitiveness.</w:t>
      </w:r>
    </w:p>
    <w:p>
      <w:pPr>
        <w:spacing w:after="0" w:line="200" w:lineRule="exact"/>
        <w:rPr>
          <w:sz w:val="20"/>
          <w:szCs w:val="20"/>
          <w:color w:val="auto"/>
        </w:rPr>
      </w:pPr>
    </w:p>
    <w:p>
      <w:pPr>
        <w:spacing w:after="0" w:line="27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Financial performance and individual performance of each executive determines the amount of the respective executive's annual cash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incentive award.</w:t>
      </w:r>
    </w:p>
    <w:p>
      <w:pPr>
        <w:spacing w:after="0" w:line="29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An assessment of executive leadership, experience and expected future contribution, combined with market data, are used to determine the</w:t>
      </w:r>
    </w:p>
    <w:p>
      <w:pPr>
        <w:spacing w:after="0"/>
        <w:rPr>
          <w:sz w:val="20"/>
          <w:szCs w:val="20"/>
          <w:color w:val="auto"/>
        </w:rPr>
      </w:pPr>
      <w:r>
        <w:rPr>
          <w:rFonts w:ascii="Arial" w:cs="Arial" w:eastAsia="Arial" w:hAnsi="Arial"/>
          <w:sz w:val="18"/>
          <w:szCs w:val="18"/>
          <w:color w:val="auto"/>
        </w:rPr>
        <w:t>amount of equity granted to each executive.</w:t>
      </w:r>
    </w:p>
    <w:p>
      <w:pPr>
        <w:spacing w:after="0" w:line="12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Stock options are inherently performance-based in that the value is dependent upon the increase in the Company's stock price.</w:t>
      </w:r>
    </w:p>
    <w:p>
      <w:pPr>
        <w:spacing w:after="0" w:line="13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RSUs are intended to facilitate retention and to align executives with the creation of long-term shareholder value.</w:t>
      </w:r>
    </w:p>
    <w:p>
      <w:pPr>
        <w:spacing w:after="0" w:line="12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PRSUs are intended to align executives with long-term financial goals and the creation of long-term shareholder value.</w:t>
      </w:r>
    </w:p>
    <w:p>
      <w:pPr>
        <w:spacing w:after="0" w:line="200" w:lineRule="exact"/>
        <w:rPr>
          <w:sz w:val="20"/>
          <w:szCs w:val="20"/>
          <w:color w:val="auto"/>
        </w:rPr>
      </w:pPr>
    </w:p>
    <w:p>
      <w:pPr>
        <w:sectPr>
          <w:pgSz w:w="11900" w:h="16838" w:orient="portrait"/>
          <w:cols w:equalWidth="0" w:num="3">
            <w:col w:w="2100" w:space="320"/>
            <w:col w:w="3460" w:space="160"/>
            <w:col w:w="5200"/>
          </w:cols>
          <w:pgMar w:left="320" w:top="122" w:right="33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Benchmarking Total Compensation</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Committee uses peer group data to assess the reasonableness and competitiveness of several elements of compensation, including base salaries, annual cash incentives, and long-term equity awards of positions similar to those of our NEOs. The following 18 companies were included in the fiscal 2023 total compensation analysis conducted using publicly available data:</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840" w:type="dxa"/>
            <w:vAlign w:val="bottom"/>
          </w:tcPr>
          <w:p>
            <w:pPr>
              <w:spacing w:after="0"/>
              <w:rPr>
                <w:sz w:val="20"/>
                <w:szCs w:val="20"/>
                <w:color w:val="auto"/>
              </w:rPr>
            </w:pPr>
            <w:r>
              <w:rPr>
                <w:rFonts w:ascii="Arial" w:cs="Arial" w:eastAsia="Arial" w:hAnsi="Arial"/>
                <w:sz w:val="18"/>
                <w:szCs w:val="18"/>
                <w:color w:val="auto"/>
              </w:rPr>
              <w:t>Albany International Corp.</w:t>
            </w:r>
          </w:p>
        </w:tc>
        <w:tc>
          <w:tcPr>
            <w:tcW w:w="3700" w:type="dxa"/>
            <w:vAlign w:val="bottom"/>
          </w:tcPr>
          <w:p>
            <w:pPr>
              <w:ind w:left="900"/>
              <w:spacing w:after="0"/>
              <w:rPr>
                <w:sz w:val="20"/>
                <w:szCs w:val="20"/>
                <w:color w:val="auto"/>
              </w:rPr>
            </w:pPr>
            <w:r>
              <w:rPr>
                <w:rFonts w:ascii="Arial" w:cs="Arial" w:eastAsia="Arial" w:hAnsi="Arial"/>
                <w:sz w:val="18"/>
                <w:szCs w:val="18"/>
                <w:color w:val="auto"/>
              </w:rPr>
              <w:t>ESCO Technologies Inc.</w:t>
            </w:r>
          </w:p>
        </w:tc>
        <w:tc>
          <w:tcPr>
            <w:tcW w:w="3740" w:type="dxa"/>
            <w:vAlign w:val="bottom"/>
          </w:tcPr>
          <w:p>
            <w:pPr>
              <w:ind w:left="940"/>
              <w:spacing w:after="0"/>
              <w:rPr>
                <w:sz w:val="20"/>
                <w:szCs w:val="20"/>
                <w:color w:val="auto"/>
              </w:rPr>
            </w:pPr>
            <w:r>
              <w:rPr>
                <w:rFonts w:ascii="Arial" w:cs="Arial" w:eastAsia="Arial" w:hAnsi="Arial"/>
                <w:sz w:val="18"/>
                <w:szCs w:val="18"/>
                <w:color w:val="auto"/>
              </w:rPr>
              <w:t>MSA Safety Incorporated</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Allegion plc</w:t>
            </w:r>
          </w:p>
        </w:tc>
        <w:tc>
          <w:tcPr>
            <w:tcW w:w="3700" w:type="dxa"/>
            <w:vAlign w:val="bottom"/>
          </w:tcPr>
          <w:p>
            <w:pPr>
              <w:ind w:left="900"/>
              <w:spacing w:after="0"/>
              <w:rPr>
                <w:sz w:val="20"/>
                <w:szCs w:val="20"/>
                <w:color w:val="auto"/>
              </w:rPr>
            </w:pPr>
            <w:r>
              <w:rPr>
                <w:rFonts w:ascii="Arial" w:cs="Arial" w:eastAsia="Arial" w:hAnsi="Arial"/>
                <w:sz w:val="18"/>
                <w:szCs w:val="18"/>
                <w:color w:val="auto"/>
              </w:rPr>
              <w:t>Federal Signal Corp.</w:t>
            </w:r>
          </w:p>
        </w:tc>
        <w:tc>
          <w:tcPr>
            <w:tcW w:w="3740" w:type="dxa"/>
            <w:vAlign w:val="bottom"/>
          </w:tcPr>
          <w:p>
            <w:pPr>
              <w:ind w:left="940"/>
              <w:spacing w:after="0"/>
              <w:rPr>
                <w:sz w:val="20"/>
                <w:szCs w:val="20"/>
                <w:color w:val="auto"/>
              </w:rPr>
            </w:pPr>
            <w:r>
              <w:rPr>
                <w:rFonts w:ascii="Arial" w:cs="Arial" w:eastAsia="Arial" w:hAnsi="Arial"/>
                <w:sz w:val="18"/>
                <w:szCs w:val="18"/>
                <w:color w:val="auto"/>
              </w:rPr>
              <w:t>Neenah, Inc.</w:t>
            </w:r>
          </w:p>
        </w:tc>
      </w:tr>
      <w:tr>
        <w:trPr>
          <w:trHeight w:val="229"/>
        </w:trPr>
        <w:tc>
          <w:tcPr>
            <w:tcW w:w="2840" w:type="dxa"/>
            <w:vAlign w:val="bottom"/>
          </w:tcPr>
          <w:p>
            <w:pPr>
              <w:spacing w:after="0"/>
              <w:rPr>
                <w:sz w:val="20"/>
                <w:szCs w:val="20"/>
                <w:color w:val="auto"/>
              </w:rPr>
            </w:pPr>
            <w:r>
              <w:rPr>
                <w:rFonts w:ascii="Arial" w:cs="Arial" w:eastAsia="Arial" w:hAnsi="Arial"/>
                <w:sz w:val="18"/>
                <w:szCs w:val="18"/>
                <w:color w:val="auto"/>
              </w:rPr>
              <w:t>Apogee Enterprises, Inc.</w:t>
            </w:r>
          </w:p>
        </w:tc>
        <w:tc>
          <w:tcPr>
            <w:tcW w:w="3700" w:type="dxa"/>
            <w:vAlign w:val="bottom"/>
          </w:tcPr>
          <w:p>
            <w:pPr>
              <w:ind w:left="900"/>
              <w:spacing w:after="0"/>
              <w:rPr>
                <w:sz w:val="20"/>
                <w:szCs w:val="20"/>
                <w:color w:val="auto"/>
              </w:rPr>
            </w:pPr>
            <w:r>
              <w:rPr>
                <w:rFonts w:ascii="Arial" w:cs="Arial" w:eastAsia="Arial" w:hAnsi="Arial"/>
                <w:sz w:val="18"/>
                <w:szCs w:val="18"/>
                <w:color w:val="auto"/>
              </w:rPr>
              <w:t>Franklin Electric Co., Inc.</w:t>
            </w:r>
          </w:p>
        </w:tc>
        <w:tc>
          <w:tcPr>
            <w:tcW w:w="3740" w:type="dxa"/>
            <w:vAlign w:val="bottom"/>
          </w:tcPr>
          <w:p>
            <w:pPr>
              <w:ind w:left="940"/>
              <w:spacing w:after="0"/>
              <w:rPr>
                <w:sz w:val="20"/>
                <w:szCs w:val="20"/>
                <w:color w:val="auto"/>
              </w:rPr>
            </w:pPr>
            <w:r>
              <w:rPr>
                <w:rFonts w:ascii="Arial" w:cs="Arial" w:eastAsia="Arial" w:hAnsi="Arial"/>
                <w:sz w:val="18"/>
                <w:szCs w:val="18"/>
                <w:color w:val="auto"/>
              </w:rPr>
              <w:t>Nordson Corporation</w:t>
            </w:r>
          </w:p>
        </w:tc>
      </w:tr>
      <w:tr>
        <w:trPr>
          <w:trHeight w:val="229"/>
        </w:trPr>
        <w:tc>
          <w:tcPr>
            <w:tcW w:w="2840" w:type="dxa"/>
            <w:vAlign w:val="bottom"/>
          </w:tcPr>
          <w:p>
            <w:pPr>
              <w:spacing w:after="0"/>
              <w:rPr>
                <w:sz w:val="20"/>
                <w:szCs w:val="20"/>
                <w:color w:val="auto"/>
              </w:rPr>
            </w:pPr>
            <w:r>
              <w:rPr>
                <w:rFonts w:ascii="Arial" w:cs="Arial" w:eastAsia="Arial" w:hAnsi="Arial"/>
                <w:sz w:val="18"/>
                <w:szCs w:val="18"/>
                <w:color w:val="auto"/>
              </w:rPr>
              <w:t>Barnes Group Inc.</w:t>
            </w:r>
          </w:p>
        </w:tc>
        <w:tc>
          <w:tcPr>
            <w:tcW w:w="3700" w:type="dxa"/>
            <w:vAlign w:val="bottom"/>
          </w:tcPr>
          <w:p>
            <w:pPr>
              <w:ind w:left="900"/>
              <w:spacing w:after="0"/>
              <w:rPr>
                <w:sz w:val="20"/>
                <w:szCs w:val="20"/>
                <w:color w:val="auto"/>
              </w:rPr>
            </w:pPr>
            <w:r>
              <w:rPr>
                <w:rFonts w:ascii="Arial" w:cs="Arial" w:eastAsia="Arial" w:hAnsi="Arial"/>
                <w:sz w:val="18"/>
                <w:szCs w:val="18"/>
                <w:color w:val="auto"/>
              </w:rPr>
              <w:t>Graco Inc.</w:t>
            </w:r>
          </w:p>
        </w:tc>
        <w:tc>
          <w:tcPr>
            <w:tcW w:w="3740" w:type="dxa"/>
            <w:vAlign w:val="bottom"/>
          </w:tcPr>
          <w:p>
            <w:pPr>
              <w:ind w:left="940"/>
              <w:spacing w:after="0"/>
              <w:rPr>
                <w:sz w:val="20"/>
                <w:szCs w:val="20"/>
                <w:color w:val="auto"/>
              </w:rPr>
            </w:pPr>
            <w:r>
              <w:rPr>
                <w:rFonts w:ascii="Arial" w:cs="Arial" w:eastAsia="Arial" w:hAnsi="Arial"/>
                <w:sz w:val="18"/>
                <w:szCs w:val="18"/>
                <w:color w:val="auto"/>
                <w:w w:val="92"/>
              </w:rPr>
              <w:t>Schweitzer-Mauduit International, Inc.</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Chart Industries, Inc.</w:t>
            </w:r>
          </w:p>
        </w:tc>
        <w:tc>
          <w:tcPr>
            <w:tcW w:w="3700" w:type="dxa"/>
            <w:vAlign w:val="bottom"/>
          </w:tcPr>
          <w:p>
            <w:pPr>
              <w:ind w:left="900"/>
              <w:spacing w:after="0"/>
              <w:rPr>
                <w:sz w:val="20"/>
                <w:szCs w:val="20"/>
                <w:color w:val="auto"/>
              </w:rPr>
            </w:pPr>
            <w:r>
              <w:rPr>
                <w:rFonts w:ascii="Arial" w:cs="Arial" w:eastAsia="Arial" w:hAnsi="Arial"/>
                <w:sz w:val="18"/>
                <w:szCs w:val="18"/>
                <w:color w:val="auto"/>
              </w:rPr>
              <w:t>IDEX Corporation</w:t>
            </w:r>
          </w:p>
        </w:tc>
        <w:tc>
          <w:tcPr>
            <w:tcW w:w="3740" w:type="dxa"/>
            <w:vAlign w:val="bottom"/>
          </w:tcPr>
          <w:p>
            <w:pPr>
              <w:ind w:left="940"/>
              <w:spacing w:after="0"/>
              <w:rPr>
                <w:sz w:val="20"/>
                <w:szCs w:val="20"/>
                <w:color w:val="auto"/>
              </w:rPr>
            </w:pPr>
            <w:r>
              <w:rPr>
                <w:rFonts w:ascii="Arial" w:cs="Arial" w:eastAsia="Arial" w:hAnsi="Arial"/>
                <w:sz w:val="18"/>
                <w:szCs w:val="18"/>
                <w:color w:val="auto"/>
              </w:rPr>
              <w:t>TriMas Corporation</w:t>
            </w: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EnPro Industries, Inc.</w:t>
            </w:r>
          </w:p>
        </w:tc>
        <w:tc>
          <w:tcPr>
            <w:tcW w:w="3700" w:type="dxa"/>
            <w:vAlign w:val="bottom"/>
          </w:tcPr>
          <w:p>
            <w:pPr>
              <w:ind w:left="900"/>
              <w:spacing w:after="0"/>
              <w:rPr>
                <w:sz w:val="20"/>
                <w:szCs w:val="20"/>
                <w:color w:val="auto"/>
              </w:rPr>
            </w:pPr>
            <w:r>
              <w:rPr>
                <w:rFonts w:ascii="Arial" w:cs="Arial" w:eastAsia="Arial" w:hAnsi="Arial"/>
                <w:sz w:val="18"/>
                <w:szCs w:val="18"/>
                <w:color w:val="auto"/>
              </w:rPr>
              <w:t>Ingevity Corporation</w:t>
            </w:r>
          </w:p>
        </w:tc>
        <w:tc>
          <w:tcPr>
            <w:tcW w:w="3740" w:type="dxa"/>
            <w:vAlign w:val="bottom"/>
          </w:tcPr>
          <w:p>
            <w:pPr>
              <w:ind w:left="940"/>
              <w:spacing w:after="0"/>
              <w:rPr>
                <w:sz w:val="20"/>
                <w:szCs w:val="20"/>
                <w:color w:val="auto"/>
              </w:rPr>
            </w:pPr>
            <w:r>
              <w:rPr>
                <w:rFonts w:ascii="Arial" w:cs="Arial" w:eastAsia="Arial" w:hAnsi="Arial"/>
                <w:sz w:val="18"/>
                <w:szCs w:val="18"/>
                <w:color w:val="auto"/>
              </w:rPr>
              <w:t>Watts Water Technologies, Inc.</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2023 Named Executive Officer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base salary for each NEO in effect at the end of each fiscal year.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6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July 31, 2023</w:t>
            </w: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July 31, 2022</w:t>
            </w: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rPr>
              <w:t>Percentage Change</w:t>
            </w:r>
          </w:p>
        </w:tc>
      </w:tr>
      <w:tr>
        <w:trPr>
          <w:trHeight w:val="223"/>
        </w:trPr>
        <w:tc>
          <w:tcPr>
            <w:tcW w:w="5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Russell R. Shaller</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795,000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r>
      <w:tr>
        <w:trPr>
          <w:trHeight w:val="229"/>
        </w:trPr>
        <w:tc>
          <w:tcPr>
            <w:tcW w:w="59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Ann E. Thornton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254,400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76.9 %</w:t>
            </w:r>
          </w:p>
        </w:tc>
      </w:tr>
      <w:tr>
        <w:trPr>
          <w:trHeight w:val="230"/>
        </w:trPr>
        <w:tc>
          <w:tcPr>
            <w:tcW w:w="59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Olivier Bojarski </w:t>
            </w:r>
            <w:r>
              <w:rPr>
                <w:rFonts w:ascii="Arial" w:cs="Arial" w:eastAsia="Arial" w:hAnsi="Arial"/>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900" w:type="dxa"/>
            <w:vAlign w:val="bottom"/>
            <w:gridSpan w:val="2"/>
          </w:tcPr>
          <w:p>
            <w:pPr>
              <w:ind w:left="20"/>
              <w:spacing w:after="0"/>
              <w:rPr>
                <w:sz w:val="20"/>
                <w:szCs w:val="20"/>
                <w:color w:val="auto"/>
              </w:rPr>
            </w:pPr>
            <w:r>
              <w:rPr>
                <w:rFonts w:ascii="Arial" w:cs="Arial" w:eastAsia="Arial" w:hAnsi="Arial"/>
                <w:sz w:val="18"/>
                <w:szCs w:val="18"/>
                <w:color w:val="auto"/>
              </w:rPr>
              <w:t>Bentley N. Curran</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326,500</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29"/>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Andrew T. Gorman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310,500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59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Pascal Deman </w:t>
            </w:r>
            <w:r>
              <w:rPr>
                <w:rFonts w:ascii="Arial" w:cs="Arial" w:eastAsia="Arial" w:hAnsi="Arial"/>
                <w:sz w:val="23"/>
                <w:szCs w:val="23"/>
                <w:color w:val="auto"/>
                <w:vertAlign w:val="superscript"/>
              </w:rPr>
              <w:t>(3)</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290,511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307,015</w:t>
            </w:r>
          </w:p>
        </w:tc>
        <w:tc>
          <w:tcPr>
            <w:tcW w:w="10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59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Aaron J. Pearce </w:t>
            </w:r>
            <w:r>
              <w:rPr>
                <w:rFonts w:ascii="Arial" w:cs="Arial" w:eastAsia="Arial" w:hAnsi="Arial"/>
                <w:sz w:val="23"/>
                <w:szCs w:val="23"/>
                <w:color w:val="auto"/>
                <w:vertAlign w:val="superscript"/>
              </w:rPr>
              <w:t>(4)</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457,000</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9.4 %</w:t>
            </w:r>
          </w:p>
        </w:tc>
      </w:tr>
    </w:tbl>
    <w:p>
      <w:pPr>
        <w:spacing w:after="0" w:line="229" w:lineRule="exact"/>
        <w:rPr>
          <w:sz w:val="20"/>
          <w:szCs w:val="20"/>
          <w:color w:val="auto"/>
        </w:rPr>
      </w:pPr>
    </w:p>
    <w:p>
      <w:pPr>
        <w:ind w:left="660" w:hanging="328"/>
        <w:spacing w:after="0" w:line="258" w:lineRule="auto"/>
        <w:tabs>
          <w:tab w:leader="none" w:pos="6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October 3, 2022, Ms. Thornton received a base salary increase to $267,120 at the time annual raises were made to other NEOs. In connection with her appointment to CFO, Ms. Thornton received a base salary increase to $450,000.</w:t>
      </w:r>
    </w:p>
    <w:p>
      <w:pPr>
        <w:spacing w:after="0" w:line="1" w:lineRule="exact"/>
        <w:rPr>
          <w:rFonts w:ascii="Arial" w:cs="Arial" w:eastAsia="Arial" w:hAnsi="Arial"/>
          <w:sz w:val="18"/>
          <w:szCs w:val="18"/>
          <w:color w:val="auto"/>
        </w:rPr>
      </w:pPr>
    </w:p>
    <w:p>
      <w:pPr>
        <w:ind w:left="660" w:hanging="328"/>
        <w:spacing w:after="0" w:line="250" w:lineRule="auto"/>
        <w:tabs>
          <w:tab w:leader="none" w:pos="6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Bojarski was appointed as President - Identification Solutions effective August 25, 2022, and subsequently appointed President - Americas &amp; Asia as part of the Company's reorganization.</w:t>
      </w:r>
    </w:p>
    <w:p>
      <w:pPr>
        <w:jc w:val="both"/>
        <w:ind w:left="660" w:hanging="328"/>
        <w:spacing w:after="0" w:line="250" w:lineRule="auto"/>
        <w:tabs>
          <w:tab w:leader="none" w:pos="6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Deman resigned as Vice President, General Manager - Workplace Safety of the Company, effective October 3, 2022. Mr. Deman's compensation is denominated in Euros. The amounts shown in U.S. dollars in the table above were converted from Euros at the average exchange rate for fiscal 2023: 1 EUR = 1.0544 USD and fiscal 2022: 1 EUR = 1.1143 USD. The entire decrease in Mr. Deman's base salary is a result of the change in exchange rates used.</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Pearce resigned as Chief Financial Officer and Treasurer of the Company, effective April 14, 2023.</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Cash Incentive Awards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executives participate in an annual cash incentive plan. The Company is organized and managed on a global basis within two segments: Americas</w:t>
      </w:r>
    </w:p>
    <w:p>
      <w:pPr>
        <w:spacing w:after="0" w:line="46" w:lineRule="exact"/>
        <w:rPr>
          <w:sz w:val="20"/>
          <w:szCs w:val="20"/>
          <w:color w:val="auto"/>
        </w:rPr>
      </w:pPr>
    </w:p>
    <w:p>
      <w:pPr>
        <w:ind w:right="20" w:firstLine="8"/>
        <w:spacing w:after="0" w:line="260" w:lineRule="auto"/>
        <w:tabs>
          <w:tab w:leader="none" w:pos="2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Asia and Europe &amp; Australia. Annual cash inventive award payouts to NEOs who oversee a specific division are based on the performance of that division. Payouts to the other NEOs are based on total company performance.</w:t>
      </w:r>
    </w:p>
    <w:p>
      <w:pPr>
        <w:spacing w:after="0" w:line="13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Management and the Committee annually evaluate the performance metrics of the cash incentive award program, and concluded that the elements of the fiscal 2023 plan represent critical elements of the Company’s performance that when combined, are designed to result in sustainable long-term sales and profit growth. Set forth below is a description of the fiscal 2023 financial performance metrics for the annual cash incentive plan: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Performance Metric</w:t>
            </w:r>
          </w:p>
        </w:tc>
        <w:tc>
          <w:tcPr>
            <w:tcW w:w="6040" w:type="dxa"/>
            <w:vAlign w:val="bottom"/>
            <w:gridSpan w:val="2"/>
          </w:tcPr>
          <w:p>
            <w:pPr>
              <w:ind w:left="2580"/>
              <w:spacing w:after="0"/>
              <w:rPr>
                <w:sz w:val="20"/>
                <w:szCs w:val="20"/>
                <w:color w:val="auto"/>
              </w:rPr>
            </w:pPr>
            <w:r>
              <w:rPr>
                <w:rFonts w:ascii="Arial" w:cs="Arial" w:eastAsia="Arial" w:hAnsi="Arial"/>
                <w:sz w:val="18"/>
                <w:szCs w:val="18"/>
                <w:b w:val="1"/>
                <w:bCs w:val="1"/>
                <w:color w:val="auto"/>
              </w:rPr>
              <w:t>Definition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Weighting</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rPr>
              <w:t>NEO</w:t>
            </w:r>
          </w:p>
        </w:tc>
      </w:tr>
      <w:tr>
        <w:trPr>
          <w:trHeight w:val="169"/>
        </w:trPr>
        <w:tc>
          <w:tcPr>
            <w:tcW w:w="192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Total sales</w:t>
            </w:r>
          </w:p>
        </w:tc>
        <w:tc>
          <w:tcPr>
            <w:tcW w:w="100" w:type="dxa"/>
            <w:vAlign w:val="bottom"/>
          </w:tcPr>
          <w:p>
            <w:pPr>
              <w:spacing w:after="0"/>
              <w:rPr>
                <w:sz w:val="14"/>
                <w:szCs w:val="14"/>
                <w:color w:val="auto"/>
              </w:rPr>
            </w:pPr>
          </w:p>
        </w:tc>
        <w:tc>
          <w:tcPr>
            <w:tcW w:w="59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w w:val="96"/>
              </w:rPr>
              <w:t>Total sales is measured as total net sales calculated in accordance with U.S.</w:t>
            </w:r>
          </w:p>
        </w:tc>
        <w:tc>
          <w:tcPr>
            <w:tcW w:w="100" w:type="dxa"/>
            <w:vAlign w:val="bottom"/>
          </w:tcPr>
          <w:p>
            <w:pPr>
              <w:spacing w:after="0"/>
              <w:rPr>
                <w:sz w:val="14"/>
                <w:szCs w:val="14"/>
                <w:color w:val="auto"/>
              </w:rPr>
            </w:pPr>
          </w:p>
        </w:tc>
        <w:tc>
          <w:tcPr>
            <w:tcW w:w="11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35%</w:t>
            </w:r>
          </w:p>
        </w:tc>
        <w:tc>
          <w:tcPr>
            <w:tcW w:w="100" w:type="dxa"/>
            <w:vAlign w:val="bottom"/>
          </w:tcPr>
          <w:p>
            <w:pPr>
              <w:spacing w:after="0"/>
              <w:rPr>
                <w:sz w:val="14"/>
                <w:szCs w:val="14"/>
                <w:color w:val="auto"/>
              </w:rPr>
            </w:pPr>
          </w:p>
        </w:tc>
        <w:tc>
          <w:tcPr>
            <w:tcW w:w="196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8"/>
              </w:rPr>
              <w:t>Messrs. Shaller, Curran,</w:t>
            </w:r>
          </w:p>
        </w:tc>
      </w:tr>
      <w:tr>
        <w:trPr>
          <w:trHeight w:val="188"/>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4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94"/>
              </w:rPr>
              <w:t>GAAP, excluding the impact of foreign currency translation and any current year</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center"/>
              <w:spacing w:after="0" w:line="189" w:lineRule="exact"/>
              <w:rPr>
                <w:sz w:val="20"/>
                <w:szCs w:val="20"/>
                <w:color w:val="auto"/>
              </w:rPr>
            </w:pPr>
            <w:r>
              <w:rPr>
                <w:rFonts w:ascii="Arial" w:cs="Arial" w:eastAsia="Arial" w:hAnsi="Arial"/>
                <w:sz w:val="17"/>
                <w:szCs w:val="17"/>
                <w:color w:val="auto"/>
                <w:w w:val="91"/>
              </w:rPr>
              <w:t xml:space="preserve">Gorman, Pearce </w:t>
            </w:r>
            <w:r>
              <w:rPr>
                <w:rFonts w:ascii="Arial" w:cs="Arial" w:eastAsia="Arial" w:hAnsi="Arial"/>
                <w:sz w:val="21"/>
                <w:szCs w:val="21"/>
                <w:color w:val="auto"/>
                <w:w w:val="91"/>
                <w:vertAlign w:val="superscript"/>
              </w:rPr>
              <w:t>(1)</w:t>
            </w:r>
            <w:r>
              <w:rPr>
                <w:rFonts w:ascii="Arial" w:cs="Arial" w:eastAsia="Arial" w:hAnsi="Arial"/>
                <w:sz w:val="17"/>
                <w:szCs w:val="17"/>
                <w:color w:val="auto"/>
                <w:w w:val="91"/>
              </w:rPr>
              <w:t xml:space="preserve"> and</w:t>
            </w:r>
          </w:p>
        </w:tc>
      </w:tr>
      <w:tr>
        <w:trPr>
          <w:trHeight w:val="230"/>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acquisitions or divestitures.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4"/>
              </w:rPr>
              <w:t>Ms. Thornton</w:t>
            </w:r>
          </w:p>
        </w:tc>
      </w:tr>
      <w:tr>
        <w:trPr>
          <w:trHeight w:val="28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Total income before</w:t>
            </w: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Total income before income taxes is defined as total net sales minus total</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Messrs. Shaller, Curran,</w:t>
            </w:r>
          </w:p>
        </w:tc>
      </w:tr>
      <w:tr>
        <w:trPr>
          <w:trHeight w:val="188"/>
        </w:trPr>
        <w:tc>
          <w:tcPr>
            <w:tcW w:w="20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income taxes</w:t>
            </w:r>
          </w:p>
        </w:tc>
        <w:tc>
          <w:tcPr>
            <w:tcW w:w="604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96"/>
              </w:rPr>
              <w:t>expenses before deducting income tax expense calculated in accordance with</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center"/>
              <w:spacing w:after="0" w:line="189" w:lineRule="exact"/>
              <w:rPr>
                <w:sz w:val="20"/>
                <w:szCs w:val="20"/>
                <w:color w:val="auto"/>
              </w:rPr>
            </w:pPr>
            <w:r>
              <w:rPr>
                <w:rFonts w:ascii="Arial" w:cs="Arial" w:eastAsia="Arial" w:hAnsi="Arial"/>
                <w:sz w:val="17"/>
                <w:szCs w:val="17"/>
                <w:color w:val="auto"/>
                <w:w w:val="91"/>
              </w:rPr>
              <w:t xml:space="preserve">Gorman, Pearce </w:t>
            </w:r>
            <w:r>
              <w:rPr>
                <w:rFonts w:ascii="Arial" w:cs="Arial" w:eastAsia="Arial" w:hAnsi="Arial"/>
                <w:sz w:val="21"/>
                <w:szCs w:val="21"/>
                <w:color w:val="auto"/>
                <w:w w:val="91"/>
                <w:vertAlign w:val="superscript"/>
              </w:rPr>
              <w:t>(1)</w:t>
            </w:r>
            <w:r>
              <w:rPr>
                <w:rFonts w:ascii="Arial" w:cs="Arial" w:eastAsia="Arial" w:hAnsi="Arial"/>
                <w:sz w:val="17"/>
                <w:szCs w:val="17"/>
                <w:color w:val="auto"/>
                <w:w w:val="91"/>
              </w:rPr>
              <w:t xml:space="preserve"> and</w:t>
            </w:r>
          </w:p>
        </w:tc>
      </w:tr>
      <w:tr>
        <w:trPr>
          <w:trHeight w:val="176"/>
        </w:trPr>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4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4"/>
              </w:rPr>
              <w:t>U.S. GAAP, excluding the impact of foreign currency translation and any current</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Arial" w:cs="Arial" w:eastAsia="Arial" w:hAnsi="Arial"/>
                <w:sz w:val="18"/>
                <w:szCs w:val="18"/>
                <w:color w:val="auto"/>
                <w:w w:val="94"/>
              </w:rPr>
              <w:t>Ms. Thornton</w:t>
            </w:r>
          </w:p>
        </w:tc>
      </w:tr>
      <w:tr>
        <w:trPr>
          <w:trHeight w:val="230"/>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year acquisitions or divestitures.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8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Division sales</w:t>
            </w:r>
          </w:p>
        </w:tc>
        <w:tc>
          <w:tcPr>
            <w:tcW w:w="6040" w:type="dxa"/>
            <w:vAlign w:val="bottom"/>
            <w:gridSpan w:val="2"/>
          </w:tcPr>
          <w:p>
            <w:pPr>
              <w:ind w:left="20"/>
              <w:spacing w:after="0"/>
              <w:rPr>
                <w:sz w:val="20"/>
                <w:szCs w:val="20"/>
                <w:color w:val="auto"/>
              </w:rPr>
            </w:pPr>
            <w:r>
              <w:rPr>
                <w:rFonts w:ascii="Arial" w:cs="Arial" w:eastAsia="Arial" w:hAnsi="Arial"/>
                <w:sz w:val="18"/>
                <w:szCs w:val="18"/>
                <w:color w:val="auto"/>
                <w:w w:val="96"/>
              </w:rPr>
              <w:t>Division sales is measured as division net sales calculated in accordance with</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35%</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Messrs. Bojarski and</w:t>
            </w:r>
          </w:p>
        </w:tc>
      </w:tr>
      <w:tr>
        <w:trPr>
          <w:trHeight w:val="188"/>
        </w:trPr>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4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94"/>
              </w:rPr>
              <w:t>U.S. GAAP, excluding the impact of foreign currency translation and any current</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center"/>
              <w:spacing w:after="0" w:line="189" w:lineRule="exact"/>
              <w:rPr>
                <w:sz w:val="20"/>
                <w:szCs w:val="20"/>
                <w:color w:val="auto"/>
              </w:rPr>
            </w:pPr>
            <w:r>
              <w:rPr>
                <w:rFonts w:ascii="Arial" w:cs="Arial" w:eastAsia="Arial" w:hAnsi="Arial"/>
                <w:sz w:val="17"/>
                <w:szCs w:val="17"/>
                <w:color w:val="auto"/>
                <w:w w:val="88"/>
              </w:rPr>
              <w:t xml:space="preserve">Deman </w:t>
            </w:r>
            <w:r>
              <w:rPr>
                <w:rFonts w:ascii="Arial" w:cs="Arial" w:eastAsia="Arial" w:hAnsi="Arial"/>
                <w:sz w:val="21"/>
                <w:szCs w:val="21"/>
                <w:color w:val="auto"/>
                <w:w w:val="88"/>
                <w:vertAlign w:val="superscript"/>
              </w:rPr>
              <w:t>(2)</w:t>
            </w:r>
          </w:p>
        </w:tc>
      </w:tr>
      <w:tr>
        <w:trPr>
          <w:trHeight w:val="230"/>
        </w:trPr>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2"/>
          </w:tcPr>
          <w:p>
            <w:pPr>
              <w:ind w:left="20"/>
              <w:spacing w:after="0"/>
              <w:rPr>
                <w:sz w:val="20"/>
                <w:szCs w:val="20"/>
                <w:color w:val="auto"/>
              </w:rPr>
            </w:pPr>
            <w:r>
              <w:rPr>
                <w:rFonts w:ascii="Arial" w:cs="Arial" w:eastAsia="Arial" w:hAnsi="Arial"/>
                <w:sz w:val="18"/>
                <w:szCs w:val="18"/>
                <w:color w:val="auto"/>
              </w:rPr>
              <w:t>year acquisitions or divestitures.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83"/>
        </w:trPr>
        <w:tc>
          <w:tcPr>
            <w:tcW w:w="2020" w:type="dxa"/>
            <w:vAlign w:val="bottom"/>
            <w:gridSpan w:val="2"/>
          </w:tcPr>
          <w:p>
            <w:pPr>
              <w:ind w:left="20"/>
              <w:spacing w:after="0"/>
              <w:rPr>
                <w:sz w:val="20"/>
                <w:szCs w:val="20"/>
                <w:color w:val="auto"/>
              </w:rPr>
            </w:pPr>
            <w:r>
              <w:rPr>
                <w:rFonts w:ascii="Arial" w:cs="Arial" w:eastAsia="Arial" w:hAnsi="Arial"/>
                <w:sz w:val="18"/>
                <w:szCs w:val="18"/>
                <w:color w:val="auto"/>
              </w:rPr>
              <w:t>Division operating</w:t>
            </w:r>
          </w:p>
        </w:tc>
        <w:tc>
          <w:tcPr>
            <w:tcW w:w="6040" w:type="dxa"/>
            <w:vAlign w:val="bottom"/>
            <w:gridSpan w:val="2"/>
          </w:tcPr>
          <w:p>
            <w:pPr>
              <w:ind w:left="20"/>
              <w:spacing w:after="0"/>
              <w:rPr>
                <w:sz w:val="20"/>
                <w:szCs w:val="20"/>
                <w:color w:val="auto"/>
              </w:rPr>
            </w:pPr>
            <w:r>
              <w:rPr>
                <w:rFonts w:ascii="Arial" w:cs="Arial" w:eastAsia="Arial" w:hAnsi="Arial"/>
                <w:sz w:val="18"/>
                <w:szCs w:val="18"/>
                <w:color w:val="auto"/>
                <w:w w:val="96"/>
              </w:rPr>
              <w:t>Division operating income is measured as division net sales less cost of goods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4"/>
                <w:szCs w:val="24"/>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Messrs. Bojarski and</w:t>
            </w:r>
          </w:p>
        </w:tc>
      </w:tr>
      <w:tr>
        <w:trPr>
          <w:trHeight w:val="204"/>
        </w:trPr>
        <w:tc>
          <w:tcPr>
            <w:tcW w:w="2020" w:type="dxa"/>
            <w:vAlign w:val="bottom"/>
            <w:gridSpan w:val="2"/>
          </w:tcPr>
          <w:p>
            <w:pPr>
              <w:ind w:left="20"/>
              <w:spacing w:after="0" w:line="204" w:lineRule="exact"/>
              <w:rPr>
                <w:sz w:val="20"/>
                <w:szCs w:val="20"/>
                <w:color w:val="auto"/>
              </w:rPr>
            </w:pPr>
            <w:r>
              <w:rPr>
                <w:rFonts w:ascii="Arial" w:cs="Arial" w:eastAsia="Arial" w:hAnsi="Arial"/>
                <w:sz w:val="18"/>
                <w:szCs w:val="18"/>
                <w:color w:val="auto"/>
              </w:rPr>
              <w:t>income</w:t>
            </w:r>
          </w:p>
        </w:tc>
        <w:tc>
          <w:tcPr>
            <w:tcW w:w="6040" w:type="dxa"/>
            <w:vAlign w:val="bottom"/>
            <w:gridSpan w:val="2"/>
          </w:tcPr>
          <w:p>
            <w:pPr>
              <w:ind w:left="20"/>
              <w:spacing w:after="0" w:line="204" w:lineRule="exact"/>
              <w:rPr>
                <w:sz w:val="20"/>
                <w:szCs w:val="20"/>
                <w:color w:val="auto"/>
              </w:rPr>
            </w:pPr>
            <w:r>
              <w:rPr>
                <w:rFonts w:ascii="Arial" w:cs="Arial" w:eastAsia="Arial" w:hAnsi="Arial"/>
                <w:sz w:val="18"/>
                <w:szCs w:val="18"/>
                <w:color w:val="auto"/>
                <w:w w:val="94"/>
              </w:rPr>
              <w:t>sold, selling expenses, research and development expenses, and administrative</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jc w:val="center"/>
              <w:spacing w:after="0" w:line="204" w:lineRule="exact"/>
              <w:rPr>
                <w:sz w:val="20"/>
                <w:szCs w:val="20"/>
                <w:color w:val="auto"/>
              </w:rPr>
            </w:pPr>
            <w:r>
              <w:rPr>
                <w:rFonts w:ascii="Arial" w:cs="Arial" w:eastAsia="Arial" w:hAnsi="Arial"/>
                <w:sz w:val="18"/>
                <w:szCs w:val="18"/>
                <w:color w:val="auto"/>
                <w:w w:val="83"/>
              </w:rPr>
              <w:t xml:space="preserve">Deman </w:t>
            </w:r>
            <w:r>
              <w:rPr>
                <w:rFonts w:ascii="Arial" w:cs="Arial" w:eastAsia="Arial" w:hAnsi="Arial"/>
                <w:sz w:val="23"/>
                <w:szCs w:val="23"/>
                <w:color w:val="auto"/>
                <w:w w:val="83"/>
                <w:vertAlign w:val="superscript"/>
              </w:rPr>
              <w:t>(2)</w:t>
            </w:r>
          </w:p>
        </w:tc>
      </w:tr>
    </w:tbl>
    <w:p>
      <w:pPr>
        <w:ind w:left="2040" w:right="3300"/>
        <w:spacing w:after="0" w:line="239" w:lineRule="auto"/>
        <w:rPr>
          <w:sz w:val="20"/>
          <w:szCs w:val="20"/>
          <w:color w:val="auto"/>
        </w:rPr>
      </w:pPr>
      <w:r>
        <w:rPr>
          <w:rFonts w:ascii="Arial" w:cs="Arial" w:eastAsia="Arial" w:hAnsi="Arial"/>
          <w:sz w:val="17"/>
          <w:szCs w:val="17"/>
          <w:color w:val="auto"/>
        </w:rPr>
        <w:t>expenses calculated in accordance with U.S. GAAP, excluding the impact of foreign currency translation and any current year acquisitions or divestitures.</w:t>
      </w:r>
    </w:p>
    <w:p>
      <w:pPr>
        <w:spacing w:after="0" w:line="243" w:lineRule="exact"/>
        <w:rPr>
          <w:sz w:val="20"/>
          <w:szCs w:val="20"/>
          <w:color w:val="auto"/>
        </w:rPr>
      </w:pPr>
    </w:p>
    <w:p>
      <w:pPr>
        <w:ind w:left="660" w:right="20" w:hanging="328"/>
        <w:spacing w:after="0" w:line="258"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Pearce resigned as Chief Financial Officer and Treasurer of the Company, effective April 14, 2023. As provided in Mr. Pearce's resignation agreement, he received an annual cash incentive award equivalent to his annual cash bonus at target for fiscal 2023.</w:t>
      </w:r>
    </w:p>
    <w:p>
      <w:pPr>
        <w:spacing w:after="0" w:line="1" w:lineRule="exact"/>
        <w:rPr>
          <w:rFonts w:ascii="Arial" w:cs="Arial" w:eastAsia="Arial" w:hAnsi="Arial"/>
          <w:sz w:val="18"/>
          <w:szCs w:val="18"/>
          <w:color w:val="auto"/>
        </w:rPr>
      </w:pPr>
    </w:p>
    <w:p>
      <w:pPr>
        <w:ind w:left="660" w:right="20" w:hanging="328"/>
        <w:spacing w:after="0" w:line="260" w:lineRule="auto"/>
        <w:tabs>
          <w:tab w:leader="none" w:pos="6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 provided in Mr. Deman's Settlement Agreement dated as of October 10, 2022, he was paid a bonus of € 51,231 which related to his fiscal 2022 bonus payout. He did not receive a payout of a fiscal 2023 bonus.</w:t>
      </w:r>
    </w:p>
    <w:p>
      <w:pPr>
        <w:spacing w:after="0" w:line="13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funding level of the fiscal 2023 annual cash incentive plan was determined based on the level of achievement of the annual sales and profit metrics described above compared to stated thresholds that were established at the beginning of the fiscal year and adjusted as part of the Company's reorganization effective February 1, 2023. These thresholds are set forth in the tables below for each NEO. The annual cash incentive plan also includes a minimum profit threshold that must be exceeded in order for any cash incentive amount to be funded, regardless of the achievement of revenue. In addition, plan participants must be employed on the payment date to receive the payout of their annual incentive award.</w:t>
      </w:r>
    </w:p>
    <w:p>
      <w:pPr>
        <w:spacing w:after="0" w:line="12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Individual contribution is determined by assessing the level of achievement of each NEO’s individual annual goals combined with his or her ability to deliver on the competencies needed to achieve those goals. The competencies include items such as optimizing work processes through continuous improvement initiatives, building strong customer relationships and providing excellent customer service, creating innovative new product solutions, valuing different perspectives and developing our people. Individual annual goals and competencies are included in each NEO’s performance assessment to ensure they are focused on initiatives within their area of responsibility that will increase both sales and profitability and drive long-term shareholder value.</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While our objective is to set goals that are quantitative and measurable, certain elements of the performance assessment may be subjective. Assessments and rating recommendations for all executive officers, except the CEO, are delivered to the Committee by the CEO in July. The CEO provides the Committee with a self-assessment of his own performance without a rating recommendation and the Committee conducts an annual review and evaluation process to determine the CEO's performance rating.</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Company's rating system consists of five performance levels, each with a predetermined multiplier that is applied to the available annual cash incentive that is earned and payable based upon the NEO's contribution to the fiscal year objectives and their individual annual goals: Unsatisfactory - 0%; Needs Improvement - 50%; Fully Meets Objectives - 100%; Exceeds Objectives - 125%; and Outstanding - 150%. The annual cash incentive target is calculated as a percentage of the NEO’s eligible compensation, which is defined as base salary paid during the fiscal year. The achievement of the financial performance metrics defined in the table above is applied to this target for each NEO, and their individual performance rating is then applied, resulting in the annual cash incentive award. The following sections detail this calculation for each NEO.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Messrs. Shaller, Curran and Gorman and Ms. Thornton</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cash incentive payable to Messrs. Shaller, Curran, and Gorman and Ms. Thornton for fiscal 2023 was based on total sales and income before income taxes. For fiscal 2023, an annual cash incentive was funded for the achievement of total sales and income before income taxes. The multiplier for individual performance was applied to the two components to arrive at the final cash incentive award achieved.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threshold, target, maximum and actual cash incentive award earned for Messrs. Shaller, Curran and Gorman and Ms. Thornton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4"/>
          </w:tcPr>
          <w:p>
            <w:pPr>
              <w:jc w:val="center"/>
              <w:ind w:left="1108"/>
              <w:spacing w:after="0"/>
              <w:rPr>
                <w:sz w:val="20"/>
                <w:szCs w:val="20"/>
                <w:color w:val="auto"/>
              </w:rPr>
            </w:pPr>
            <w:r>
              <w:rPr>
                <w:rFonts w:ascii="Arial" w:cs="Arial" w:eastAsia="Arial" w:hAnsi="Arial"/>
                <w:sz w:val="14"/>
                <w:szCs w:val="14"/>
                <w:b w:val="1"/>
                <w:bCs w:val="1"/>
                <w:color w:val="auto"/>
                <w:w w:val="90"/>
              </w:rPr>
              <w:t>Fiscal 2023 Actual Results</w:t>
            </w:r>
          </w:p>
        </w:tc>
        <w:tc>
          <w:tcPr>
            <w:tcW w:w="1180" w:type="dxa"/>
            <w:vAlign w:val="bottom"/>
          </w:tcPr>
          <w:p>
            <w:pPr>
              <w:spacing w:after="0"/>
              <w:rPr>
                <w:sz w:val="16"/>
                <w:szCs w:val="16"/>
                <w:color w:val="auto"/>
              </w:rPr>
            </w:pPr>
          </w:p>
        </w:tc>
      </w:tr>
      <w:tr>
        <w:trPr>
          <w:trHeight w:val="26"/>
        </w:trPr>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9"/>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 xml:space="preserve">Performance Measure </w:t>
            </w:r>
            <w:r>
              <w:rPr>
                <w:rFonts w:ascii="Arial" w:cs="Arial" w:eastAsia="Arial" w:hAnsi="Arial"/>
                <w:sz w:val="14"/>
                <w:szCs w:val="14"/>
                <w:color w:val="auto"/>
              </w:rPr>
              <w:t>(weighting)</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Threshold</w:t>
            </w: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Target</w:t>
            </w:r>
          </w:p>
        </w:tc>
        <w:tc>
          <w:tcPr>
            <w:tcW w:w="12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4"/>
                <w:szCs w:val="14"/>
                <w:b w:val="1"/>
                <w:bCs w:val="1"/>
                <w:color w:val="auto"/>
              </w:rPr>
              <w:t>Maximum</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Achievement ($)</w:t>
            </w: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Achievement (%)</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Sales (35%)(millions)</w:t>
            </w:r>
          </w:p>
        </w:tc>
        <w:tc>
          <w:tcPr>
            <w:tcW w:w="1020" w:type="dxa"/>
            <w:vAlign w:val="bottom"/>
          </w:tcPr>
          <w:p>
            <w:pPr>
              <w:jc w:val="right"/>
              <w:spacing w:after="0"/>
              <w:rPr>
                <w:sz w:val="20"/>
                <w:szCs w:val="20"/>
                <w:color w:val="auto"/>
              </w:rPr>
            </w:pPr>
            <w:r>
              <w:rPr>
                <w:rFonts w:ascii="Arial" w:cs="Arial" w:eastAsia="Arial" w:hAnsi="Arial"/>
                <w:sz w:val="18"/>
                <w:szCs w:val="18"/>
                <w:color w:val="auto"/>
              </w:rPr>
              <w:t>$1,231.0</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$1,382.9</w:t>
            </w:r>
          </w:p>
        </w:tc>
        <w:tc>
          <w:tcPr>
            <w:tcW w:w="120" w:type="dxa"/>
            <w:vAlign w:val="bottom"/>
          </w:tcPr>
          <w:p>
            <w:pPr>
              <w:spacing w:after="0"/>
              <w:rPr>
                <w:sz w:val="19"/>
                <w:szCs w:val="19"/>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$1,536.6 or more</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$1,350.7</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175"/>
        </w:trPr>
        <w:tc>
          <w:tcPr>
            <w:tcW w:w="32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Income Before Income Taxes (65%)</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(millions)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$255.3 or more</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0" w:type="dxa"/>
            <w:vAlign w:val="bottom"/>
          </w:tcPr>
          <w:p>
            <w:pPr>
              <w:spacing w:after="0"/>
              <w:rPr>
                <w:sz w:val="1"/>
                <w:szCs w:val="1"/>
                <w:color w:val="auto"/>
              </w:rPr>
            </w:pPr>
          </w:p>
        </w:tc>
      </w:tr>
      <w:tr>
        <w:trPr>
          <w:trHeight w:val="229"/>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Individual Performance Multiplier</w:t>
            </w:r>
          </w:p>
        </w:tc>
        <w:tc>
          <w:tcPr>
            <w:tcW w:w="102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Varies</w:t>
            </w:r>
          </w:p>
        </w:tc>
        <w:tc>
          <w:tcPr>
            <w:tcW w:w="0" w:type="dxa"/>
            <w:vAlign w:val="bottom"/>
          </w:tcPr>
          <w:p>
            <w:pPr>
              <w:spacing w:after="0"/>
              <w:rPr>
                <w:sz w:val="1"/>
                <w:szCs w:val="1"/>
                <w:color w:val="auto"/>
              </w:rPr>
            </w:pPr>
          </w:p>
        </w:tc>
      </w:tr>
      <w:tr>
        <w:trPr>
          <w:trHeight w:val="139"/>
        </w:trPr>
        <w:tc>
          <w:tcPr>
            <w:tcW w:w="328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b w:val="1"/>
                <w:bCs w:val="1"/>
                <w:color w:val="auto"/>
              </w:rPr>
              <w:t>Fiscal 2023 Annual Cash Incentive Award:</w:t>
            </w:r>
          </w:p>
        </w:tc>
        <w:tc>
          <w:tcPr>
            <w:tcW w:w="112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Threshold</w:t>
            </w:r>
          </w:p>
        </w:tc>
        <w:tc>
          <w:tcPr>
            <w:tcW w:w="112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b w:val="1"/>
                <w:bCs w:val="1"/>
                <w:color w:val="auto"/>
              </w:rPr>
              <w:t>Target</w:t>
            </w:r>
          </w:p>
        </w:tc>
        <w:tc>
          <w:tcPr>
            <w:tcW w:w="1720" w:type="dxa"/>
            <w:vAlign w:val="bottom"/>
            <w:gridSpan w:val="2"/>
            <w:shd w:val="clear" w:color="auto" w:fill="CCEEFF"/>
          </w:tcPr>
          <w:p>
            <w:pPr>
              <w:jc w:val="center"/>
              <w:ind w:right="160"/>
              <w:spacing w:after="0" w:line="139" w:lineRule="exact"/>
              <w:rPr>
                <w:sz w:val="20"/>
                <w:szCs w:val="20"/>
                <w:color w:val="auto"/>
              </w:rPr>
            </w:pPr>
            <w:r>
              <w:rPr>
                <w:rFonts w:ascii="Arial" w:cs="Arial" w:eastAsia="Arial" w:hAnsi="Arial"/>
                <w:sz w:val="14"/>
                <w:szCs w:val="14"/>
                <w:b w:val="1"/>
                <w:bCs w:val="1"/>
                <w:color w:val="auto"/>
                <w:w w:val="99"/>
              </w:rPr>
              <w:t>Maximum</w:t>
            </w:r>
          </w:p>
        </w:tc>
        <w:tc>
          <w:tcPr>
            <w:tcW w:w="138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b w:val="1"/>
                <w:bCs w:val="1"/>
                <w:color w:val="auto"/>
              </w:rPr>
              <w:t>Actual Payout</w:t>
            </w:r>
          </w:p>
        </w:tc>
        <w:tc>
          <w:tcPr>
            <w:tcW w:w="1360" w:type="dxa"/>
            <w:vAlign w:val="bottom"/>
            <w:gridSpan w:val="2"/>
            <w:shd w:val="clear" w:color="auto" w:fill="CCEEFF"/>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Actual Payout</w:t>
            </w:r>
          </w:p>
        </w:tc>
        <w:tc>
          <w:tcPr>
            <w:tcW w:w="1260" w:type="dxa"/>
            <w:vAlign w:val="bottom"/>
            <w:shd w:val="clear" w:color="auto" w:fill="CCEEFF"/>
          </w:tcPr>
          <w:p>
            <w:pPr>
              <w:jc w:val="right"/>
              <w:ind w:right="114"/>
              <w:spacing w:after="0" w:line="139" w:lineRule="exact"/>
              <w:rPr>
                <w:sz w:val="20"/>
                <w:szCs w:val="20"/>
                <w:color w:val="auto"/>
              </w:rPr>
            </w:pPr>
            <w:r>
              <w:rPr>
                <w:rFonts w:ascii="Arial" w:cs="Arial" w:eastAsia="Arial" w:hAnsi="Arial"/>
                <w:sz w:val="14"/>
                <w:szCs w:val="14"/>
                <w:b w:val="1"/>
                <w:bCs w:val="1"/>
                <w:color w:val="auto"/>
              </w:rPr>
              <w:t>Actual Payout</w:t>
            </w:r>
          </w:p>
        </w:tc>
        <w:tc>
          <w:tcPr>
            <w:tcW w:w="0" w:type="dxa"/>
            <w:vAlign w:val="bottom"/>
          </w:tcPr>
          <w:p>
            <w:pPr>
              <w:spacing w:after="0"/>
              <w:rPr>
                <w:sz w:val="1"/>
                <w:szCs w:val="1"/>
                <w:color w:val="auto"/>
              </w:rPr>
            </w:pPr>
          </w:p>
        </w:tc>
      </w:tr>
      <w:tr>
        <w:trPr>
          <w:trHeight w:val="198"/>
        </w:trPr>
        <w:tc>
          <w:tcPr>
            <w:tcW w:w="328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4"/>
              </w:rPr>
              <w:t>(% of Base Salary)</w:t>
            </w:r>
          </w:p>
        </w:tc>
        <w:tc>
          <w:tcPr>
            <w:tcW w:w="138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 of Target)</w:t>
            </w:r>
          </w:p>
        </w:tc>
        <w:tc>
          <w:tcPr>
            <w:tcW w:w="13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3"/>
              </w:rPr>
              <w:t>(% of Base Salary)</w:t>
            </w:r>
          </w:p>
        </w:tc>
        <w:tc>
          <w:tcPr>
            <w:tcW w:w="1260" w:type="dxa"/>
            <w:vAlign w:val="bottom"/>
            <w:shd w:val="clear" w:color="auto" w:fill="CCEEFF"/>
          </w:tcPr>
          <w:p>
            <w:pPr>
              <w:jc w:val="right"/>
              <w:ind w:right="45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180" w:type="dxa"/>
            <w:vAlign w:val="bottom"/>
            <w:tcBorders>
              <w:top w:val="single" w:sz="8" w:color="auto"/>
            </w:tcBorders>
          </w:tcPr>
          <w:p>
            <w:pPr>
              <w:ind w:left="560"/>
              <w:spacing w:after="0"/>
              <w:rPr>
                <w:sz w:val="20"/>
                <w:szCs w:val="20"/>
                <w:color w:val="auto"/>
              </w:rPr>
            </w:pPr>
            <w:r>
              <w:rPr>
                <w:rFonts w:ascii="Arial" w:cs="Arial" w:eastAsia="Arial" w:hAnsi="Arial"/>
                <w:sz w:val="18"/>
                <w:szCs w:val="18"/>
                <w:color w:val="auto"/>
              </w:rPr>
              <w:t>R.R. Shaller</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300 %</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$1,162,212</w:t>
            </w:r>
          </w:p>
        </w:tc>
        <w:tc>
          <w:tcPr>
            <w:tcW w:w="0" w:type="dxa"/>
            <w:vAlign w:val="bottom"/>
          </w:tcPr>
          <w:p>
            <w:pPr>
              <w:spacing w:after="0"/>
              <w:rPr>
                <w:sz w:val="1"/>
                <w:szCs w:val="1"/>
                <w:color w:val="auto"/>
              </w:rPr>
            </w:pPr>
          </w:p>
        </w:tc>
      </w:tr>
      <w:tr>
        <w:trPr>
          <w:trHeight w:val="229"/>
        </w:trPr>
        <w:tc>
          <w:tcPr>
            <w:tcW w:w="3280" w:type="dxa"/>
            <w:vAlign w:val="bottom"/>
            <w:gridSpan w:val="2"/>
            <w:shd w:val="clear" w:color="auto" w:fill="CCEEFF"/>
          </w:tcPr>
          <w:p>
            <w:pPr>
              <w:ind w:left="560"/>
              <w:spacing w:after="0" w:line="230" w:lineRule="exact"/>
              <w:rPr>
                <w:sz w:val="20"/>
                <w:szCs w:val="20"/>
                <w:color w:val="auto"/>
              </w:rPr>
            </w:pPr>
            <w:r>
              <w:rPr>
                <w:rFonts w:ascii="Arial" w:cs="Arial" w:eastAsia="Arial" w:hAnsi="Arial"/>
                <w:sz w:val="18"/>
                <w:szCs w:val="18"/>
                <w:color w:val="auto"/>
              </w:rPr>
              <w:t xml:space="preserve">A.E. Thornton </w:t>
            </w:r>
            <w:r>
              <w:rPr>
                <w:rFonts w:ascii="Arial" w:cs="Arial" w:eastAsia="Arial" w:hAnsi="Arial"/>
                <w:sz w:val="23"/>
                <w:szCs w:val="23"/>
                <w:color w:val="auto"/>
                <w:vertAlign w:val="superscript"/>
              </w:rPr>
              <w:t>(1)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$103,223</w:t>
            </w:r>
          </w:p>
        </w:tc>
        <w:tc>
          <w:tcPr>
            <w:tcW w:w="0" w:type="dxa"/>
            <w:vAlign w:val="bottom"/>
          </w:tcPr>
          <w:p>
            <w:pPr>
              <w:spacing w:after="0"/>
              <w:rPr>
                <w:sz w:val="1"/>
                <w:szCs w:val="1"/>
                <w:color w:val="auto"/>
              </w:rPr>
            </w:pPr>
          </w:p>
        </w:tc>
      </w:tr>
      <w:tr>
        <w:trPr>
          <w:trHeight w:val="229"/>
        </w:trPr>
        <w:tc>
          <w:tcPr>
            <w:tcW w:w="3280" w:type="dxa"/>
            <w:vAlign w:val="bottom"/>
            <w:gridSpan w:val="2"/>
          </w:tcPr>
          <w:p>
            <w:pPr>
              <w:ind w:left="560"/>
              <w:spacing w:after="0" w:line="230" w:lineRule="exact"/>
              <w:rPr>
                <w:sz w:val="20"/>
                <w:szCs w:val="20"/>
                <w:color w:val="auto"/>
              </w:rPr>
            </w:pPr>
            <w:r>
              <w:rPr>
                <w:rFonts w:ascii="Arial" w:cs="Arial" w:eastAsia="Arial" w:hAnsi="Arial"/>
                <w:sz w:val="18"/>
                <w:szCs w:val="18"/>
                <w:color w:val="auto"/>
              </w:rPr>
              <w:t xml:space="preserve">A.E. Thornton </w:t>
            </w:r>
            <w:r>
              <w:rPr>
                <w:rFonts w:ascii="Arial" w:cs="Arial" w:eastAsia="Arial" w:hAnsi="Arial"/>
                <w:sz w:val="23"/>
                <w:szCs w:val="23"/>
                <w:color w:val="auto"/>
                <w:vertAlign w:val="superscript"/>
              </w:rPr>
              <w:t>(2)</w:t>
            </w:r>
          </w:p>
        </w:tc>
        <w:tc>
          <w:tcPr>
            <w:tcW w:w="102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105 %</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$100,658</w:t>
            </w:r>
          </w:p>
        </w:tc>
        <w:tc>
          <w:tcPr>
            <w:tcW w:w="0" w:type="dxa"/>
            <w:vAlign w:val="bottom"/>
          </w:tcPr>
          <w:p>
            <w:pPr>
              <w:spacing w:after="0"/>
              <w:rPr>
                <w:sz w:val="1"/>
                <w:szCs w:val="1"/>
                <w:color w:val="auto"/>
              </w:rPr>
            </w:pPr>
          </w:p>
        </w:tc>
      </w:tr>
      <w:tr>
        <w:trPr>
          <w:trHeight w:val="230"/>
        </w:trPr>
        <w:tc>
          <w:tcPr>
            <w:tcW w:w="3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B.N. Curran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$240,023</w:t>
            </w:r>
          </w:p>
        </w:tc>
        <w:tc>
          <w:tcPr>
            <w:tcW w:w="0" w:type="dxa"/>
            <w:vAlign w:val="bottom"/>
          </w:tcPr>
          <w:p>
            <w:pPr>
              <w:spacing w:after="0"/>
              <w:rPr>
                <w:sz w:val="1"/>
                <w:szCs w:val="1"/>
                <w:color w:val="auto"/>
              </w:rPr>
            </w:pPr>
          </w:p>
        </w:tc>
      </w:tr>
      <w:tr>
        <w:trPr>
          <w:trHeight w:val="230"/>
        </w:trPr>
        <w:tc>
          <w:tcPr>
            <w:tcW w:w="3280" w:type="dxa"/>
            <w:vAlign w:val="bottom"/>
            <w:gridSpan w:val="2"/>
          </w:tcPr>
          <w:p>
            <w:pPr>
              <w:ind w:left="560"/>
              <w:spacing w:after="0"/>
              <w:rPr>
                <w:sz w:val="20"/>
                <w:szCs w:val="20"/>
                <w:color w:val="auto"/>
              </w:rPr>
            </w:pPr>
            <w:r>
              <w:rPr>
                <w:rFonts w:ascii="Arial" w:cs="Arial" w:eastAsia="Arial" w:hAnsi="Arial"/>
                <w:sz w:val="18"/>
                <w:szCs w:val="18"/>
                <w:color w:val="auto"/>
              </w:rPr>
              <w:t>A.T. Gorman</w:t>
            </w:r>
          </w:p>
        </w:tc>
        <w:tc>
          <w:tcPr>
            <w:tcW w:w="102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$193,569</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left="660" w:hanging="328"/>
        <w:spacing w:after="0" w:line="253" w:lineRule="auto"/>
        <w:tabs>
          <w:tab w:leader="none" w:pos="654" w:val="left"/>
        </w:tabs>
        <w:numPr>
          <w:ilvl w:val="0"/>
          <w:numId w:val="30"/>
        </w:numPr>
        <w:rPr>
          <w:rFonts w:ascii="Arial" w:cs="Arial" w:eastAsia="Arial" w:hAnsi="Arial"/>
          <w:sz w:val="18"/>
          <w:szCs w:val="18"/>
          <w:color w:val="auto"/>
        </w:rPr>
      </w:pPr>
      <w:r>
        <w:rPr>
          <w:rFonts w:ascii="Arial" w:cs="Arial" w:eastAsia="Arial" w:hAnsi="Arial"/>
          <w:sz w:val="18"/>
          <w:szCs w:val="18"/>
          <w:color w:val="auto"/>
        </w:rPr>
        <w:t>Ms. Thornton was appointed Chief Financial Officer and Treasurer of the Company, effective April 14, 2023. Before April 14, 2023, Ms. Thornton served as Chief Accounting Officer and Corporate Controller. As a result, during the period from August 1, 2022 to April 14, 2023, Ms. Thornton's annual incentive compensation was based upon her role as Chief Accounting Officer and Corporate Controller, and during the period from April 14, 2023 to July 31, 2023, Ms. Thornton's incentive compensation was based upon her role as Chief Financial Officer and Treasurer. This calculation is based upon salary paid to Ms. Thornton from April 14, 2023 to July 31, 2023 in her role as Chief Financial Officer and Treasurer.</w:t>
      </w:r>
    </w:p>
    <w:p>
      <w:pPr>
        <w:spacing w:after="0" w:line="1" w:lineRule="exact"/>
        <w:rPr>
          <w:rFonts w:ascii="Arial" w:cs="Arial" w:eastAsia="Arial" w:hAnsi="Arial"/>
          <w:sz w:val="18"/>
          <w:szCs w:val="18"/>
          <w:color w:val="auto"/>
        </w:rPr>
      </w:pPr>
    </w:p>
    <w:p>
      <w:pPr>
        <w:ind w:left="660" w:hanging="328"/>
        <w:spacing w:after="0" w:line="260" w:lineRule="auto"/>
        <w:tabs>
          <w:tab w:leader="none" w:pos="65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This calculation is based upon salary paid to Ms. Thornton from August 1, 2022 to April 14, 2023 in her role as Chief Accounting Officer and Corporate Controller.</w:t>
      </w:r>
    </w:p>
    <w:p>
      <w:pPr>
        <w:spacing w:after="0" w:line="13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Mr. Shaller's individual performance multiplier was the result of his contribution to several fiscal year objectives and individual annual goals as follows:</w:t>
      </w:r>
    </w:p>
    <w:p>
      <w:pPr>
        <w:spacing w:after="0" w:line="116" w:lineRule="exact"/>
        <w:rPr>
          <w:sz w:val="20"/>
          <w:szCs w:val="20"/>
          <w:color w:val="auto"/>
        </w:rPr>
      </w:pPr>
    </w:p>
    <w:p>
      <w:pPr>
        <w:jc w:val="both"/>
        <w:ind w:left="660" w:hanging="328"/>
        <w:spacing w:after="0" w:line="254"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Strategy - Objective focused on establishing a new strategic direction for the total company in order to drive long-term sales growth. The Company modified its organizational structure to regional operating segments in fiscal 2023, which will all the Company to take advantage of synergies between the prior divisions, utilize its best go-to-market strategies, and accelerate new product development with increased geographic scale.</w:t>
      </w:r>
    </w:p>
    <w:p>
      <w:pPr>
        <w:spacing w:after="0" w:line="2"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organic sales growth - Objective focused on delivering organic sales growth. The Company’s organic sales growth rate was 5.5% in fiscal 2023.</w:t>
      </w:r>
    </w:p>
    <w:p>
      <w:pPr>
        <w:jc w:val="both"/>
        <w:ind w:left="660" w:hanging="328"/>
        <w:spacing w:after="0" w:line="255"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Total income before income taxes - Objective focused on improving income before income taxes while making the investments for sustainable long-term organic sales growth. Income before income taxes improved from $192.0 million in fiscal 2022 to $225.7 million in fiscal 2023, while investments in R&amp;D increased from $58.5 million in fiscal 2022 to $61.4 million in fiscal 2023.</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a review of Mr. Shaller's performance, the Committee determined that Mr. Shaller's resulting performance level was 125% for his individual performance multiplier.</w:t>
      </w:r>
    </w:p>
    <w:p>
      <w:pPr>
        <w:spacing w:after="0" w:line="1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Ms. Thornton's individual performance multiplier for her role as CFO was the result of her contribution to several fiscal year objectives and individual annual goals as follows:</w:t>
      </w:r>
    </w:p>
    <w:p>
      <w:pPr>
        <w:spacing w:after="0" w:line="116" w:lineRule="exact"/>
        <w:rPr>
          <w:sz w:val="20"/>
          <w:szCs w:val="20"/>
          <w:color w:val="auto"/>
        </w:rPr>
      </w:pPr>
    </w:p>
    <w:p>
      <w:pPr>
        <w:jc w:val="both"/>
        <w:ind w:left="660" w:hanging="328"/>
        <w:spacing w:after="0" w:line="271"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Selling, general and administrative expenses - Objective focused on reducing selling, general and administrative expenses throughout the Company, with a specific focus on reducing general and administrative expenses in a sustainable manner while continuing to invest in sales-generating resources. As a percentage of net sales, SG&amp;A expenses declined from 29.2% in fiscal 2022 to 27.8% in fiscal 2023.</w:t>
      </w:r>
    </w:p>
    <w:p>
      <w:pPr>
        <w:jc w:val="both"/>
        <w:ind w:left="660" w:hanging="328"/>
        <w:spacing w:after="0" w:line="255"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Income before income taxes - Objective focused on improving income before income taxes while making the investments for sustainable long-term organic sales growth. Income before income taxes improved from $192.0 million in fiscal 2022 to $225.7 million in fiscal 2023, while investments in R&amp;D increased from $58.5 million in fiscal 2022 to $61.4 million in fiscal 2023.</w:t>
      </w:r>
    </w:p>
    <w:p>
      <w:pPr>
        <w:spacing w:after="0" w:line="13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a review of Ms. Thornton's performance, the Committee determined that Ms. Thornton's resulting performance level was 100% for her individual performance multiplier as Chief Financial Officer and Treasurer.</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Ms. Thornton's individual performance multiplier for her roles as Chief Accounting Officer and Corporate Controller were the result of her contribution to several fiscal year objectives and individual annual goals as follows:</w:t>
      </w:r>
    </w:p>
    <w:p>
      <w:pPr>
        <w:spacing w:after="0" w:line="116" w:lineRule="exact"/>
        <w:rPr>
          <w:sz w:val="20"/>
          <w:szCs w:val="20"/>
          <w:color w:val="auto"/>
        </w:rPr>
      </w:pPr>
    </w:p>
    <w:p>
      <w:pPr>
        <w:jc w:val="both"/>
        <w:ind w:left="660" w:hanging="328"/>
        <w:spacing w:after="0" w:line="255"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Cash flow - Objective focused on delivering strong cash flow in relation to net income. The company's cash flow from operating activities increased from $118.4 million is fiscal 2022 to $209.1 million in fiscal 2023. The Company's cash flow from operating activities as a percentage of net income was 79.0% in fiscal 2022 compared to 119.6% in fiscal 2023.</w:t>
      </w:r>
    </w:p>
    <w:p>
      <w:pPr>
        <w:spacing w:after="0" w:line="2"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Segment Reorganization - Objective focused on providing the Company's segment leaders with recast financial information as part of the segment reorganization. The Company's segments were reorganized as of February 1, 2023.</w:t>
      </w:r>
    </w:p>
    <w:p>
      <w:pPr>
        <w:spacing w:after="0" w:line="13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a review of Ms. Thornton's performance, the Committee determined that Ms. Thornton's resulting performance level was 125% for her individual performance multiplier as Chief Accounting Officer and Corporate Controller.</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Mr. Curran's individual performance multiplier was the result of his contribution to several fiscal year objectives and individual annual goals as follows:</w:t>
      </w:r>
    </w:p>
    <w:p>
      <w:pPr>
        <w:spacing w:after="0" w:line="116" w:lineRule="exact"/>
        <w:rPr>
          <w:sz w:val="20"/>
          <w:szCs w:val="20"/>
          <w:color w:val="auto"/>
        </w:rPr>
      </w:pPr>
    </w:p>
    <w:p>
      <w:pPr>
        <w:ind w:left="660" w:hanging="328"/>
        <w:spacing w:after="0" w:line="258"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Business intelligence - Objective focused on continuing to improve Brady's business intelligence capabilities to enable enhanced data-driven decision making across the Company.</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Cybersecurity - Objective focused on continued advancement of the Company's cybersecurity defense capabilities to reduce risk and protect the Company's critical assets.</w:t>
      </w:r>
    </w:p>
    <w:p>
      <w:pPr>
        <w:ind w:left="660" w:hanging="328"/>
        <w:spacing w:after="0" w:line="260"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Digital enhancement - Objective focused on improving the Company's digital presence and the use of data-driven marketing automation tools to expand and enhance our sales capabilities across both our Americas &amp; Asia and Europe &amp; Australia segments.</w:t>
      </w:r>
    </w:p>
    <w:p>
      <w:pPr>
        <w:spacing w:after="0" w:line="13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After a review of Mr. Curran's performance, the Committee determined that Mr. Curran's resulting performance level was 100% for his individual performance multiplier.</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Mr. Gorman's individual performance multiplier was the result of his contribution to several fiscal year objectives and individual annual goals as follows:</w:t>
      </w:r>
    </w:p>
    <w:p>
      <w:pPr>
        <w:spacing w:after="0" w:line="116" w:lineRule="exact"/>
        <w:rPr>
          <w:sz w:val="20"/>
          <w:szCs w:val="20"/>
          <w:color w:val="auto"/>
        </w:rPr>
      </w:pPr>
    </w:p>
    <w:p>
      <w:pPr>
        <w:ind w:left="660" w:hanging="328"/>
        <w:spacing w:after="0" w:line="258"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 Objective focused on ensuring continued compliance with domestic and international laws and regulations, as well as maintaining internal compliance programs.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Legal structure simplification - Objective focused on simplifying the Company's legal entity structure.</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 of subsidiary - Objective focused on the successful completion of the sale of the Company's PremiSys business, which was completed in the third quarter of fiscal 2023.</w:t>
      </w:r>
    </w:p>
    <w:p>
      <w:pPr>
        <w:spacing w:after="0" w:line="131"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After a review of Mr. Gorman's performance, the Committee determined that Mr. Gorman's resulting performance level was 100% for his individual performance multiplier.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Bojarski</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cash incentive payable to Mr. Bojarski for fiscal 2023 was based on achievement of Americas &amp; Asia segment organic sales and operating income. For fiscal 2023, a cash incentive was funded for the achievement of the Americas &amp; Asia segment organic sales and operating income based upon the achievement of the financial targets established at the time of the Company's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change in reportable segments. The multiplier for individual performance was applied to the achievement of the two components to arrive at the final cash incentive award achieved.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threshold, target, maximum and actual payout amounts for Mr. Bojarski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5"/>
          </w:tcPr>
          <w:p>
            <w:pPr>
              <w:jc w:val="center"/>
              <w:ind w:left="1104"/>
              <w:spacing w:after="0"/>
              <w:rPr>
                <w:sz w:val="20"/>
                <w:szCs w:val="20"/>
                <w:color w:val="auto"/>
              </w:rPr>
            </w:pPr>
            <w:r>
              <w:rPr>
                <w:rFonts w:ascii="Arial" w:cs="Arial" w:eastAsia="Arial" w:hAnsi="Arial"/>
                <w:sz w:val="14"/>
                <w:szCs w:val="14"/>
                <w:b w:val="1"/>
                <w:bCs w:val="1"/>
                <w:color w:val="auto"/>
                <w:w w:val="90"/>
              </w:rPr>
              <w:t>Fiscal 2023 Actual Results</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Performance Measure (weighting)</w:t>
            </w:r>
          </w:p>
        </w:tc>
        <w:tc>
          <w:tcPr>
            <w:tcW w:w="112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Threshold</w:t>
            </w: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4"/>
                <w:szCs w:val="14"/>
                <w:b w:val="1"/>
                <w:bCs w:val="1"/>
                <w:color w:val="auto"/>
              </w:rPr>
              <w:t>Target</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9"/>
              </w:rPr>
              <w:t>Maximum</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94"/>
              </w:rPr>
              <w:t>Achievement ($)</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Achievement (%)</w:t>
            </w:r>
          </w:p>
        </w:tc>
        <w:tc>
          <w:tcPr>
            <w:tcW w:w="0" w:type="dxa"/>
            <w:vAlign w:val="bottom"/>
          </w:tcPr>
          <w:p>
            <w:pPr>
              <w:spacing w:after="0"/>
              <w:rPr>
                <w:sz w:val="1"/>
                <w:szCs w:val="1"/>
                <w:color w:val="auto"/>
              </w:rPr>
            </w:pPr>
          </w:p>
        </w:tc>
      </w:tr>
      <w:tr>
        <w:trPr>
          <w:trHeight w:val="169"/>
        </w:trPr>
        <w:tc>
          <w:tcPr>
            <w:tcW w:w="320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Americas &amp; Asia Division Sales (35%)</w:t>
            </w:r>
          </w:p>
        </w:tc>
        <w:tc>
          <w:tcPr>
            <w:tcW w:w="10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(millions)</w:t>
            </w:r>
          </w:p>
        </w:tc>
        <w:tc>
          <w:tcPr>
            <w:tcW w:w="1020" w:type="dxa"/>
            <w:vAlign w:val="bottom"/>
          </w:tcPr>
          <w:p>
            <w:pPr>
              <w:jc w:val="right"/>
              <w:spacing w:after="0"/>
              <w:rPr>
                <w:sz w:val="20"/>
                <w:szCs w:val="20"/>
                <w:color w:val="auto"/>
              </w:rPr>
            </w:pPr>
            <w:r>
              <w:rPr>
                <w:rFonts w:ascii="Arial" w:cs="Arial" w:eastAsia="Arial" w:hAnsi="Arial"/>
                <w:sz w:val="18"/>
                <w:szCs w:val="18"/>
                <w:color w:val="auto"/>
              </w:rPr>
              <w:t>$825.3</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$937.1</w:t>
            </w:r>
          </w:p>
        </w:tc>
        <w:tc>
          <w:tcPr>
            <w:tcW w:w="120" w:type="dxa"/>
            <w:vAlign w:val="bottom"/>
          </w:tcPr>
          <w:p>
            <w:pPr>
              <w:spacing w:after="0"/>
              <w:rPr>
                <w:sz w:val="21"/>
                <w:szCs w:val="21"/>
                <w:color w:val="auto"/>
              </w:rPr>
            </w:pPr>
          </w:p>
        </w:tc>
        <w:tc>
          <w:tcPr>
            <w:tcW w:w="1720" w:type="dxa"/>
            <w:vAlign w:val="bottom"/>
            <w:gridSpan w:val="2"/>
          </w:tcPr>
          <w:p>
            <w:pPr>
              <w:jc w:val="right"/>
              <w:ind w:right="140"/>
              <w:spacing w:after="0"/>
              <w:rPr>
                <w:sz w:val="20"/>
                <w:szCs w:val="20"/>
                <w:color w:val="auto"/>
              </w:rPr>
            </w:pPr>
            <w:r>
              <w:rPr>
                <w:rFonts w:ascii="Arial" w:cs="Arial" w:eastAsia="Arial" w:hAnsi="Arial"/>
                <w:sz w:val="18"/>
                <w:szCs w:val="18"/>
                <w:color w:val="auto"/>
              </w:rPr>
              <w:t>$1,046.1 or more</w:t>
            </w: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$899.0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Americas &amp; Asia Division Operating</w:t>
            </w: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(65%)(millions)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2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$241.2 or more</w:t>
            </w: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30"/>
        </w:trPr>
        <w:tc>
          <w:tcPr>
            <w:tcW w:w="3300" w:type="dxa"/>
            <w:vAlign w:val="bottom"/>
            <w:gridSpan w:val="2"/>
          </w:tcPr>
          <w:p>
            <w:pPr>
              <w:ind w:left="20"/>
              <w:spacing w:after="0"/>
              <w:rPr>
                <w:sz w:val="20"/>
                <w:szCs w:val="20"/>
                <w:color w:val="auto"/>
              </w:rPr>
            </w:pPr>
            <w:r>
              <w:rPr>
                <w:rFonts w:ascii="Arial" w:cs="Arial" w:eastAsia="Arial" w:hAnsi="Arial"/>
                <w:sz w:val="18"/>
                <w:szCs w:val="18"/>
                <w:color w:val="auto"/>
              </w:rPr>
              <w:t>Individual Performance Multiplier</w:t>
            </w:r>
          </w:p>
        </w:tc>
        <w:tc>
          <w:tcPr>
            <w:tcW w:w="102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139"/>
        </w:trPr>
        <w:tc>
          <w:tcPr>
            <w:tcW w:w="330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b w:val="1"/>
                <w:bCs w:val="1"/>
                <w:color w:val="auto"/>
              </w:rPr>
              <w:t>Fiscal 2023 Annual Cash Incentive Award:</w:t>
            </w:r>
          </w:p>
        </w:tc>
        <w:tc>
          <w:tcPr>
            <w:tcW w:w="112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b w:val="1"/>
                <w:bCs w:val="1"/>
                <w:color w:val="auto"/>
              </w:rPr>
              <w:t>Threshold</w:t>
            </w:r>
          </w:p>
        </w:tc>
        <w:tc>
          <w:tcPr>
            <w:tcW w:w="110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b w:val="1"/>
                <w:bCs w:val="1"/>
                <w:color w:val="auto"/>
              </w:rPr>
              <w:t>Target</w:t>
            </w:r>
          </w:p>
        </w:tc>
        <w:tc>
          <w:tcPr>
            <w:tcW w:w="1720" w:type="dxa"/>
            <w:vAlign w:val="bottom"/>
            <w:gridSpan w:val="2"/>
            <w:shd w:val="clear" w:color="auto" w:fill="CCEEFF"/>
          </w:tcPr>
          <w:p>
            <w:pPr>
              <w:jc w:val="center"/>
              <w:ind w:right="160"/>
              <w:spacing w:after="0" w:line="139" w:lineRule="exact"/>
              <w:rPr>
                <w:sz w:val="20"/>
                <w:szCs w:val="20"/>
                <w:color w:val="auto"/>
              </w:rPr>
            </w:pPr>
            <w:r>
              <w:rPr>
                <w:rFonts w:ascii="Arial" w:cs="Arial" w:eastAsia="Arial" w:hAnsi="Arial"/>
                <w:sz w:val="14"/>
                <w:szCs w:val="14"/>
                <w:b w:val="1"/>
                <w:bCs w:val="1"/>
                <w:color w:val="auto"/>
                <w:w w:val="99"/>
              </w:rPr>
              <w:t>Maximum</w:t>
            </w:r>
          </w:p>
        </w:tc>
        <w:tc>
          <w:tcPr>
            <w:tcW w:w="1380" w:type="dxa"/>
            <w:vAlign w:val="bottom"/>
            <w:gridSpan w:val="2"/>
            <w:shd w:val="clear" w:color="auto" w:fill="CCEEFF"/>
          </w:tcPr>
          <w:p>
            <w:pPr>
              <w:ind w:left="200"/>
              <w:spacing w:after="0" w:line="139" w:lineRule="exact"/>
              <w:rPr>
                <w:sz w:val="20"/>
                <w:szCs w:val="20"/>
                <w:color w:val="auto"/>
              </w:rPr>
            </w:pPr>
            <w:r>
              <w:rPr>
                <w:rFonts w:ascii="Arial" w:cs="Arial" w:eastAsia="Arial" w:hAnsi="Arial"/>
                <w:sz w:val="14"/>
                <w:szCs w:val="14"/>
                <w:b w:val="1"/>
                <w:bCs w:val="1"/>
                <w:color w:val="auto"/>
              </w:rPr>
              <w:t>Actual Payout</w:t>
            </w:r>
          </w:p>
        </w:tc>
        <w:tc>
          <w:tcPr>
            <w:tcW w:w="1440" w:type="dxa"/>
            <w:vAlign w:val="bottom"/>
            <w:gridSpan w:val="3"/>
            <w:shd w:val="clear" w:color="auto" w:fill="CCEEFF"/>
          </w:tcPr>
          <w:p>
            <w:pPr>
              <w:jc w:val="center"/>
              <w:ind w:right="180"/>
              <w:spacing w:after="0" w:line="139" w:lineRule="exact"/>
              <w:rPr>
                <w:sz w:val="20"/>
                <w:szCs w:val="20"/>
                <w:color w:val="auto"/>
              </w:rPr>
            </w:pPr>
            <w:r>
              <w:rPr>
                <w:rFonts w:ascii="Arial" w:cs="Arial" w:eastAsia="Arial" w:hAnsi="Arial"/>
                <w:sz w:val="14"/>
                <w:szCs w:val="14"/>
                <w:b w:val="1"/>
                <w:bCs w:val="1"/>
                <w:color w:val="auto"/>
                <w:w w:val="92"/>
              </w:rPr>
              <w:t>Actual Payout</w:t>
            </w:r>
          </w:p>
        </w:tc>
        <w:tc>
          <w:tcPr>
            <w:tcW w:w="118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b w:val="1"/>
                <w:bCs w:val="1"/>
                <w:color w:val="auto"/>
                <w:w w:val="92"/>
              </w:rPr>
              <w:t>Actual Payout</w:t>
            </w:r>
          </w:p>
        </w:tc>
        <w:tc>
          <w:tcPr>
            <w:tcW w:w="0" w:type="dxa"/>
            <w:vAlign w:val="bottom"/>
          </w:tcPr>
          <w:p>
            <w:pPr>
              <w:spacing w:after="0"/>
              <w:rPr>
                <w:sz w:val="1"/>
                <w:szCs w:val="1"/>
                <w:color w:val="auto"/>
              </w:rPr>
            </w:pPr>
          </w:p>
        </w:tc>
      </w:tr>
      <w:tr>
        <w:trPr>
          <w:trHeight w:val="198"/>
        </w:trPr>
        <w:tc>
          <w:tcPr>
            <w:tcW w:w="3300" w:type="dxa"/>
            <w:vAlign w:val="bottom"/>
            <w:gridSpan w:val="2"/>
            <w:vMerge w:val="continue"/>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100" w:type="dxa"/>
            <w:vAlign w:val="bottom"/>
            <w:gridSpan w:val="2"/>
            <w:vMerge w:val="continue"/>
            <w:shd w:val="clear" w:color="auto" w:fill="CCEEFF"/>
          </w:tcPr>
          <w:p>
            <w:pPr>
              <w:spacing w:after="0"/>
              <w:rPr>
                <w:sz w:val="17"/>
                <w:szCs w:val="17"/>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4"/>
              </w:rPr>
              <w:t>(% of Base Salary)</w:t>
            </w:r>
          </w:p>
        </w:tc>
        <w:tc>
          <w:tcPr>
            <w:tcW w:w="138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 of Target)</w:t>
            </w:r>
          </w:p>
        </w:tc>
        <w:tc>
          <w:tcPr>
            <w:tcW w:w="144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w w:val="93"/>
              </w:rPr>
              <w:t>(% of Base Salary)</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4"/>
        </w:trPr>
        <w:tc>
          <w:tcPr>
            <w:tcW w:w="320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O. Bojarski</w:t>
            </w:r>
          </w:p>
        </w:tc>
        <w:tc>
          <w:tcPr>
            <w:tcW w:w="10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0 %</w:t>
            </w: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19"/>
                <w:szCs w:val="19"/>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225 %</w:t>
            </w:r>
          </w:p>
        </w:tc>
        <w:tc>
          <w:tcPr>
            <w:tcW w:w="120" w:type="dxa"/>
            <w:vAlign w:val="bottom"/>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97 %</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$387,290</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Mr. Bojarski's individual performance multiplier was the result of his contribution to several fiscal year objectives and individual annual goals in his role as President - Americas &amp; Asia as follows:</w:t>
      </w:r>
    </w:p>
    <w:p>
      <w:pPr>
        <w:spacing w:after="0" w:line="116" w:lineRule="exact"/>
        <w:rPr>
          <w:sz w:val="20"/>
          <w:szCs w:val="20"/>
          <w:color w:val="auto"/>
        </w:rPr>
      </w:pPr>
    </w:p>
    <w:p>
      <w:pPr>
        <w:jc w:val="both"/>
        <w:ind w:left="660" w:hanging="328"/>
        <w:spacing w:after="0" w:line="255"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Americas &amp; Asia operating income - Objective focused on improving operating income in the Americas &amp; Asia segment while making the investments for sustainable long-term organic sales growth. Operating income within the Americas &amp; Asia segment improved from $157.3 million in fiscal 2022 to $180.5 million in fiscal 2023.</w:t>
      </w:r>
    </w:p>
    <w:p>
      <w:pPr>
        <w:spacing w:after="0" w:line="2"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Americas &amp; Asia organic sales growth - Objective focused on delivering organic sales growth in the Americas &amp; Asia segment. Organic sales within the Americas &amp; Asia segment increased by 4.4% in fiscal 2023.</w:t>
      </w:r>
    </w:p>
    <w:p>
      <w:pPr>
        <w:jc w:val="both"/>
        <w:ind w:left="660" w:hanging="328"/>
        <w:spacing w:after="0" w:line="253"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Innovation development process - Objective focused on implementing sustainable processes to grow the Company’s pipeline of new products and to deliver the new products to market in a timely and cost-effective manner. Numerous new products were launched during fiscal 2023, including several printers introducing expanded software and mobile capabilities. The new product pipeline was streamlined and improved which has reduced the time frame and cost to move from new product idea to product launch.</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After a review of Mr. Bojarski's performance, the Committee determined that Mr. Bojarski's resulting performance level was 125% for his individual performance multiplier as President - Americas &amp; Asia.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fiscal 2023, the Committee reviewed historical award sizes and median levels of equity awarded to similar positions at our peer companies and other relevant market data. The Committee then approved the fiscal 2023 awards consisting of a combination of stock options, RSUs and PRSUs. The Committee uses its discretion in combination with peer group data, analysis of actual pay and performance, and advice from its independent compensation consultant to determine the size and type of equity awards granted to the CEO. For all other executives, the Committee also considers the input from the CEO when determining the size and type of annual equity awards.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18"/>
          <w:szCs w:val="18"/>
          <w:color w:val="auto"/>
        </w:rPr>
        <w:t>Stock options generally vest one-third annually for three years and have a ten-year term. The Committee has the ability to vary both the term and</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schedule for new stock option grants in accordance with the terms of the plan. All stock options are granted to the NEOs during the first quarter of each fiscal year following the Committee's approval, with an exercise price equal to the average of the high and low stock price on the grant date. No dividends are paid or accrued prior to the exercise of options.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RSUs: </w:t>
      </w:r>
      <w:r>
        <w:rPr>
          <w:rFonts w:ascii="Arial" w:cs="Arial" w:eastAsia="Arial" w:hAnsi="Arial"/>
          <w:sz w:val="18"/>
          <w:szCs w:val="18"/>
          <w:color w:val="auto"/>
        </w:rPr>
        <w:t>RSUs generally vest one-third annually for three years. The Committee has the ability to vary the vesting schedule for new RSU grants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of the plan. All RSUs are granted following the Committee's approval, with a fair value equal to the average of the high and low stock price on the grant date.</w:t>
      </w:r>
    </w:p>
    <w:p>
      <w:pPr>
        <w:spacing w:after="0" w:line="12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PRSUs: </w:t>
      </w:r>
      <w:r>
        <w:rPr>
          <w:rFonts w:ascii="Arial" w:cs="Arial" w:eastAsia="Arial" w:hAnsi="Arial"/>
          <w:sz w:val="17"/>
          <w:szCs w:val="17"/>
          <w:color w:val="auto"/>
        </w:rPr>
        <w:t>PRSUs granted in fiscal 2023 include two vesting criteria: 50% of the shares vest determined by the Company's TSR relative to the S&amp;P 600</w:t>
      </w:r>
      <w:r>
        <w:rPr>
          <w:rFonts w:ascii="Arial" w:cs="Arial" w:eastAsia="Arial" w:hAnsi="Arial"/>
          <w:sz w:val="17"/>
          <w:szCs w:val="17"/>
          <w:b w:val="1"/>
          <w:bCs w:val="1"/>
          <w:color w:val="auto"/>
        </w:rPr>
        <w:t xml:space="preserve"> </w:t>
      </w:r>
      <w:r>
        <w:rPr>
          <w:rFonts w:ascii="Arial" w:cs="Arial" w:eastAsia="Arial" w:hAnsi="Arial"/>
          <w:sz w:val="17"/>
          <w:szCs w:val="17"/>
          <w:color w:val="auto"/>
        </w:rPr>
        <w:t>SmallCap Industrials Index over a three-year performance period, and 50% of the shares vest determined by revenue performance over four separate performance periods as discussed in the Executive Summary. For the TSR metric, if relative TSR is at or below the 25th percentile of the peer group for the performance period then no payout will be earned. Additionally, if absolute TSR is negative for the performance period, the payout will be capped at 100%. For the revenue performance measure, there are four separate equally-weighted performance periods. If threshold performance is not achieved for a particular performance period, then no award will vest relative to that performance period. PRSUs have a fair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value determined by a third-party valuation involving a Monte Carlo simulation. PRSUs will vest between 0% and 200% of target depending on the relative three-year TSR performance and the achievement of the revenue growth goals over the respective performance periods.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dividends are paid or accrued on the RSUs or PRSUs prior to the issuance of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long-term equity incentive awards granted to the Company's NEOs during fiscal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Total Grant Date</w:t>
            </w:r>
          </w:p>
        </w:tc>
        <w:tc>
          <w:tcPr>
            <w:tcW w:w="2420" w:type="dxa"/>
            <w:vAlign w:val="bottom"/>
            <w:gridSpan w:val="4"/>
          </w:tcPr>
          <w:p>
            <w:pPr>
              <w:jc w:val="center"/>
              <w:ind w:right="190"/>
              <w:spacing w:after="0"/>
              <w:rPr>
                <w:sz w:val="20"/>
                <w:szCs w:val="20"/>
                <w:color w:val="auto"/>
              </w:rPr>
            </w:pPr>
            <w:r>
              <w:rPr>
                <w:rFonts w:ascii="Arial" w:cs="Arial" w:eastAsia="Arial" w:hAnsi="Arial"/>
                <w:sz w:val="18"/>
                <w:szCs w:val="18"/>
                <w:b w:val="1"/>
                <w:bCs w:val="1"/>
                <w:color w:val="auto"/>
                <w:w w:val="92"/>
              </w:rPr>
              <w:t>Stock Options Grant Date</w:t>
            </w: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PRSUs (at target)</w:t>
            </w:r>
          </w:p>
        </w:tc>
        <w:tc>
          <w:tcPr>
            <w:tcW w:w="160" w:type="dxa"/>
            <w:vAlign w:val="bottom"/>
          </w:tcPr>
          <w:p>
            <w:pPr>
              <w:spacing w:after="0"/>
              <w:rPr>
                <w:sz w:val="17"/>
                <w:szCs w:val="17"/>
                <w:color w:val="auto"/>
              </w:rPr>
            </w:pPr>
          </w:p>
        </w:tc>
        <w:tc>
          <w:tcPr>
            <w:tcW w:w="2000" w:type="dxa"/>
            <w:vAlign w:val="bottom"/>
          </w:tcPr>
          <w:p>
            <w:pPr>
              <w:jc w:val="right"/>
              <w:ind w:right="770"/>
              <w:spacing w:after="0"/>
              <w:rPr>
                <w:sz w:val="20"/>
                <w:szCs w:val="20"/>
                <w:color w:val="auto"/>
              </w:rPr>
            </w:pPr>
            <w:r>
              <w:rPr>
                <w:rFonts w:ascii="Arial" w:cs="Arial" w:eastAsia="Arial" w:hAnsi="Arial"/>
                <w:sz w:val="18"/>
                <w:szCs w:val="18"/>
                <w:b w:val="1"/>
                <w:bCs w:val="1"/>
                <w:color w:val="auto"/>
              </w:rPr>
              <w:t>RSUs</w:t>
            </w:r>
          </w:p>
        </w:tc>
      </w:tr>
      <w:tr>
        <w:trPr>
          <w:trHeight w:val="243"/>
        </w:trPr>
        <w:tc>
          <w:tcPr>
            <w:tcW w:w="22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Named Officers</w:t>
            </w:r>
          </w:p>
        </w:tc>
        <w:tc>
          <w:tcPr>
            <w:tcW w:w="260" w:type="dxa"/>
            <w:vAlign w:val="bottom"/>
          </w:tcPr>
          <w:p>
            <w:pPr>
              <w:spacing w:after="0"/>
              <w:rPr>
                <w:sz w:val="21"/>
                <w:szCs w:val="21"/>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380" w:type="dxa"/>
            <w:vAlign w:val="bottom"/>
          </w:tcPr>
          <w:p>
            <w:pPr>
              <w:spacing w:after="0"/>
              <w:rPr>
                <w:sz w:val="21"/>
                <w:szCs w:val="21"/>
                <w:color w:val="auto"/>
              </w:rPr>
            </w:pPr>
          </w:p>
        </w:tc>
        <w:tc>
          <w:tcPr>
            <w:tcW w:w="2040" w:type="dxa"/>
            <w:vAlign w:val="bottom"/>
            <w:gridSpan w:val="3"/>
          </w:tcPr>
          <w:p>
            <w:pPr>
              <w:jc w:val="center"/>
              <w:ind w:right="570"/>
              <w:spacing w:after="0"/>
              <w:rPr>
                <w:sz w:val="20"/>
                <w:szCs w:val="20"/>
                <w:color w:val="auto"/>
              </w:rPr>
            </w:pPr>
            <w:r>
              <w:rPr>
                <w:rFonts w:ascii="Arial" w:cs="Arial" w:eastAsia="Arial" w:hAnsi="Arial"/>
                <w:sz w:val="18"/>
                <w:szCs w:val="18"/>
                <w:b w:val="1"/>
                <w:bCs w:val="1"/>
                <w:color w:val="auto"/>
                <w:w w:val="95"/>
              </w:rPr>
              <w:t>Fair Value</w:t>
            </w: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 Fair Value</w:t>
            </w:r>
          </w:p>
        </w:tc>
        <w:tc>
          <w:tcPr>
            <w:tcW w:w="160" w:type="dxa"/>
            <w:vAlign w:val="bottom"/>
          </w:tcPr>
          <w:p>
            <w:pPr>
              <w:spacing w:after="0"/>
              <w:rPr>
                <w:sz w:val="21"/>
                <w:szCs w:val="21"/>
                <w:color w:val="auto"/>
              </w:rPr>
            </w:pPr>
          </w:p>
        </w:tc>
        <w:tc>
          <w:tcPr>
            <w:tcW w:w="200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Grant Date Fair Value</w:t>
            </w:r>
          </w:p>
        </w:tc>
      </w:tr>
      <w:tr>
        <w:trPr>
          <w:trHeight w:val="223"/>
        </w:trPr>
        <w:tc>
          <w:tcPr>
            <w:tcW w:w="216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R.R. Shaller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1,164,390</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26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A.E. Thornton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100,085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50,060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50,025</w:t>
            </w:r>
          </w:p>
        </w:tc>
      </w:tr>
      <w:tr>
        <w:trPr>
          <w:trHeight w:val="230"/>
        </w:trPr>
        <w:tc>
          <w:tcPr>
            <w:tcW w:w="2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 Bojarski </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40" w:type="dxa"/>
            <w:vAlign w:val="bottom"/>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600,029</w:t>
            </w:r>
          </w:p>
        </w:tc>
      </w:tr>
      <w:tr>
        <w:trPr>
          <w:trHeight w:val="229"/>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B.N. Curran</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211,986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60,060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91,896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60,030</w:t>
            </w:r>
          </w:p>
        </w:tc>
      </w:tr>
      <w:tr>
        <w:trPr>
          <w:trHeight w:val="230"/>
        </w:trPr>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 Gorman</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75,777</w:t>
            </w:r>
          </w:p>
        </w:tc>
      </w:tr>
      <w:tr>
        <w:trPr>
          <w:trHeight w:val="229"/>
        </w:trPr>
        <w:tc>
          <w:tcPr>
            <w:tcW w:w="2260" w:type="dxa"/>
            <w:vAlign w:val="bottom"/>
            <w:gridSpan w:val="2"/>
          </w:tcPr>
          <w:p>
            <w:pPr>
              <w:ind w:left="20"/>
              <w:spacing w:after="0"/>
              <w:rPr>
                <w:sz w:val="20"/>
                <w:szCs w:val="20"/>
                <w:color w:val="auto"/>
              </w:rPr>
            </w:pPr>
            <w:r>
              <w:rPr>
                <w:rFonts w:ascii="Arial" w:cs="Arial" w:eastAsia="Arial" w:hAnsi="Arial"/>
                <w:sz w:val="18"/>
                <w:szCs w:val="18"/>
                <w:color w:val="auto"/>
              </w:rPr>
              <w:t>P. Deman</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135,991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37,545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60,906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37,540</w:t>
            </w:r>
          </w:p>
        </w:tc>
      </w:tr>
      <w:tr>
        <w:trPr>
          <w:trHeight w:val="229"/>
        </w:trPr>
        <w:tc>
          <w:tcPr>
            <w:tcW w:w="22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A.J. Pearce </w:t>
            </w:r>
            <w:r>
              <w:rPr>
                <w:rFonts w:ascii="Arial" w:cs="Arial" w:eastAsia="Arial" w:hAnsi="Arial"/>
                <w:sz w:val="23"/>
                <w:szCs w:val="23"/>
                <w:color w:val="auto"/>
                <w:vertAlign w:val="superscript"/>
              </w:rPr>
              <w:t>(4)</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2,649,419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1,548,473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641,577</w:t>
            </w:r>
          </w:p>
        </w:tc>
      </w:tr>
    </w:tbl>
    <w:p>
      <w:pPr>
        <w:spacing w:after="0" w:line="242" w:lineRule="exact"/>
        <w:rPr>
          <w:sz w:val="20"/>
          <w:szCs w:val="20"/>
          <w:color w:val="auto"/>
        </w:rPr>
      </w:pPr>
    </w:p>
    <w:p>
      <w:pPr>
        <w:ind w:left="660" w:hanging="328"/>
        <w:spacing w:after="0" w:line="258" w:lineRule="auto"/>
        <w:tabs>
          <w:tab w:leader="none" w:pos="6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As part of Mr. Shaller's appointment as CEO on April 1, 2022, the Company granted stock options and RSUs intended to approximate his expected annual award for fiscal 2023. As such, he did not receive a stock option or RSU grant in fiscal 2023.</w:t>
      </w:r>
    </w:p>
    <w:p>
      <w:pPr>
        <w:spacing w:after="0" w:line="1" w:lineRule="exact"/>
        <w:rPr>
          <w:rFonts w:ascii="Arial" w:cs="Arial" w:eastAsia="Arial" w:hAnsi="Arial"/>
          <w:sz w:val="18"/>
          <w:szCs w:val="18"/>
          <w:color w:val="auto"/>
        </w:rPr>
      </w:pPr>
    </w:p>
    <w:p>
      <w:pPr>
        <w:ind w:left="660" w:hanging="328"/>
        <w:spacing w:after="0" w:line="281" w:lineRule="auto"/>
        <w:tabs>
          <w:tab w:leader="none" w:pos="654" w:val="left"/>
        </w:tabs>
        <w:numPr>
          <w:ilvl w:val="0"/>
          <w:numId w:val="37"/>
        </w:numPr>
        <w:rPr>
          <w:rFonts w:ascii="Arial" w:cs="Arial" w:eastAsia="Arial" w:hAnsi="Arial"/>
          <w:sz w:val="16"/>
          <w:szCs w:val="16"/>
          <w:color w:val="auto"/>
        </w:rPr>
      </w:pPr>
      <w:r>
        <w:rPr>
          <w:rFonts w:ascii="Arial" w:cs="Arial" w:eastAsia="Arial" w:hAnsi="Arial"/>
          <w:sz w:val="16"/>
          <w:szCs w:val="16"/>
          <w:color w:val="auto"/>
        </w:rPr>
        <w:t>Ms. Thornton did not receive PRSUs as part of the annual grant process while she was in the role of Corporate Controller and Chief Accounting Officer. Beginning in fiscal 2024, it is expected that Ms. Thornton will be awarded a similar ratio of equity awards as other executive officers.</w:t>
      </w:r>
    </w:p>
    <w:p>
      <w:pPr>
        <w:spacing w:after="0" w:line="1" w:lineRule="exact"/>
        <w:rPr>
          <w:rFonts w:ascii="Arial" w:cs="Arial" w:eastAsia="Arial" w:hAnsi="Arial"/>
          <w:sz w:val="16"/>
          <w:szCs w:val="16"/>
          <w:color w:val="auto"/>
        </w:rPr>
      </w:pPr>
    </w:p>
    <w:p>
      <w:pPr>
        <w:jc w:val="both"/>
        <w:ind w:left="660" w:right="20" w:hanging="328"/>
        <w:spacing w:after="0" w:line="250" w:lineRule="auto"/>
        <w:tabs>
          <w:tab w:leader="none" w:pos="6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Bojarski was appointed as President - Identification Solutions effective August 25, 2022, and subsequently President - Americas &amp; Asia. As part of his appointment, Mr. Bojarski received a sign-on RSU of $600,000. Beginning in fiscal 2024, it is expected that Mr. Bojarski will be awarded a similar ratio of equity awards as other executive officers.</w:t>
      </w:r>
    </w:p>
    <w:p>
      <w:pPr>
        <w:spacing w:after="0" w:line="1" w:lineRule="exact"/>
        <w:rPr>
          <w:rFonts w:ascii="Arial" w:cs="Arial" w:eastAsia="Arial" w:hAnsi="Arial"/>
          <w:sz w:val="18"/>
          <w:szCs w:val="18"/>
          <w:color w:val="auto"/>
        </w:rPr>
      </w:pPr>
    </w:p>
    <w:p>
      <w:pPr>
        <w:jc w:val="both"/>
        <w:ind w:left="660" w:hanging="328"/>
        <w:spacing w:after="0" w:line="252" w:lineRule="auto"/>
        <w:tabs>
          <w:tab w:leader="none" w:pos="6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Effective April 14, 2023, Mr. Pearce resigned from his position as Chief Financial Officer and Treasurer of the Company. As part of the resignation agreement, Mr. Pearce received full vesting of his outstanding stock options and RSUs that were granted on September 30, 2020 and September 16, 2021. In addition, all vested outstanding stock options as of April 28, 2023 for Mr. Pearce retained their original expiration date as stated in their respective award agreements. The incremental fair value of $1,248,175 and $341,557 associated with the modification of vesting conditions for certain outstanding equity awards have been included in this table under the columns "Stock Options Grant Date Fair Value" and "RSUs Grant Date Fair Value," respectively.</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PRSUs Earned for the Fiscal 2021 - 2023 Performance Period</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outlines the performance metrics, performance levels and actual performance achievement for the fiscal 2021 - 2023 PRSU cycle: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6"/>
              </w:rPr>
              <w:t>Maximum</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Actual</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3"/>
              </w:rPr>
              <w:t>% Payout</w:t>
            </w:r>
          </w:p>
        </w:tc>
      </w:tr>
      <w:tr>
        <w:trPr>
          <w:trHeight w:val="243"/>
        </w:trPr>
        <w:tc>
          <w:tcPr>
            <w:tcW w:w="3660" w:type="dxa"/>
            <w:vAlign w:val="bottom"/>
            <w:gridSpan w:val="2"/>
          </w:tcPr>
          <w:p>
            <w:pPr>
              <w:ind w:left="20"/>
              <w:spacing w:after="0"/>
              <w:rPr>
                <w:sz w:val="20"/>
                <w:szCs w:val="20"/>
                <w:color w:val="auto"/>
              </w:rPr>
            </w:pPr>
            <w:r>
              <w:rPr>
                <w:rFonts w:ascii="Arial" w:cs="Arial" w:eastAsia="Arial" w:hAnsi="Arial"/>
                <w:sz w:val="18"/>
                <w:szCs w:val="18"/>
                <w:b w:val="1"/>
                <w:bCs w:val="1"/>
                <w:color w:val="auto"/>
              </w:rPr>
              <w:t>Performance Metric</w:t>
            </w: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Threshold (25%)</w:t>
            </w:r>
          </w:p>
        </w:tc>
        <w:tc>
          <w:tcPr>
            <w:tcW w:w="1480" w:type="dxa"/>
            <w:vAlign w:val="bottom"/>
            <w:gridSpan w:val="2"/>
          </w:tcPr>
          <w:p>
            <w:pPr>
              <w:ind w:left="140"/>
              <w:spacing w:after="0"/>
              <w:rPr>
                <w:sz w:val="20"/>
                <w:szCs w:val="20"/>
                <w:color w:val="auto"/>
              </w:rPr>
            </w:pPr>
            <w:r>
              <w:rPr>
                <w:rFonts w:ascii="Arial" w:cs="Arial" w:eastAsia="Arial" w:hAnsi="Arial"/>
                <w:sz w:val="18"/>
                <w:szCs w:val="18"/>
                <w:b w:val="1"/>
                <w:bCs w:val="1"/>
                <w:color w:val="auto"/>
              </w:rPr>
              <w:t>Target (100%)</w:t>
            </w:r>
          </w:p>
        </w:tc>
        <w:tc>
          <w:tcPr>
            <w:tcW w:w="1420" w:type="dxa"/>
            <w:vAlign w:val="bottom"/>
          </w:tcPr>
          <w:p>
            <w:pPr>
              <w:jc w:val="right"/>
              <w:ind w:right="330"/>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1"/>
                <w:szCs w:val="21"/>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Performance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9"/>
              </w:rPr>
              <w:t>Achieved</w:t>
            </w: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Relative TSR Percentile</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1"/>
              </w:rPr>
              <w:t>25th</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1"/>
              </w:rPr>
              <w:t>50th</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w w:val="91"/>
              </w:rPr>
              <w:t>75th</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940"/>
              <w:spacing w:after="0" w:line="223" w:lineRule="exact"/>
              <w:rPr>
                <w:sz w:val="20"/>
                <w:szCs w:val="20"/>
                <w:color w:val="auto"/>
              </w:rPr>
            </w:pPr>
            <w:r>
              <w:rPr>
                <w:rFonts w:ascii="Arial" w:cs="Arial" w:eastAsia="Arial" w:hAnsi="Arial"/>
                <w:sz w:val="18"/>
                <w:szCs w:val="18"/>
                <w:color w:val="auto"/>
                <w:w w:val="85"/>
              </w:rPr>
              <w:t>28th</w:t>
            </w:r>
            <w:r>
              <w:rPr>
                <w:rFonts w:ascii="Arial" w:cs="Arial" w:eastAsia="Arial" w:hAnsi="Arial"/>
                <w:sz w:val="23"/>
                <w:szCs w:val="23"/>
                <w:color w:val="auto"/>
                <w:w w:val="85"/>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35.2 %</w:t>
            </w:r>
          </w:p>
        </w:tc>
      </w:tr>
    </w:tbl>
    <w:p>
      <w:pPr>
        <w:spacing w:after="0" w:line="229" w:lineRule="exact"/>
        <w:rPr>
          <w:sz w:val="20"/>
          <w:szCs w:val="20"/>
          <w:color w:val="auto"/>
        </w:rPr>
      </w:pPr>
    </w:p>
    <w:p>
      <w:pPr>
        <w:jc w:val="both"/>
        <w:ind w:left="660" w:hanging="328"/>
        <w:spacing w:after="0" w:line="263" w:lineRule="auto"/>
        <w:tabs>
          <w:tab w:leader="none" w:pos="654"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a result of Brady's removal from the Russell 2000 Index in the fourth quarter of fiscal 2023 for not meeting the minimum voting rights hurdle, the Management Development and Compensation Committee approved a modification to the PRSU awards for active employees to end the performance period as of April 30, 2023. There was no incremental fair value associated with this modification.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Elements of Compensation</w:t>
      </w:r>
    </w:p>
    <w:p>
      <w:pPr>
        <w:spacing w:after="0" w:line="1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 xml:space="preserve">Health and Welfare Benefits: </w:t>
      </w:r>
      <w:r>
        <w:rPr>
          <w:rFonts w:ascii="Arial" w:cs="Arial" w:eastAsia="Arial" w:hAnsi="Arial"/>
          <w:sz w:val="17"/>
          <w:szCs w:val="17"/>
          <w:color w:val="auto"/>
        </w:rPr>
        <w:t>We provide subsidized health and welfare benefits which include medical, dental, life and disability insurance and paid time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 Executive officers are entitled to participate in our health and welfare plans on generally the same terms and conditions as other employees, subject to limitations under applicable law. In addition, the Company maintains a supplemental long-term disability policy for its U.S. executives. The supplemental long-term disability policy provides for an additional 15% of compensation, up to a maximum additional benefit of $5,000 per month. Brady pays the premiums for these benefits; therefore, these benefits represent taxable benefits to the executive.</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Retirement Benefits: </w:t>
      </w:r>
      <w:r>
        <w:rPr>
          <w:rFonts w:ascii="Arial" w:cs="Arial" w:eastAsia="Arial" w:hAnsi="Arial"/>
          <w:sz w:val="18"/>
          <w:szCs w:val="18"/>
          <w:color w:val="auto"/>
        </w:rPr>
        <w:t>Brady employees (including NEOs) in the United States and certain expatriate employees working for its international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eligible to participate in the Brady Corporation Matched 401(k) Plan (the “Matched 401(k) Plan”). NEOs in the United States and employees at certain United States locations are also eligible to participate in the Brady Corporation Funded Retirement Plan (“Funded Retirement Plan”). In addition, certain Brady international employees are eligible to participate in Company sponsored statutory and supplementary defined benefit pension plans that are primarily unfunded and provide an income benefit upon termination or retirement. Mr. Deman is the only NEO who participated in a defined benefit pension plan.</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Funded Retirement Plan is a defined contribution plan through which the Company contributes 4% of the annual wages of each eligible participant. In addition, participants may elect to defer up to 5% of their annual wages into the Matched 401(k) Plan, which is matched up to an additional 4% contribution from the Company. Participants may elect to contribute an additional 45% of their eligible earnings to their Matched 401(k) Plan account without an additional matching contribution from the Company, which is subject to specified maximum limits allowed by the Internal Revenue Service ("IRS"). The assets of the Matched 401(k) Plan and Funded Retirement Plan credited to each participant are invested by the trustee of the Plans as directed by each plan participant in a variety of investment funds as permitted by the Plans. Participants in the Matched 401(k) Plan become fully vested in employer contributions over a two-year period of continuous service. Employer contributions to the Funded Retirement Plan become fully vested over a six-year period of continuous service.</w:t>
      </w:r>
    </w:p>
    <w:p>
      <w:pPr>
        <w:spacing w:after="0" w:line="1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Benefits are generally payable upon the death, disability, or retirement of the participant, or upon termination of employment before retirement, although benefits may be withdrawn from the Matched 401(k) Plan and paid to the participant in certain circumstances. Under certain specified circumstances, the Matched 401(k) Plan allows a participant to withdraw loans on their account.</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Deferred Compensation Arrangements: </w:t>
      </w:r>
      <w:r>
        <w:rPr>
          <w:rFonts w:ascii="Arial" w:cs="Arial" w:eastAsia="Arial" w:hAnsi="Arial"/>
          <w:sz w:val="16"/>
          <w:szCs w:val="16"/>
          <w:color w:val="auto"/>
        </w:rPr>
        <w:t>The Company has two deferred compensation plans, the Executive Deferred Compensation Plan and the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Deferred Compensation Plan, that allow for compensation to be deferred into either the Company’s Class A Nonvoting Common Stock or other investment funds. Both the Director Deferred Compensation and the Executive Deferred Compensation Plans disallow transfers from other investment funds into the Company’s Class A Nonvoting Stock, and both disallow transfers from the Company’s Class A Nonvoting Stock into other investment funds. The assets in both deferred compensation plans are held in a Rabbi Trust and are invested by the trustee as directed by the participant. Executives and directors may elect whether to receive their account balance following termination of employment in a single lump sum payment or by means of distribution under an annual installment method. Distributions of the Company’s Class A Nonvoting Common Stock are made in-kind; distributions of mutual funds are made in cash.</w:t>
      </w:r>
    </w:p>
    <w:p>
      <w:pPr>
        <w:spacing w:after="0" w:line="11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Executives are eligible to participate in the Brady Restoration Plan, which is a non-qualified deferred compensation plan that allows an equivalent benefit to the Matched 401(k) Plan and the Funded Retirement Plan for executives' income exceeding the IRS limits of participation in a qualified 401(k) plan.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Perquisites: </w:t>
      </w:r>
      <w:r>
        <w:rPr>
          <w:rFonts w:ascii="Arial" w:cs="Arial" w:eastAsia="Arial" w:hAnsi="Arial"/>
          <w:sz w:val="18"/>
          <w:szCs w:val="18"/>
          <w:color w:val="auto"/>
        </w:rPr>
        <w:t>Brady generally provides executives with the following perquisites:</w:t>
      </w:r>
    </w:p>
    <w:p>
      <w:pPr>
        <w:spacing w:after="0" w:line="171"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planning and tax preparation;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Company car or car allowance;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Physical examination;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Long-term care insurance;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Personal liability insurance.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Requirements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order to encourage our executive officers and directors to acquire and retain ownership of a significant number of shares of the Company's stock, stock ownership requirements have been established.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20" w:type="dxa"/>
            <w:vAlign w:val="bottom"/>
          </w:tcPr>
          <w:p>
            <w:pPr>
              <w:ind w:left="340"/>
              <w:spacing w:after="0"/>
              <w:rPr>
                <w:sz w:val="20"/>
                <w:szCs w:val="20"/>
                <w:color w:val="auto"/>
              </w:rPr>
            </w:pPr>
            <w:r>
              <w:rPr>
                <w:rFonts w:ascii="Arial" w:cs="Arial" w:eastAsia="Arial" w:hAnsi="Arial"/>
                <w:sz w:val="18"/>
                <w:szCs w:val="18"/>
                <w:color w:val="auto"/>
              </w:rPr>
              <w:t>The Board of Directors has established the following stock ownership requirements for our NEOs:</w:t>
            </w:r>
          </w:p>
        </w:tc>
        <w:tc>
          <w:tcPr>
            <w:tcW w:w="2600" w:type="dxa"/>
            <w:vAlign w:val="bottom"/>
          </w:tcPr>
          <w:p>
            <w:pPr>
              <w:spacing w:after="0"/>
              <w:rPr>
                <w:sz w:val="20"/>
                <w:szCs w:val="20"/>
                <w:color w:val="auto"/>
              </w:rPr>
            </w:pPr>
          </w:p>
        </w:tc>
      </w:tr>
      <w:tr>
        <w:trPr>
          <w:trHeight w:val="189"/>
        </w:trPr>
        <w:tc>
          <w:tcPr>
            <w:tcW w:w="862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R.R. Shaller</w:t>
            </w:r>
          </w:p>
        </w:tc>
        <w:tc>
          <w:tcPr>
            <w:tcW w:w="26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7"/>
              </w:rPr>
              <w:t>5 times base salary</w:t>
            </w:r>
          </w:p>
        </w:tc>
      </w:tr>
      <w:tr>
        <w:trPr>
          <w:trHeight w:val="230"/>
        </w:trPr>
        <w:tc>
          <w:tcPr>
            <w:tcW w:w="8620" w:type="dxa"/>
            <w:vAlign w:val="bottom"/>
          </w:tcPr>
          <w:p>
            <w:pPr>
              <w:ind w:left="20"/>
              <w:spacing w:after="0"/>
              <w:rPr>
                <w:sz w:val="20"/>
                <w:szCs w:val="20"/>
                <w:color w:val="auto"/>
              </w:rPr>
            </w:pPr>
            <w:r>
              <w:rPr>
                <w:rFonts w:ascii="Arial" w:cs="Arial" w:eastAsia="Arial" w:hAnsi="Arial"/>
                <w:sz w:val="18"/>
                <w:szCs w:val="18"/>
                <w:color w:val="auto"/>
              </w:rPr>
              <w:t>A.E. Thornton</w:t>
            </w:r>
          </w:p>
        </w:tc>
        <w:tc>
          <w:tcPr>
            <w:tcW w:w="2600" w:type="dxa"/>
            <w:vAlign w:val="bottom"/>
          </w:tcPr>
          <w:p>
            <w:pPr>
              <w:ind w:left="1220"/>
              <w:spacing w:after="0"/>
              <w:rPr>
                <w:sz w:val="20"/>
                <w:szCs w:val="20"/>
                <w:color w:val="auto"/>
              </w:rPr>
            </w:pPr>
            <w:r>
              <w:rPr>
                <w:rFonts w:ascii="Arial" w:cs="Arial" w:eastAsia="Arial" w:hAnsi="Arial"/>
                <w:sz w:val="18"/>
                <w:szCs w:val="18"/>
                <w:color w:val="auto"/>
                <w:w w:val="87"/>
              </w:rPr>
              <w:t>3 times base salary</w:t>
            </w:r>
          </w:p>
        </w:tc>
      </w:tr>
      <w:tr>
        <w:trPr>
          <w:trHeight w:val="229"/>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 Bojarski</w:t>
            </w:r>
          </w:p>
        </w:tc>
        <w:tc>
          <w:tcPr>
            <w:tcW w:w="26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7"/>
              </w:rPr>
              <w:t>3 times base salary</w:t>
            </w: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B.N. Curran</w:t>
            </w:r>
          </w:p>
        </w:tc>
        <w:tc>
          <w:tcPr>
            <w:tcW w:w="2600" w:type="dxa"/>
            <w:vAlign w:val="bottom"/>
          </w:tcPr>
          <w:p>
            <w:pPr>
              <w:ind w:left="1220"/>
              <w:spacing w:after="0"/>
              <w:rPr>
                <w:sz w:val="20"/>
                <w:szCs w:val="20"/>
                <w:color w:val="auto"/>
              </w:rPr>
            </w:pPr>
            <w:r>
              <w:rPr>
                <w:rFonts w:ascii="Arial" w:cs="Arial" w:eastAsia="Arial" w:hAnsi="Arial"/>
                <w:sz w:val="18"/>
                <w:szCs w:val="18"/>
                <w:color w:val="auto"/>
                <w:w w:val="87"/>
              </w:rPr>
              <w:t>2 times base salary</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Gorman</w:t>
            </w:r>
          </w:p>
        </w:tc>
        <w:tc>
          <w:tcPr>
            <w:tcW w:w="26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7"/>
              </w:rPr>
              <w:t>2 times base salary</w:t>
            </w:r>
          </w:p>
        </w:tc>
      </w:tr>
      <w:tr>
        <w:trPr>
          <w:trHeight w:val="229"/>
        </w:trPr>
        <w:tc>
          <w:tcPr>
            <w:tcW w:w="8620" w:type="dxa"/>
            <w:vAlign w:val="bottom"/>
          </w:tcPr>
          <w:p>
            <w:pPr>
              <w:ind w:left="20"/>
              <w:spacing w:after="0"/>
              <w:rPr>
                <w:sz w:val="20"/>
                <w:szCs w:val="20"/>
                <w:color w:val="auto"/>
              </w:rPr>
            </w:pPr>
            <w:r>
              <w:rPr>
                <w:rFonts w:ascii="Arial" w:cs="Arial" w:eastAsia="Arial" w:hAnsi="Arial"/>
                <w:sz w:val="18"/>
                <w:szCs w:val="18"/>
                <w:color w:val="auto"/>
              </w:rPr>
              <w:t>P. Deman</w:t>
            </w:r>
          </w:p>
        </w:tc>
        <w:tc>
          <w:tcPr>
            <w:tcW w:w="2600" w:type="dxa"/>
            <w:vAlign w:val="bottom"/>
          </w:tcPr>
          <w:p>
            <w:pPr>
              <w:ind w:left="1220"/>
              <w:spacing w:after="0"/>
              <w:rPr>
                <w:sz w:val="20"/>
                <w:szCs w:val="20"/>
                <w:color w:val="auto"/>
              </w:rPr>
            </w:pPr>
            <w:r>
              <w:rPr>
                <w:rFonts w:ascii="Arial" w:cs="Arial" w:eastAsia="Arial" w:hAnsi="Arial"/>
                <w:sz w:val="18"/>
                <w:szCs w:val="18"/>
                <w:color w:val="auto"/>
                <w:w w:val="87"/>
              </w:rPr>
              <w:t>2 times base salary</w:t>
            </w:r>
          </w:p>
        </w:tc>
      </w:tr>
      <w:tr>
        <w:trPr>
          <w:trHeight w:val="230"/>
        </w:trPr>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A.J. Pearce</w:t>
            </w:r>
          </w:p>
        </w:tc>
        <w:tc>
          <w:tcPr>
            <w:tcW w:w="2600" w:type="dxa"/>
            <w:vAlign w:val="bottom"/>
            <w:shd w:val="clear" w:color="auto" w:fill="CCEEFF"/>
          </w:tcPr>
          <w:p>
            <w:pPr>
              <w:ind w:left="1220"/>
              <w:spacing w:after="0"/>
              <w:rPr>
                <w:sz w:val="20"/>
                <w:szCs w:val="20"/>
                <w:color w:val="auto"/>
              </w:rPr>
            </w:pPr>
            <w:r>
              <w:rPr>
                <w:rFonts w:ascii="Arial" w:cs="Arial" w:eastAsia="Arial" w:hAnsi="Arial"/>
                <w:sz w:val="18"/>
                <w:szCs w:val="18"/>
                <w:color w:val="auto"/>
                <w:w w:val="87"/>
              </w:rPr>
              <w:t>3 times base salary</w:t>
            </w:r>
          </w:p>
        </w:tc>
      </w:tr>
    </w:tbl>
    <w:p>
      <w:pPr>
        <w:spacing w:after="0" w:line="2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NEOs are expected to meet their ownership requirement within five years of becoming an executive officer and may not sell shares, other than to cover tax withholding requirements associated with the vesting or exercise of an equity award, until such time as they meet the requirements. All NEOs were in compliance with their respective ownership requirements as of July 31, 2023. If an executive does not meet his or her ownership requirement within five years, the Committee may direct that the executive's after-tax payout on any incentive plans will be in Class A Nonvoting Common Stock in order to satisfy the executive’s ownership requirement.</w:t>
      </w:r>
    </w:p>
    <w:p>
      <w:pPr>
        <w:spacing w:after="0" w:line="1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Actual stock ownership of each NEO is reviewed on an annual basis to ensure the guidelines are met. The following equity balances are included for purposes of determining whether an executive meets his or her ownership requirements: the fair market values of Company stock owned, Company stock held in the Executive Deferred Compensation Plan, RSUs, and the value of vested and “in the money” stock options. The fair market value of PRSUs are excluded from the determination of executive ownership levels.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 and Anti-Hedging Policy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Insider Trading Policy prohibits hedging and other monetization transactions in Company securities by officers, directors and employees. The prohibition of hedging transactions includes financial instruments such as prepaid variable forwards, equity swaps, collars and exchange funds. The Insider Trading Policy also prohibits the pledging of Company stock as collateral for loans or holding Company securities in a margin account by officers, directors or employees.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Offer Letters</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entered into an employment offer letter dated August 3, 2022 with Mr. Bojarski. The offer letter provided that Mr. Bojarski receive an annual base salary of $440,000, with eligibility for a target annual bonus at 75% of base salary, a recommendation for a fiscal 2024 annual equity award with a grant date value of $682,000, a cash sign-on bonus of $200,000, and ability to participate in the Company’s equity incentive and other benefit plans on a basis similar to other executive officers, including a car allowance. The offer letter further provided that Mr. Bojarski receive a sign-on award of time-based RSUs with a grant date value of $600,000 granted on the hire date. The RSU award will vest in equal increments upon the first, second and third anniversaries of the grant date. Pursuant to the terms of the offer letter, Mr. Bojarski received a reimbursement, not to exceed $200,000, for relocation expenses.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her appointment as Chief Financial Officer, the Company entered into an employment offer letter dated April 14, 2023 with Ms. Thornton. The offer letter provided that Ms. Thornton would receive an annual base salary of $450,000, with eligibility for a target annual bonus at 70% of base salary, a fiscal 2024 annual equity award with a grant date value of $675,000, and ability participate in the Company’s equity incentive and other benefit plans on a basis similar to other executive officers.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of Control Agreements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August 25, 2022, the Company entered into a Change of Control Agreement with Mr. Bojarski. Under the terms of the Change of Control Agreement, in the event of a qualifying termination within 24 months following a change of control (as such events are defined in the Change of Control Agreement), Mr. Bojarski will receive two times his annual base salary and two times his target bonus amount in effect immediately prior to the date the change of control occurs.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April 14, 2023, the Company also entered into a Change of Control Agreement with Ms. Thornton. Under the terms of the Change of Control Agreement, in the event of a qualifying termination within 24 months following a change of control (as such events are defined in the Change of Control Agreement), Ms. Thornton will receive two times her annual base salary and two times her target bonus amount in effect immediately prior to the date the change of control occurs.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Board of Directors previously approved change of control agreements for all of the other NEOs of the Company. The agreements applicable to the NEOs provide a payment of an amount commensurate to a multiple of their salary and annual cash incentive payment, as specified in their respective agreement, prior to the date the change of control occurs in the event of termination or resignation for good cause upon a change of control. All of the NEO's agreements provide for up to $25,000 of attorney fees to enforce the executive's rights under the agreement. Payments under the agreement will be made over two years.</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Under the terms of the 2012 and 2017 Omnibus Incentive Stock Plans, in the event of (a) the merger or consolidation of the Company with or into another corporation or corporations in which the Company is not the surviving corporation, (b) the adoption of any plan for the dissolution of the Company, or (c) the sale or exchange of all or substantially all the assets of the Company for cash or for shares of stock or other securities of another corporation, all then-unexercised stock options become fully exercisable and all restrictions placed on restricted stock, and performance-based and time-based restricted stock units will lapse. If any stock option is canceled subsequent to the events described above, the Company or the corporation assuming the obligations of the Company, shall pay an amount of cash or stock equal to the in-the-money value of the canceled stock options. The awards granted under the 2017 Omnibus Incentive Plan provide for either accelerated or continuation of vesting of stock options and RSUs upon termination due to retirement, for which the eligibility criteria is 60 years of age and 5 years of service.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Non-Compete/Non-Solicitation/Confidentiality</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Equity awards under the Company's 2012 Omnibus Incentive Stock and 2017 Omnibus Incentive Plans contain non-competition, non-solicitation and confidential information covenants applicable to the award recipients. The confidential information covenant prohibits the use, disclosure, copying or duplication of the Company's confidential information other than in the course of authorized activities conducted in the course of the recipient's employment with the Company. The other covenants prohibit the NEOs for 12 months after termination of employment with the Company, from (i) performing duties for or as a competitor of the Company which are the same or similar to those performed by the recipient in the 24 months prior to termination of employment with the Company, (ii) soliciting customers for the sale of competitive products, (iii) soliciting employees to join a competitor or otherwise terminate their relationship with the Company, or (iv) interfering in the Company's relationships with its vendors and suppliers.</w:t>
      </w:r>
    </w:p>
    <w:p>
      <w:pPr>
        <w:spacing w:after="0" w:line="123" w:lineRule="exact"/>
        <w:rPr>
          <w:sz w:val="20"/>
          <w:szCs w:val="20"/>
          <w:color w:val="auto"/>
        </w:rPr>
      </w:pPr>
    </w:p>
    <w:p>
      <w:pPr>
        <w:ind w:right="480" w:firstLine="324"/>
        <w:spacing w:after="0" w:line="438" w:lineRule="auto"/>
        <w:rPr>
          <w:sz w:val="20"/>
          <w:szCs w:val="20"/>
          <w:color w:val="auto"/>
        </w:rPr>
      </w:pPr>
      <w:r>
        <w:rPr>
          <w:rFonts w:ascii="Arial" w:cs="Arial" w:eastAsia="Arial" w:hAnsi="Arial"/>
          <w:sz w:val="18"/>
          <w:szCs w:val="18"/>
          <w:color w:val="auto"/>
        </w:rPr>
        <w:t xml:space="preserve">The Company also entered into a Non-Compete and Non-Disclosure Agreement with Mr. Bojarski as part of his appointment on August 3, 2022. </w:t>
      </w:r>
      <w:r>
        <w:rPr>
          <w:rFonts w:ascii="Arial" w:cs="Arial" w:eastAsia="Arial" w:hAnsi="Arial"/>
          <w:sz w:val="18"/>
          <w:szCs w:val="18"/>
          <w:b w:val="1"/>
          <w:bCs w:val="1"/>
          <w:color w:val="auto"/>
        </w:rPr>
        <w:t>Tax Considerations</w:t>
      </w:r>
    </w:p>
    <w:p>
      <w:pPr>
        <w:spacing w:after="0" w:line="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Section 162(m) of the Internal Revenue Code generally disallows a federal income tax deduction to publicly traded companies for compensation in excess of $1 million per year paid to certain current and former executive officers. Historically, the $1 million deduction limit generally has not applied to compensation that satisfies IRS requirements for qualified performance-based compensation. Effective for tax years beginning after July 31, 2018, the exemption for qualified performance-based compensation from the deduction limitation of Code Section 162(m) has been repealed, unless transition relief for certain compensation arrangements in place as of November 2, 2017 is available.</w:t>
      </w:r>
    </w:p>
    <w:p>
      <w:pPr>
        <w:spacing w:after="0" w:line="12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Committee's intent is to preserve the deductibility of executive compensation to the extent reasonably practicable and to the extent consistent with its other compensation objectives. However, the Committee believes Section 162(m) is only one of several relevant considerations in establishing executive compensation and believes Section 162(m) implications should not compromise its ability to design and maintain executive compensation arrangements intended to, among other things, attract, motivate and help retain a highly qualified and successful management team to lead the Company. As a result, the Committee retains the flexibility to provide compensation it determines to be in the best interests of the Company and its shareholders even if that compensation ultimately is not tax deductible. Moreover, even if we have in the past intended to grant qualifying performance-based compensation for purposes of Section 162(m), we cannot guarantee that such compensation will so qualify or ultimately will be deductible by us.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Considerations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 reviewing preliminary recommendations and in connection with approving the terms of a given incentive plan, management and the Committee review and consider the accounting implications of a compensation arrangement, including the estimated expense and other accounting and disclosure requirements. With consideration of the accounting treatment associated with an incentive plan design, management and the Committee may alter or modify the incentive award if the award and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related accounting consequences were to adversely affect our financial performance.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Interlocks and Insider Participation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fiscal 2023, the Committee was composed of Mses. Collins Smee, Gioia, Williams and Messrs. Bem and Richardson. There are no relationships among the Company's executive officers, members of the Committee or entities whose executives serve on the Board that require disclosure under applicable SEC regulations.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Development and Compensation Committee Report</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Committee has reviewed and discussed the Compensation Discussion and Analysis with management; based on the review and discussions, the Committee recommended to the Board of Directors that the Compensation Discussion and Analysis be included in the Company's Annual Report on Form 10-K.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Nancy Gioia, Chair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David Bem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Joanne Collins Smee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Bradley Richardson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Michelle Williams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Policies and Practices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 believes that its compensation policies, practices, and procedures for executive officers and all other employees are designed to avoid incentives that create unnecessary or excessive risks that are reasonably likely to have a material adverse effect on the Company. The Company's compensation programs are weighted towards offering long-term incentives that reward sustainable performance; do not offer significant short-term incentives that might drive high-risk investments at the expense of long-term Company value; and are set at reasonable and sustainable levels, as determined by a review of the Company's economic position, as well as the compensation offered by comparable companies. Under the oversight of its Audit and Management Development and Compensation Committees, the Company reviewed its compensation policies, practices and procedures for all employees, including executive officers, to evaluate and ensure that they did not foster risk-taking beyond that deemed acceptable within the Company's business model.</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sets forth compensation awarded to, earned by, or paid to the NEOs, who served as executive officers during the year ended July 31, 2023, for services rendered as an executive officer to the Company and its subsidiaries during the years ended July 31, 2023, July 31, 2022 and July 31,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6"/>
              </w:rPr>
              <w:t>Option</w:t>
            </w:r>
          </w:p>
        </w:tc>
        <w:tc>
          <w:tcPr>
            <w:tcW w:w="14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Non-Equity</w:t>
            </w:r>
          </w:p>
        </w:tc>
        <w:tc>
          <w:tcPr>
            <w:tcW w:w="120" w:type="dxa"/>
            <w:vAlign w:val="bottom"/>
          </w:tcPr>
          <w:p>
            <w:pPr>
              <w:spacing w:after="0"/>
              <w:rPr>
                <w:sz w:val="16"/>
                <w:szCs w:val="16"/>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7"/>
              </w:rPr>
              <w:t>All Other</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Fiscal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Salary</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Stock Awards</w:t>
            </w: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Incentive Plan</w:t>
            </w: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14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7"/>
              </w:rPr>
              <w:t>Name and Principal Position</w:t>
            </w: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86"/>
              </w:rPr>
              <w:t>Bonus ($)</w:t>
            </w:r>
          </w:p>
        </w:tc>
        <w:tc>
          <w:tcPr>
            <w:tcW w:w="120" w:type="dxa"/>
            <w:vAlign w:val="bottom"/>
            <w:vMerge w:val="restart"/>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Awards</w:t>
            </w:r>
          </w:p>
        </w:tc>
        <w:tc>
          <w:tcPr>
            <w:tcW w:w="140" w:type="dxa"/>
            <w:vAlign w:val="bottom"/>
          </w:tcPr>
          <w:p>
            <w:pPr>
              <w:spacing w:after="0"/>
              <w:rPr>
                <w:sz w:val="14"/>
                <w:szCs w:val="14"/>
                <w:color w:val="auto"/>
              </w:rPr>
            </w:pPr>
          </w:p>
        </w:tc>
        <w:tc>
          <w:tcPr>
            <w:tcW w:w="13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Compensation</w:t>
            </w:r>
          </w:p>
        </w:tc>
        <w:tc>
          <w:tcPr>
            <w:tcW w:w="2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7"/>
              </w:rPr>
              <w:t>($)(2)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7"/>
              </w:rPr>
              <w:t>($)(3)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7"/>
              </w:rPr>
              <w:t>($)(4)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3"/>
        </w:trPr>
        <w:tc>
          <w:tcPr>
            <w:tcW w:w="2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94"/>
              </w:rPr>
              <w:t>R.R. Shaller, President, CEO &amp;</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774,808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1,164,390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1,162,212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141,087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3,242,497</w:t>
            </w:r>
          </w:p>
        </w:tc>
        <w:tc>
          <w:tcPr>
            <w:tcW w:w="0" w:type="dxa"/>
            <w:vAlign w:val="bottom"/>
          </w:tcPr>
          <w:p>
            <w:pPr>
              <w:spacing w:after="0"/>
              <w:rPr>
                <w:sz w:val="1"/>
                <w:szCs w:val="1"/>
                <w:color w:val="auto"/>
              </w:rPr>
            </w:pPr>
          </w:p>
        </w:tc>
      </w:tr>
      <w:tr>
        <w:trPr>
          <w:trHeight w:val="118"/>
        </w:trPr>
        <w:tc>
          <w:tcPr>
            <w:tcW w:w="2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502,779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1,608,387</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1,000,505</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737,828</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119,055</w:t>
            </w: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3,968,554</w:t>
            </w:r>
          </w:p>
        </w:tc>
        <w:tc>
          <w:tcPr>
            <w:tcW w:w="0" w:type="dxa"/>
            <w:vAlign w:val="bottom"/>
          </w:tcPr>
          <w:p>
            <w:pPr>
              <w:spacing w:after="0"/>
              <w:rPr>
                <w:sz w:val="1"/>
                <w:szCs w:val="1"/>
                <w:color w:val="auto"/>
              </w:rPr>
            </w:pPr>
          </w:p>
        </w:tc>
      </w:tr>
      <w:tr>
        <w:trPr>
          <w:trHeight w:val="139"/>
        </w:trPr>
        <w:tc>
          <w:tcPr>
            <w:tcW w:w="2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 xml:space="preserve">Director </w:t>
            </w:r>
            <w:r>
              <w:rPr>
                <w:rFonts w:ascii="Arial" w:cs="Arial" w:eastAsia="Arial" w:hAnsi="Arial"/>
                <w:sz w:val="21"/>
                <w:szCs w:val="21"/>
                <w:color w:val="auto"/>
                <w:vertAlign w:val="superscript"/>
              </w:rPr>
              <w:t>(5)</w:t>
            </w:r>
          </w:p>
        </w:tc>
        <w:tc>
          <w:tcPr>
            <w:tcW w:w="10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1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400,151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518,416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225,005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658,356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63,909</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1,865,837</w:t>
            </w:r>
          </w:p>
        </w:tc>
        <w:tc>
          <w:tcPr>
            <w:tcW w:w="0" w:type="dxa"/>
            <w:vAlign w:val="bottom"/>
          </w:tcPr>
          <w:p>
            <w:pPr>
              <w:spacing w:after="0"/>
              <w:rPr>
                <w:sz w:val="1"/>
                <w:szCs w:val="1"/>
                <w:color w:val="auto"/>
              </w:rPr>
            </w:pPr>
          </w:p>
        </w:tc>
      </w:tr>
      <w:tr>
        <w:trPr>
          <w:trHeight w:val="123"/>
        </w:trPr>
        <w:tc>
          <w:tcPr>
            <w:tcW w:w="2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vMerge w:val="continue"/>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84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140" w:type="dxa"/>
            <w:vAlign w:val="bottom"/>
            <w:vMerge w:val="restart"/>
          </w:tcPr>
          <w:p>
            <w:pPr>
              <w:ind w:left="20"/>
              <w:spacing w:after="0"/>
              <w:rPr>
                <w:sz w:val="20"/>
                <w:szCs w:val="20"/>
                <w:color w:val="auto"/>
              </w:rPr>
            </w:pPr>
            <w:r>
              <w:rPr>
                <w:rFonts w:ascii="Arial" w:cs="Arial" w:eastAsia="Arial" w:hAnsi="Arial"/>
                <w:sz w:val="16"/>
                <w:szCs w:val="16"/>
                <w:color w:val="auto"/>
              </w:rPr>
              <w:t>A.E. Thornton, CFO, CAO &amp;</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2023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314,614</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50,025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50,060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203,881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44,423</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663,003</w:t>
            </w:r>
          </w:p>
        </w:tc>
        <w:tc>
          <w:tcPr>
            <w:tcW w:w="0" w:type="dxa"/>
            <w:vAlign w:val="bottom"/>
          </w:tcPr>
          <w:p>
            <w:pPr>
              <w:spacing w:after="0"/>
              <w:rPr>
                <w:sz w:val="1"/>
                <w:szCs w:val="1"/>
                <w:color w:val="auto"/>
              </w:rPr>
            </w:pPr>
          </w:p>
        </w:tc>
      </w:tr>
      <w:tr>
        <w:trPr>
          <w:trHeight w:val="104"/>
        </w:trPr>
        <w:tc>
          <w:tcPr>
            <w:tcW w:w="2140" w:type="dxa"/>
            <w:vAlign w:val="bottom"/>
            <w:vMerge w:val="continue"/>
          </w:tcPr>
          <w:p>
            <w:pPr>
              <w:spacing w:after="0"/>
              <w:rPr>
                <w:sz w:val="9"/>
                <w:szCs w:val="9"/>
                <w:color w:val="auto"/>
              </w:rPr>
            </w:pPr>
          </w:p>
        </w:tc>
        <w:tc>
          <w:tcPr>
            <w:tcW w:w="72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2022</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251,631</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40,031</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40,001</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188,912</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35,516</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556,091</w:t>
            </w:r>
          </w:p>
        </w:tc>
        <w:tc>
          <w:tcPr>
            <w:tcW w:w="0" w:type="dxa"/>
            <w:vAlign w:val="bottom"/>
          </w:tcPr>
          <w:p>
            <w:pPr>
              <w:spacing w:after="0"/>
              <w:rPr>
                <w:sz w:val="1"/>
                <w:szCs w:val="1"/>
                <w:color w:val="auto"/>
              </w:rPr>
            </w:pPr>
          </w:p>
        </w:tc>
      </w:tr>
      <w:tr>
        <w:trPr>
          <w:trHeight w:val="203"/>
        </w:trPr>
        <w:tc>
          <w:tcPr>
            <w:tcW w:w="2140" w:type="dxa"/>
            <w:vAlign w:val="bottom"/>
          </w:tcPr>
          <w:p>
            <w:pPr>
              <w:ind w:left="20"/>
              <w:spacing w:after="0" w:line="203" w:lineRule="exact"/>
              <w:rPr>
                <w:sz w:val="20"/>
                <w:szCs w:val="20"/>
                <w:color w:val="auto"/>
              </w:rPr>
            </w:pPr>
            <w:r>
              <w:rPr>
                <w:rFonts w:ascii="Arial" w:cs="Arial" w:eastAsia="Arial" w:hAnsi="Arial"/>
                <w:sz w:val="16"/>
                <w:szCs w:val="16"/>
                <w:color w:val="auto"/>
              </w:rPr>
              <w:t xml:space="preserve">Treasurer </w:t>
            </w:r>
            <w:r>
              <w:rPr>
                <w:rFonts w:ascii="Arial" w:cs="Arial" w:eastAsia="Arial" w:hAnsi="Arial"/>
                <w:sz w:val="21"/>
                <w:szCs w:val="21"/>
                <w:color w:val="auto"/>
                <w:vertAlign w:val="superscript"/>
              </w:rPr>
              <w:t>(6)</w:t>
            </w:r>
          </w:p>
        </w:tc>
        <w:tc>
          <w:tcPr>
            <w:tcW w:w="7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color w:val="auto"/>
                <w:w w:val="89"/>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225,800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37,525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37,504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200,498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18,148</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519,475</w:t>
            </w:r>
          </w:p>
        </w:tc>
        <w:tc>
          <w:tcPr>
            <w:tcW w:w="0" w:type="dxa"/>
            <w:vAlign w:val="bottom"/>
          </w:tcPr>
          <w:p>
            <w:pPr>
              <w:spacing w:after="0"/>
              <w:rPr>
                <w:sz w:val="1"/>
                <w:szCs w:val="1"/>
                <w:color w:val="auto"/>
              </w:rPr>
            </w:pPr>
          </w:p>
        </w:tc>
      </w:tr>
      <w:tr>
        <w:trPr>
          <w:trHeight w:val="149"/>
        </w:trPr>
        <w:tc>
          <w:tcPr>
            <w:tcW w:w="214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rPr>
              <w:t>O. Bojarski, President -</w:t>
            </w:r>
          </w:p>
        </w:tc>
        <w:tc>
          <w:tcPr>
            <w:tcW w:w="720" w:type="dxa"/>
            <w:vAlign w:val="bottom"/>
            <w:gridSpan w:val="2"/>
            <w:vMerge w:val="restart"/>
            <w:shd w:val="clear" w:color="auto" w:fill="CCEEFF"/>
          </w:tcPr>
          <w:p>
            <w:pPr>
              <w:jc w:val="center"/>
              <w:ind w:left="39"/>
              <w:spacing w:after="0"/>
              <w:rPr>
                <w:sz w:val="20"/>
                <w:szCs w:val="20"/>
                <w:color w:val="auto"/>
              </w:rPr>
            </w:pPr>
            <w:r>
              <w:rPr>
                <w:rFonts w:ascii="Arial" w:cs="Arial" w:eastAsia="Arial" w:hAnsi="Arial"/>
                <w:sz w:val="16"/>
                <w:szCs w:val="16"/>
                <w:color w:val="auto"/>
                <w:w w:val="89"/>
              </w:rPr>
              <w:t>2023</w:t>
            </w:r>
          </w:p>
        </w:tc>
        <w:tc>
          <w:tcPr>
            <w:tcW w:w="100" w:type="dxa"/>
            <w:vAlign w:val="bottom"/>
            <w:vMerge w:val="restart"/>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401,077</w:t>
            </w:r>
          </w:p>
        </w:tc>
        <w:tc>
          <w:tcPr>
            <w:tcW w:w="10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600,029</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387,290</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78,133</w:t>
            </w:r>
          </w:p>
        </w:tc>
        <w:tc>
          <w:tcPr>
            <w:tcW w:w="10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1,666,529</w:t>
            </w:r>
          </w:p>
        </w:tc>
        <w:tc>
          <w:tcPr>
            <w:tcW w:w="0" w:type="dxa"/>
            <w:vAlign w:val="bottom"/>
          </w:tcPr>
          <w:p>
            <w:pPr>
              <w:spacing w:after="0"/>
              <w:rPr>
                <w:sz w:val="1"/>
                <w:szCs w:val="1"/>
                <w:color w:val="auto"/>
              </w:rPr>
            </w:pPr>
          </w:p>
        </w:tc>
      </w:tr>
      <w:tr>
        <w:trPr>
          <w:trHeight w:val="217"/>
        </w:trPr>
        <w:tc>
          <w:tcPr>
            <w:tcW w:w="21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Americas &amp; Asia </w:t>
            </w:r>
            <w:r>
              <w:rPr>
                <w:rFonts w:ascii="Arial" w:cs="Arial" w:eastAsia="Arial" w:hAnsi="Arial"/>
                <w:sz w:val="21"/>
                <w:szCs w:val="21"/>
                <w:color w:val="auto"/>
                <w:vertAlign w:val="superscript"/>
              </w:rPr>
              <w:t>(7)</w:t>
            </w:r>
          </w:p>
        </w:tc>
        <w:tc>
          <w:tcPr>
            <w:tcW w:w="7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140" w:type="dxa"/>
            <w:vAlign w:val="bottom"/>
          </w:tcPr>
          <w:p>
            <w:pPr>
              <w:ind w:left="20"/>
              <w:spacing w:after="0"/>
              <w:rPr>
                <w:sz w:val="20"/>
                <w:szCs w:val="20"/>
                <w:color w:val="auto"/>
              </w:rPr>
            </w:pPr>
            <w:r>
              <w:rPr>
                <w:rFonts w:ascii="Arial" w:cs="Arial" w:eastAsia="Arial" w:hAnsi="Arial"/>
                <w:sz w:val="16"/>
                <w:szCs w:val="16"/>
                <w:color w:val="auto"/>
              </w:rPr>
              <w:t>B.N. Curran, VP, Digital</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2023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333,366</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151,926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60,060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240,023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81,120</w:t>
            </w:r>
          </w:p>
        </w:tc>
        <w:tc>
          <w:tcPr>
            <w:tcW w:w="10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866,495</w:t>
            </w:r>
          </w:p>
        </w:tc>
        <w:tc>
          <w:tcPr>
            <w:tcW w:w="0" w:type="dxa"/>
            <w:vAlign w:val="bottom"/>
          </w:tcPr>
          <w:p>
            <w:pPr>
              <w:spacing w:after="0"/>
              <w:rPr>
                <w:sz w:val="1"/>
                <w:szCs w:val="1"/>
                <w:color w:val="auto"/>
              </w:rPr>
            </w:pPr>
          </w:p>
        </w:tc>
      </w:tr>
      <w:tr>
        <w:trPr>
          <w:trHeight w:val="185"/>
        </w:trPr>
        <w:tc>
          <w:tcPr>
            <w:tcW w:w="2140" w:type="dxa"/>
            <w:vAlign w:val="bottom"/>
          </w:tcPr>
          <w:p>
            <w:pPr>
              <w:ind w:left="20"/>
              <w:spacing w:after="0"/>
              <w:rPr>
                <w:sz w:val="20"/>
                <w:szCs w:val="20"/>
                <w:color w:val="auto"/>
              </w:rPr>
            </w:pPr>
            <w:r>
              <w:rPr>
                <w:rFonts w:ascii="Arial" w:cs="Arial" w:eastAsia="Arial" w:hAnsi="Arial"/>
                <w:sz w:val="16"/>
                <w:szCs w:val="16"/>
                <w:color w:val="auto"/>
                <w:w w:val="94"/>
              </w:rPr>
              <w:t>Business and Chief Information</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324,664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149,592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60,002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278,562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93,838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906,658</w:t>
            </w:r>
          </w:p>
        </w:tc>
        <w:tc>
          <w:tcPr>
            <w:tcW w:w="0" w:type="dxa"/>
            <w:vAlign w:val="bottom"/>
          </w:tcPr>
          <w:p>
            <w:pPr>
              <w:spacing w:after="0"/>
              <w:rPr>
                <w:sz w:val="1"/>
                <w:szCs w:val="1"/>
                <w:color w:val="auto"/>
              </w:rPr>
            </w:pPr>
          </w:p>
        </w:tc>
      </w:tr>
      <w:tr>
        <w:trPr>
          <w:trHeight w:val="206"/>
        </w:trPr>
        <w:tc>
          <w:tcPr>
            <w:tcW w:w="2140" w:type="dxa"/>
            <w:vAlign w:val="bottom"/>
          </w:tcPr>
          <w:p>
            <w:pPr>
              <w:ind w:left="20"/>
              <w:spacing w:after="0"/>
              <w:rPr>
                <w:sz w:val="20"/>
                <w:szCs w:val="20"/>
                <w:color w:val="auto"/>
              </w:rPr>
            </w:pPr>
            <w:r>
              <w:rPr>
                <w:rFonts w:ascii="Arial" w:cs="Arial" w:eastAsia="Arial" w:hAnsi="Arial"/>
                <w:sz w:val="16"/>
                <w:szCs w:val="16"/>
                <w:color w:val="auto"/>
              </w:rPr>
              <w:t>Officer</w:t>
            </w:r>
          </w:p>
        </w:tc>
        <w:tc>
          <w:tcPr>
            <w:tcW w:w="72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316,952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153,632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66,669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322,194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69,294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928,741</w:t>
            </w:r>
          </w:p>
        </w:tc>
        <w:tc>
          <w:tcPr>
            <w:tcW w:w="0" w:type="dxa"/>
            <w:vAlign w:val="bottom"/>
          </w:tcPr>
          <w:p>
            <w:pPr>
              <w:spacing w:after="0"/>
              <w:rPr>
                <w:sz w:val="1"/>
                <w:szCs w:val="1"/>
                <w:color w:val="auto"/>
              </w:rPr>
            </w:pPr>
          </w:p>
        </w:tc>
      </w:tr>
      <w:tr>
        <w:trPr>
          <w:trHeight w:val="101"/>
        </w:trPr>
        <w:tc>
          <w:tcPr>
            <w:tcW w:w="2140" w:type="dxa"/>
            <w:vAlign w:val="bottom"/>
            <w:tcBorders>
              <w:bottom w:val="single" w:sz="8" w:color="CCEEFF"/>
            </w:tcBorders>
          </w:tcPr>
          <w:p>
            <w:pPr>
              <w:spacing w:after="0"/>
              <w:rPr>
                <w:sz w:val="8"/>
                <w:szCs w:val="8"/>
                <w:color w:val="auto"/>
              </w:rPr>
            </w:pPr>
          </w:p>
        </w:tc>
        <w:tc>
          <w:tcPr>
            <w:tcW w:w="720" w:type="dxa"/>
            <w:vAlign w:val="bottom"/>
            <w:tcBorders>
              <w:bottom w:val="single" w:sz="8" w:color="CCEEFF"/>
            </w:tcBorders>
            <w:gridSpan w:val="2"/>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4"/>
        </w:trPr>
        <w:tc>
          <w:tcPr>
            <w:tcW w:w="2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95"/>
              </w:rPr>
              <w:t>A.T. Gorman, General Counsel</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322,616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191,792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193,569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72,292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856,097</w:t>
            </w:r>
          </w:p>
        </w:tc>
        <w:tc>
          <w:tcPr>
            <w:tcW w:w="0" w:type="dxa"/>
            <w:vAlign w:val="bottom"/>
          </w:tcPr>
          <w:p>
            <w:pPr>
              <w:spacing w:after="0"/>
              <w:rPr>
                <w:sz w:val="1"/>
                <w:szCs w:val="1"/>
                <w:color w:val="auto"/>
              </w:rPr>
            </w:pPr>
          </w:p>
        </w:tc>
      </w:tr>
      <w:tr>
        <w:trPr>
          <w:trHeight w:val="104"/>
        </w:trPr>
        <w:tc>
          <w:tcPr>
            <w:tcW w:w="21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308,481</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188,792</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75,752</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220,564</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72,478</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866,067</w:t>
            </w:r>
          </w:p>
        </w:tc>
        <w:tc>
          <w:tcPr>
            <w:tcW w:w="0" w:type="dxa"/>
            <w:vAlign w:val="bottom"/>
          </w:tcPr>
          <w:p>
            <w:pPr>
              <w:spacing w:after="0"/>
              <w:rPr>
                <w:sz w:val="1"/>
                <w:szCs w:val="1"/>
                <w:color w:val="auto"/>
              </w:rPr>
            </w:pPr>
          </w:p>
        </w:tc>
      </w:tr>
      <w:tr>
        <w:trPr>
          <w:trHeight w:val="152"/>
        </w:trPr>
        <w:tc>
          <w:tcPr>
            <w:tcW w:w="2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and Secretary</w:t>
            </w:r>
          </w:p>
        </w:tc>
        <w:tc>
          <w:tcPr>
            <w:tcW w:w="100" w:type="dxa"/>
            <w:vAlign w:val="bottom"/>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1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176,648</w:t>
            </w:r>
          </w:p>
        </w:tc>
        <w:tc>
          <w:tcPr>
            <w:tcW w:w="10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76,675</w:t>
            </w: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254,135</w:t>
            </w: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46,289</w:t>
            </w:r>
          </w:p>
        </w:tc>
        <w:tc>
          <w:tcPr>
            <w:tcW w:w="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853,747</w:t>
            </w:r>
          </w:p>
        </w:tc>
        <w:tc>
          <w:tcPr>
            <w:tcW w:w="0" w:type="dxa"/>
            <w:vAlign w:val="bottom"/>
          </w:tcPr>
          <w:p>
            <w:pPr>
              <w:spacing w:after="0"/>
              <w:rPr>
                <w:sz w:val="1"/>
                <w:szCs w:val="1"/>
                <w:color w:val="auto"/>
              </w:rPr>
            </w:pPr>
          </w:p>
        </w:tc>
      </w:tr>
      <w:tr>
        <w:trPr>
          <w:trHeight w:val="205"/>
        </w:trPr>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140" w:type="dxa"/>
            <w:vAlign w:val="bottom"/>
          </w:tcPr>
          <w:p>
            <w:pPr>
              <w:ind w:left="20"/>
              <w:spacing w:after="0"/>
              <w:rPr>
                <w:sz w:val="20"/>
                <w:szCs w:val="20"/>
                <w:color w:val="auto"/>
              </w:rPr>
            </w:pPr>
            <w:r>
              <w:rPr>
                <w:rFonts w:ascii="Arial" w:cs="Arial" w:eastAsia="Arial" w:hAnsi="Arial"/>
                <w:sz w:val="16"/>
                <w:szCs w:val="16"/>
                <w:color w:val="auto"/>
              </w:rPr>
              <w:t>P. Deman, Former Vice</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2023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180,114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98,446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37,545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742,921</w:t>
            </w:r>
          </w:p>
        </w:tc>
        <w:tc>
          <w:tcPr>
            <w:tcW w:w="10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1,059,026</w:t>
            </w:r>
          </w:p>
        </w:tc>
        <w:tc>
          <w:tcPr>
            <w:tcW w:w="0" w:type="dxa"/>
            <w:vAlign w:val="bottom"/>
          </w:tcPr>
          <w:p>
            <w:pPr>
              <w:spacing w:after="0"/>
              <w:rPr>
                <w:sz w:val="1"/>
                <w:szCs w:val="1"/>
                <w:color w:val="auto"/>
              </w:rPr>
            </w:pPr>
          </w:p>
        </w:tc>
      </w:tr>
      <w:tr>
        <w:trPr>
          <w:trHeight w:val="185"/>
        </w:trPr>
        <w:tc>
          <w:tcPr>
            <w:tcW w:w="2140" w:type="dxa"/>
            <w:vAlign w:val="bottom"/>
          </w:tcPr>
          <w:p>
            <w:pPr>
              <w:ind w:left="20"/>
              <w:spacing w:after="0"/>
              <w:rPr>
                <w:sz w:val="20"/>
                <w:szCs w:val="20"/>
                <w:color w:val="auto"/>
              </w:rPr>
            </w:pPr>
            <w:r>
              <w:rPr>
                <w:rFonts w:ascii="Arial" w:cs="Arial" w:eastAsia="Arial" w:hAnsi="Arial"/>
                <w:sz w:val="16"/>
                <w:szCs w:val="16"/>
                <w:color w:val="auto"/>
                <w:w w:val="90"/>
              </w:rPr>
              <w:t>President and General Manager,</w:t>
            </w:r>
          </w:p>
        </w:tc>
        <w:tc>
          <w:tcPr>
            <w:tcW w:w="720" w:type="dxa"/>
            <w:vAlign w:val="bottom"/>
            <w:gridSpan w:val="2"/>
          </w:tcPr>
          <w:p>
            <w:pPr>
              <w:jc w:val="center"/>
              <w:ind w:left="39"/>
              <w:spacing w:after="0"/>
              <w:rPr>
                <w:sz w:val="20"/>
                <w:szCs w:val="20"/>
                <w:color w:val="auto"/>
              </w:rPr>
            </w:pPr>
            <w:r>
              <w:rPr>
                <w:rFonts w:ascii="Arial" w:cs="Arial" w:eastAsia="Arial" w:hAnsi="Arial"/>
                <w:sz w:val="16"/>
                <w:szCs w:val="16"/>
                <w:color w:val="auto"/>
                <w:w w:val="89"/>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300,456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93,492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37,507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57,087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73,161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561,703</w:t>
            </w:r>
          </w:p>
        </w:tc>
        <w:tc>
          <w:tcPr>
            <w:tcW w:w="0" w:type="dxa"/>
            <w:vAlign w:val="bottom"/>
          </w:tcPr>
          <w:p>
            <w:pPr>
              <w:spacing w:after="0"/>
              <w:rPr>
                <w:sz w:val="1"/>
                <w:szCs w:val="1"/>
                <w:color w:val="auto"/>
              </w:rPr>
            </w:pPr>
          </w:p>
        </w:tc>
      </w:tr>
      <w:tr>
        <w:trPr>
          <w:trHeight w:val="257"/>
        </w:trPr>
        <w:tc>
          <w:tcPr>
            <w:tcW w:w="2140" w:type="dxa"/>
            <w:vAlign w:val="bottom"/>
          </w:tcPr>
          <w:p>
            <w:pPr>
              <w:ind w:left="20"/>
              <w:spacing w:after="0"/>
              <w:rPr>
                <w:sz w:val="20"/>
                <w:szCs w:val="20"/>
                <w:color w:val="auto"/>
              </w:rPr>
            </w:pPr>
            <w:r>
              <w:rPr>
                <w:rFonts w:ascii="Arial" w:cs="Arial" w:eastAsia="Arial" w:hAnsi="Arial"/>
                <w:sz w:val="16"/>
                <w:szCs w:val="16"/>
                <w:color w:val="auto"/>
              </w:rPr>
              <w:t xml:space="preserve">Workplace Safety </w:t>
            </w:r>
            <w:r>
              <w:rPr>
                <w:rFonts w:ascii="Arial" w:cs="Arial" w:eastAsia="Arial" w:hAnsi="Arial"/>
                <w:sz w:val="21"/>
                <w:szCs w:val="21"/>
                <w:color w:val="auto"/>
                <w:vertAlign w:val="superscript"/>
              </w:rPr>
              <w:t>(8)</w:t>
            </w:r>
          </w:p>
        </w:tc>
        <w:tc>
          <w:tcPr>
            <w:tcW w:w="720" w:type="dxa"/>
            <w:vAlign w:val="bottom"/>
            <w:gridSpan w:val="2"/>
            <w:vMerge w:val="restart"/>
          </w:tcPr>
          <w:p>
            <w:pPr>
              <w:jc w:val="center"/>
              <w:ind w:left="39"/>
              <w:spacing w:after="0"/>
              <w:rPr>
                <w:sz w:val="20"/>
                <w:szCs w:val="20"/>
                <w:color w:val="auto"/>
              </w:rPr>
            </w:pPr>
            <w:r>
              <w:rPr>
                <w:rFonts w:ascii="Arial" w:cs="Arial" w:eastAsia="Arial" w:hAnsi="Arial"/>
                <w:sz w:val="16"/>
                <w:szCs w:val="16"/>
                <w:color w:val="auto"/>
                <w:w w:val="89"/>
              </w:rPr>
              <w:t>2021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314,461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96,030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41,673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99,927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75,595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627,686</w:t>
            </w:r>
          </w:p>
        </w:tc>
        <w:tc>
          <w:tcPr>
            <w:tcW w:w="0" w:type="dxa"/>
            <w:vAlign w:val="bottom"/>
          </w:tcPr>
          <w:p>
            <w:pPr>
              <w:spacing w:after="0"/>
              <w:rPr>
                <w:sz w:val="1"/>
                <w:szCs w:val="1"/>
                <w:color w:val="auto"/>
              </w:rPr>
            </w:pPr>
          </w:p>
        </w:tc>
      </w:tr>
      <w:tr>
        <w:trPr>
          <w:trHeight w:val="51"/>
        </w:trPr>
        <w:tc>
          <w:tcPr>
            <w:tcW w:w="214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gridSpan w:val="2"/>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vMerge w:val="continue"/>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vMerge w:val="continue"/>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2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A.J. Pearce, Former CFO &amp;</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376,346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1,100,946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1,548,473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3,596,977</w:t>
            </w:r>
          </w:p>
        </w:tc>
        <w:tc>
          <w:tcPr>
            <w:tcW w:w="0" w:type="dxa"/>
            <w:vAlign w:val="bottom"/>
          </w:tcPr>
          <w:p>
            <w:pPr>
              <w:spacing w:after="0"/>
              <w:rPr>
                <w:sz w:val="1"/>
                <w:szCs w:val="1"/>
                <w:color w:val="auto"/>
              </w:rPr>
            </w:pPr>
          </w:p>
        </w:tc>
      </w:tr>
      <w:tr>
        <w:trPr>
          <w:trHeight w:val="104"/>
        </w:trPr>
        <w:tc>
          <w:tcPr>
            <w:tcW w:w="21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448,937</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747,388</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300,010</w:t>
            </w: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561,733</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106,724</w:t>
            </w: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2,164,792</w:t>
            </w:r>
          </w:p>
        </w:tc>
        <w:tc>
          <w:tcPr>
            <w:tcW w:w="0" w:type="dxa"/>
            <w:vAlign w:val="bottom"/>
          </w:tcPr>
          <w:p>
            <w:pPr>
              <w:spacing w:after="0"/>
              <w:rPr>
                <w:sz w:val="1"/>
                <w:szCs w:val="1"/>
                <w:color w:val="auto"/>
              </w:rPr>
            </w:pPr>
          </w:p>
        </w:tc>
      </w:tr>
      <w:tr>
        <w:trPr>
          <w:trHeight w:val="203"/>
        </w:trPr>
        <w:tc>
          <w:tcPr>
            <w:tcW w:w="2140" w:type="dxa"/>
            <w:vAlign w:val="bottom"/>
            <w:shd w:val="clear" w:color="auto" w:fill="CCEEFF"/>
          </w:tcPr>
          <w:p>
            <w:pPr>
              <w:ind w:left="20"/>
              <w:spacing w:after="0" w:line="203" w:lineRule="exact"/>
              <w:rPr>
                <w:sz w:val="20"/>
                <w:szCs w:val="20"/>
                <w:color w:val="auto"/>
              </w:rPr>
            </w:pPr>
            <w:r>
              <w:rPr>
                <w:rFonts w:ascii="Arial" w:cs="Arial" w:eastAsia="Arial" w:hAnsi="Arial"/>
                <w:sz w:val="16"/>
                <w:szCs w:val="16"/>
                <w:color w:val="auto"/>
              </w:rPr>
              <w:t xml:space="preserve">Treasurer </w:t>
            </w:r>
            <w:r>
              <w:rPr>
                <w:rFonts w:ascii="Arial" w:cs="Arial" w:eastAsia="Arial" w:hAnsi="Arial"/>
                <w:sz w:val="21"/>
                <w:szCs w:val="21"/>
                <w:color w:val="auto"/>
                <w:vertAlign w:val="superscript"/>
              </w:rPr>
              <w:t>(9)</w:t>
            </w:r>
          </w:p>
        </w:tc>
        <w:tc>
          <w:tcPr>
            <w:tcW w:w="10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415,073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691,201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571,374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59,277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2,036,928</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660" w:hanging="328"/>
        <w:spacing w:after="0" w:line="266" w:lineRule="auto"/>
        <w:tabs>
          <w:tab w:leader="none" w:pos="654"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the grant date fair value of RSUs and PRSUs computed in accordance with accounting guidance for equity grants made or modified in the applicable year. The grant date fair value of RSUs is calculated based on the number of shares of Class A Common Stock underlying the RSUs times the average of the high and low stock price of Class A Common Stock on the date of grant. The grant date fair value of PRSUs with a TSR metric was calculated based on the number of shares of Class A Common Stock underlying the PRSUs (at target), times the fair value per unit derived from a third-party valuation using a Monte Carlo simulation due to the presence of a market condition in the award. The grant date fair value of PRSUs with revenue performance conditions was calculated based on the number of shares of Class A Common Stock underlying the award times the average of the high and low stock price of Class A Common Stock on the date of grant. The actual value of a RSU will depend on the market value of the Class A Common Stock on the date the stock is sold. The table reflects the grant date fair value at target for PRSUs (100%). The values of the PRSUs at the grant date if the highest level of performance conditions were to be achieved would be as follows: Mr. Shaller, $2,328,780; Ms. Thornton, $0; Mr. Bojarski, $0; Mr. Curran, $183,792; Mr. Gorman, $232,030; Mr. Deman, $121,812; and Mr. Pearce, $918,738.</w:t>
      </w:r>
    </w:p>
    <w:p>
      <w:pPr>
        <w:spacing w:after="0" w:line="7" w:lineRule="exact"/>
        <w:rPr>
          <w:rFonts w:ascii="Arial" w:cs="Arial" w:eastAsia="Arial" w:hAnsi="Arial"/>
          <w:sz w:val="17"/>
          <w:szCs w:val="17"/>
          <w:color w:val="auto"/>
        </w:rPr>
      </w:pPr>
    </w:p>
    <w:p>
      <w:pPr>
        <w:jc w:val="both"/>
        <w:ind w:left="660" w:hanging="328"/>
        <w:spacing w:after="0" w:line="281" w:lineRule="auto"/>
        <w:tabs>
          <w:tab w:leader="none" w:pos="654"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grant date fair value of stock options computed in accordance with accounting guidance for equity grants made or modified in the applicable year. The assumptions used to determine the value of the awards, including the use of the Black-Scholes method of valuation by the Company, are discussed in Note 1 of the Notes to Consolidated Financial Statements contained in Item 8 of this Annual Report on Form 10-K, for the year ended July 31, 2023. The actual value, if any, which an option holder will realize upon the exercise of an option will depend on the excess of the market value of the Class A Common Stock over the exercise price on the date the option is exercised.</w:t>
      </w:r>
    </w:p>
    <w:p>
      <w:pPr>
        <w:spacing w:after="0" w:line="2" w:lineRule="exact"/>
        <w:rPr>
          <w:rFonts w:ascii="Arial" w:cs="Arial" w:eastAsia="Arial" w:hAnsi="Arial"/>
          <w:sz w:val="16"/>
          <w:szCs w:val="16"/>
          <w:color w:val="auto"/>
        </w:rPr>
      </w:pPr>
    </w:p>
    <w:p>
      <w:pPr>
        <w:ind w:left="640" w:hanging="308"/>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annual cash incentives earned during the listed fiscal years, which was paid during the next fiscal year.</w:t>
      </w:r>
    </w:p>
    <w:p>
      <w:pPr>
        <w:spacing w:after="0" w:line="9" w:lineRule="exact"/>
        <w:rPr>
          <w:rFonts w:ascii="Arial" w:cs="Arial" w:eastAsia="Arial" w:hAnsi="Arial"/>
          <w:sz w:val="18"/>
          <w:szCs w:val="18"/>
          <w:color w:val="auto"/>
        </w:rPr>
      </w:pPr>
    </w:p>
    <w:p>
      <w:pPr>
        <w:jc w:val="both"/>
        <w:ind w:left="660" w:hanging="328"/>
        <w:spacing w:after="0" w:line="253"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 the 'All Other Compensation' column include: matching contributions to the Company’s Matched 401(k) Plan, Funded Retirement Plan and Restoration Plan, company car or car allowance, the cost of group term life insurance, the cost of long-term care insurance, the cost of disability insurance and other compensation or perquisites. The other compensation includes pay related to severance agreements, settlement agreements and other perquisites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including annual allowances for financial and tax planning and the cost of personal liability insurance. Refer to the table following these footnotes.</w:t>
      </w:r>
    </w:p>
    <w:p>
      <w:pPr>
        <w:spacing w:after="0" w:line="46" w:lineRule="exact"/>
        <w:rPr>
          <w:sz w:val="20"/>
          <w:szCs w:val="20"/>
          <w:color w:val="auto"/>
        </w:rPr>
      </w:pPr>
    </w:p>
    <w:p>
      <w:pPr>
        <w:jc w:val="both"/>
        <w:ind w:left="660" w:hanging="328"/>
        <w:spacing w:after="0" w:line="265" w:lineRule="auto"/>
        <w:tabs>
          <w:tab w:leader="none" w:pos="654" w:val="left"/>
        </w:tabs>
        <w:numPr>
          <w:ilvl w:val="0"/>
          <w:numId w:val="41"/>
        </w:numPr>
        <w:rPr>
          <w:rFonts w:ascii="Arial" w:cs="Arial" w:eastAsia="Arial" w:hAnsi="Arial"/>
          <w:sz w:val="17"/>
          <w:szCs w:val="17"/>
          <w:color w:val="auto"/>
        </w:rPr>
      </w:pPr>
      <w:r>
        <w:rPr>
          <w:rFonts w:ascii="Arial" w:cs="Arial" w:eastAsia="Arial" w:hAnsi="Arial"/>
          <w:sz w:val="17"/>
          <w:szCs w:val="17"/>
          <w:color w:val="auto"/>
        </w:rPr>
        <w:t>Upon his appointment to President, Chief Executive Officer and Director on April 1, 2022, Mr. Shaller was awarded $760,500 of stock options and $760,500 of RSUs. In addition, Mr. Shaller was granted an additional $250,000 RSU award at this time. The $760,500 stock option and $760,500 RSU grants related to an early grant of Mr. Shaller's fiscal 2023 equity awards, so he did not receive any stock options or RSUs during fiscal 2023. As such, Mr. Shaller's stock awards column reflects only PRSUs granted during fiscal 2023.</w:t>
      </w:r>
    </w:p>
    <w:p>
      <w:pPr>
        <w:ind w:left="660" w:hanging="328"/>
        <w:spacing w:after="0" w:line="250" w:lineRule="auto"/>
        <w:tabs>
          <w:tab w:leader="none" w:pos="654" w:val="left"/>
        </w:tabs>
        <w:numPr>
          <w:ilvl w:val="0"/>
          <w:numId w:val="41"/>
        </w:numPr>
        <w:rPr>
          <w:rFonts w:ascii="Arial" w:cs="Arial" w:eastAsia="Arial" w:hAnsi="Arial"/>
          <w:sz w:val="18"/>
          <w:szCs w:val="18"/>
          <w:color w:val="auto"/>
        </w:rPr>
      </w:pPr>
      <w:r>
        <w:rPr>
          <w:rFonts w:ascii="Arial" w:cs="Arial" w:eastAsia="Arial" w:hAnsi="Arial"/>
          <w:sz w:val="18"/>
          <w:szCs w:val="18"/>
          <w:color w:val="auto"/>
        </w:rPr>
        <w:t>Ms. Thornton was appointed as Chief Financial Officer, Chief Accounting Officer and Treasurer effective April 14, 2023. As part of her appointment, Ms. Thornton received a base salary of $450,000.</w:t>
      </w:r>
    </w:p>
    <w:p>
      <w:pPr>
        <w:ind w:left="660" w:hanging="328"/>
        <w:spacing w:after="0" w:line="265" w:lineRule="auto"/>
        <w:tabs>
          <w:tab w:leader="none" w:pos="654" w:val="left"/>
        </w:tabs>
        <w:numPr>
          <w:ilvl w:val="0"/>
          <w:numId w:val="41"/>
        </w:numPr>
        <w:rPr>
          <w:rFonts w:ascii="Arial" w:cs="Arial" w:eastAsia="Arial" w:hAnsi="Arial"/>
          <w:sz w:val="17"/>
          <w:szCs w:val="17"/>
          <w:color w:val="auto"/>
        </w:rPr>
      </w:pPr>
      <w:r>
        <w:rPr>
          <w:rFonts w:ascii="Arial" w:cs="Arial" w:eastAsia="Arial" w:hAnsi="Arial"/>
          <w:sz w:val="17"/>
          <w:szCs w:val="17"/>
          <w:color w:val="auto"/>
        </w:rPr>
        <w:t>Mr. Bojarski was appointed as President - Identification Solutions effective August 25, 2022, and subsequently transitioned to President - Americas &amp; Asia. As part of his appointment, Mr. Bojarski received a cash sign-on bonus of $200,000 and a sign-on RSU of $600,000.</w:t>
      </w:r>
    </w:p>
    <w:p>
      <w:pPr>
        <w:jc w:val="both"/>
        <w:ind w:left="660" w:hanging="328"/>
        <w:spacing w:after="0" w:line="265" w:lineRule="auto"/>
        <w:tabs>
          <w:tab w:leader="none" w:pos="654" w:val="left"/>
        </w:tabs>
        <w:numPr>
          <w:ilvl w:val="0"/>
          <w:numId w:val="41"/>
        </w:numPr>
        <w:rPr>
          <w:rFonts w:ascii="Arial" w:cs="Arial" w:eastAsia="Arial" w:hAnsi="Arial"/>
          <w:sz w:val="17"/>
          <w:szCs w:val="17"/>
          <w:color w:val="auto"/>
        </w:rPr>
      </w:pPr>
      <w:r>
        <w:rPr>
          <w:rFonts w:ascii="Arial" w:cs="Arial" w:eastAsia="Arial" w:hAnsi="Arial"/>
          <w:sz w:val="17"/>
          <w:szCs w:val="17"/>
          <w:color w:val="auto"/>
        </w:rPr>
        <w:t>Effective October 3, 2022, Mr. Deman resigned from his position as Vice President and General Manager - Workplace Safety. As part of his settlement agreement, Mr. Deman received his fiscal 2022 bonus of € 51,231 and a settlement of € 667,933, in exchange for a general release of claims against the Company and non-disparagement and confidentiality covenants. Mr. Deman's bonus paid as part of his settlement agreement has been included in the amounts shown in the column "Non-Equity Incentive Plan Compensation" for fiscal 2022 and his settlement has been included in the amounts shown in the column "All Other Compensation" in this table in fiscal 2023. Mr. Deman's compensation is denominated in Euros. The amounts shown in U.S. dollars in the table above were converted from Euro at the average exchange rate for fiscal 2023: 1 EUR = 1.0544 USD, fiscal 2022: 1 EUR = 1.1143 USD and fiscal 2021: 1 EUR = 1.1960 USD.</w:t>
      </w:r>
    </w:p>
    <w:p>
      <w:pPr>
        <w:spacing w:after="0" w:line="1" w:lineRule="exact"/>
        <w:rPr>
          <w:rFonts w:ascii="Arial" w:cs="Arial" w:eastAsia="Arial" w:hAnsi="Arial"/>
          <w:sz w:val="17"/>
          <w:szCs w:val="17"/>
          <w:color w:val="auto"/>
        </w:rPr>
      </w:pPr>
    </w:p>
    <w:p>
      <w:pPr>
        <w:jc w:val="both"/>
        <w:ind w:left="660" w:hanging="328"/>
        <w:spacing w:after="0" w:line="268" w:lineRule="auto"/>
        <w:tabs>
          <w:tab w:leader="none" w:pos="654" w:val="left"/>
        </w:tabs>
        <w:numPr>
          <w:ilvl w:val="0"/>
          <w:numId w:val="41"/>
        </w:numPr>
        <w:rPr>
          <w:rFonts w:ascii="Arial" w:cs="Arial" w:eastAsia="Arial" w:hAnsi="Arial"/>
          <w:sz w:val="17"/>
          <w:szCs w:val="17"/>
          <w:color w:val="auto"/>
        </w:rPr>
      </w:pPr>
      <w:r>
        <w:rPr>
          <w:rFonts w:ascii="Arial" w:cs="Arial" w:eastAsia="Arial" w:hAnsi="Arial"/>
          <w:sz w:val="17"/>
          <w:szCs w:val="17"/>
          <w:color w:val="auto"/>
        </w:rPr>
        <w:t>Effective April 14, 2023, Mr. Pearce resigned from his position as Chief Financial Officer and Treasurer of the Company. The Company entered into a written agreement with Mr. Pearce in connection with his resignation that provided for payment of his base salary for twelve months following the Separation Date (April 28, 2023), payment of 100% of his fiscal 2023 annual target cash bonus, full vesting of his outstanding stock options and restricted stock units that were granted in fiscal 2021 and 2022, and all vested outstanding stock options as of April 28, 2023 that were granted prior to September 17, 2021 retained their original expiration date as stated in their respective award agreements. The payment of the bonus of $350,000 is included in the "Non-Equity Incentive Plan Compensation" column and the severance payments of $115,381 is included in the "All Other Compensation" column in this table in fiscal 2023. The incremental fair value of $341,557 and $1,248,175 associated with the modification of vesting conditions for certain outstanding equity awards have been included in this table under the columns "Stock Awards" and "Option Awards," respectively.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Retirement Plan</w:t>
            </w: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6"/>
              </w:rPr>
              <w:t>Group Term</w:t>
            </w:r>
          </w:p>
        </w:tc>
        <w:tc>
          <w:tcPr>
            <w:tcW w:w="1240" w:type="dxa"/>
            <w:vAlign w:val="bottom"/>
            <w:gridSpan w:val="3"/>
            <w:vMerge w:val="restart"/>
          </w:tcPr>
          <w:p>
            <w:pPr>
              <w:ind w:left="200"/>
              <w:spacing w:after="0"/>
              <w:rPr>
                <w:sz w:val="20"/>
                <w:szCs w:val="20"/>
                <w:color w:val="auto"/>
              </w:rPr>
            </w:pPr>
            <w:r>
              <w:rPr>
                <w:rFonts w:ascii="Arial" w:cs="Arial" w:eastAsia="Arial" w:hAnsi="Arial"/>
                <w:sz w:val="16"/>
                <w:szCs w:val="16"/>
                <w:b w:val="1"/>
                <w:bCs w:val="1"/>
                <w:color w:val="auto"/>
              </w:rPr>
              <w:t>Long-term</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Long-term</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7"/>
              </w:rPr>
              <w:t>Total All Other</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Fiscal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Company Car</w:t>
            </w:r>
          </w:p>
        </w:tc>
        <w:tc>
          <w:tcPr>
            <w:tcW w:w="1220" w:type="dxa"/>
            <w:vAlign w:val="bottom"/>
            <w:gridSpan w:val="3"/>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Disability</w:t>
            </w:r>
          </w:p>
        </w:tc>
        <w:tc>
          <w:tcPr>
            <w:tcW w:w="22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Contributions</w:t>
            </w:r>
          </w:p>
        </w:tc>
        <w:tc>
          <w:tcPr>
            <w:tcW w:w="1220" w:type="dxa"/>
            <w:vAlign w:val="bottom"/>
            <w:gridSpan w:val="3"/>
            <w:vMerge w:val="continue"/>
          </w:tcPr>
          <w:p>
            <w:pPr>
              <w:spacing w:after="0"/>
              <w:rPr>
                <w:sz w:val="14"/>
                <w:szCs w:val="14"/>
                <w:color w:val="auto"/>
              </w:rPr>
            </w:pPr>
          </w:p>
        </w:tc>
        <w:tc>
          <w:tcPr>
            <w:tcW w:w="122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Life Insurance</w:t>
            </w:r>
          </w:p>
        </w:tc>
        <w:tc>
          <w:tcPr>
            <w:tcW w:w="1240" w:type="dxa"/>
            <w:vAlign w:val="bottom"/>
            <w:gridSpan w:val="3"/>
          </w:tcPr>
          <w:p>
            <w:pPr>
              <w:ind w:left="40"/>
              <w:spacing w:after="0" w:line="162" w:lineRule="exact"/>
              <w:rPr>
                <w:sz w:val="20"/>
                <w:szCs w:val="20"/>
                <w:color w:val="auto"/>
              </w:rPr>
            </w:pPr>
            <w:r>
              <w:rPr>
                <w:rFonts w:ascii="Arial" w:cs="Arial" w:eastAsia="Arial" w:hAnsi="Arial"/>
                <w:sz w:val="16"/>
                <w:szCs w:val="16"/>
                <w:b w:val="1"/>
                <w:bCs w:val="1"/>
                <w:color w:val="auto"/>
              </w:rPr>
              <w:t>Care Insurance</w:t>
            </w:r>
          </w:p>
        </w:tc>
        <w:tc>
          <w:tcPr>
            <w:tcW w:w="14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Insurance</w:t>
            </w:r>
          </w:p>
        </w:tc>
        <w:tc>
          <w:tcPr>
            <w:tcW w:w="2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right"/>
              <w:ind w:right="159"/>
              <w:spacing w:after="0" w:line="162" w:lineRule="exact"/>
              <w:rPr>
                <w:sz w:val="20"/>
                <w:szCs w:val="20"/>
                <w:color w:val="auto"/>
              </w:rPr>
            </w:pPr>
            <w:r>
              <w:rPr>
                <w:rFonts w:ascii="Arial" w:cs="Arial" w:eastAsia="Arial" w:hAnsi="Arial"/>
                <w:sz w:val="16"/>
                <w:szCs w:val="16"/>
                <w:b w:val="1"/>
                <w:bCs w:val="1"/>
                <w:color w:val="auto"/>
                <w:w w:val="93"/>
              </w:rPr>
              <w:t>Compensation</w:t>
            </w:r>
          </w:p>
        </w:tc>
        <w:tc>
          <w:tcPr>
            <w:tcW w:w="0" w:type="dxa"/>
            <w:vAlign w:val="bottom"/>
          </w:tcPr>
          <w:p>
            <w:pPr>
              <w:spacing w:after="0"/>
              <w:rPr>
                <w:sz w:val="1"/>
                <w:szCs w:val="1"/>
                <w:color w:val="auto"/>
              </w:rPr>
            </w:pPr>
          </w:p>
        </w:tc>
      </w:tr>
      <w:tr>
        <w:trPr>
          <w:trHeight w:val="213"/>
        </w:trPr>
        <w:tc>
          <w:tcPr>
            <w:tcW w:w="12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w w:val="84"/>
              </w:rPr>
              <w:t>($</w:t>
            </w:r>
          </w:p>
        </w:tc>
        <w:tc>
          <w:tcPr>
            <w:tcW w:w="520" w:type="dxa"/>
            <w:vAlign w:val="bottom"/>
            <w:tcBorders>
              <w:bottom w:val="single" w:sz="8" w:color="auto"/>
            </w:tcBorders>
          </w:tcPr>
          <w:p>
            <w:pPr>
              <w:jc w:val="right"/>
              <w:ind w:right="401"/>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3"/>
        </w:trPr>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108,563</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18,000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141,087</w:t>
            </w:r>
          </w:p>
        </w:tc>
        <w:tc>
          <w:tcPr>
            <w:tcW w:w="0" w:type="dxa"/>
            <w:vAlign w:val="bottom"/>
          </w:tcPr>
          <w:p>
            <w:pPr>
              <w:spacing w:after="0"/>
              <w:rPr>
                <w:sz w:val="1"/>
                <w:szCs w:val="1"/>
                <w:color w:val="auto"/>
              </w:rPr>
            </w:pPr>
          </w:p>
        </w:tc>
      </w:tr>
      <w:tr>
        <w:trPr>
          <w:trHeight w:val="256"/>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R.R. Shaller</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87,677</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18,000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6,475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119,055</w:t>
            </w:r>
          </w:p>
        </w:tc>
        <w:tc>
          <w:tcPr>
            <w:tcW w:w="0" w:type="dxa"/>
            <w:vAlign w:val="bottom"/>
          </w:tcPr>
          <w:p>
            <w:pPr>
              <w:spacing w:after="0"/>
              <w:rPr>
                <w:sz w:val="1"/>
                <w:szCs w:val="1"/>
                <w:color w:val="auto"/>
              </w:rPr>
            </w:pPr>
          </w:p>
        </w:tc>
      </w:tr>
      <w:tr>
        <w:trPr>
          <w:trHeight w:val="259"/>
        </w:trPr>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2021</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32,628</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18,000</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5,205</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5,293</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63,909</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7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2023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37,781</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4,915</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822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44,423</w:t>
            </w:r>
          </w:p>
        </w:tc>
        <w:tc>
          <w:tcPr>
            <w:tcW w:w="0" w:type="dxa"/>
            <w:vAlign w:val="bottom"/>
          </w:tcPr>
          <w:p>
            <w:pPr>
              <w:spacing w:after="0"/>
              <w:rPr>
                <w:sz w:val="1"/>
                <w:szCs w:val="1"/>
                <w:color w:val="auto"/>
              </w:rPr>
            </w:pPr>
          </w:p>
        </w:tc>
      </w:tr>
      <w:tr>
        <w:trPr>
          <w:trHeight w:val="257"/>
        </w:trPr>
        <w:tc>
          <w:tcPr>
            <w:tcW w:w="1220" w:type="dxa"/>
            <w:vAlign w:val="bottom"/>
          </w:tcPr>
          <w:p>
            <w:pPr>
              <w:ind w:left="20"/>
              <w:spacing w:after="0"/>
              <w:rPr>
                <w:sz w:val="20"/>
                <w:szCs w:val="20"/>
                <w:color w:val="auto"/>
              </w:rPr>
            </w:pPr>
            <w:r>
              <w:rPr>
                <w:rFonts w:ascii="Arial" w:cs="Arial" w:eastAsia="Arial" w:hAnsi="Arial"/>
                <w:sz w:val="16"/>
                <w:szCs w:val="16"/>
                <w:color w:val="auto"/>
              </w:rPr>
              <w:t>A.E. Thornton</w:t>
            </w:r>
          </w:p>
        </w:tc>
        <w:tc>
          <w:tcPr>
            <w:tcW w:w="7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35,516</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22"/>
                <w:szCs w:val="2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35,516</w:t>
            </w:r>
          </w:p>
        </w:tc>
        <w:tc>
          <w:tcPr>
            <w:tcW w:w="0" w:type="dxa"/>
            <w:vAlign w:val="bottom"/>
          </w:tcPr>
          <w:p>
            <w:pPr>
              <w:spacing w:after="0"/>
              <w:rPr>
                <w:sz w:val="1"/>
                <w:szCs w:val="1"/>
                <w:color w:val="auto"/>
              </w:rPr>
            </w:pPr>
          </w:p>
        </w:tc>
      </w:tr>
      <w:tr>
        <w:trPr>
          <w:trHeight w:val="259"/>
        </w:trPr>
        <w:tc>
          <w:tcPr>
            <w:tcW w:w="12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gridSpan w:val="2"/>
          </w:tcPr>
          <w:p>
            <w:pPr>
              <w:jc w:val="center"/>
              <w:ind w:left="59"/>
              <w:spacing w:after="0"/>
              <w:rPr>
                <w:sz w:val="20"/>
                <w:szCs w:val="20"/>
                <w:color w:val="auto"/>
              </w:rPr>
            </w:pPr>
            <w:r>
              <w:rPr>
                <w:rFonts w:ascii="Arial" w:cs="Arial" w:eastAsia="Arial" w:hAnsi="Arial"/>
                <w:sz w:val="16"/>
                <w:szCs w:val="16"/>
                <w:color w:val="auto"/>
                <w:w w:val="89"/>
              </w:rPr>
              <w:t>2021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18,149</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18,149</w:t>
            </w:r>
          </w:p>
        </w:tc>
        <w:tc>
          <w:tcPr>
            <w:tcW w:w="0" w:type="dxa"/>
            <w:vAlign w:val="bottom"/>
          </w:tcPr>
          <w:p>
            <w:pPr>
              <w:spacing w:after="0"/>
              <w:rPr>
                <w:sz w:val="1"/>
                <w:szCs w:val="1"/>
                <w:color w:val="auto"/>
              </w:rPr>
            </w:pPr>
          </w:p>
        </w:tc>
      </w:tr>
      <w:tr>
        <w:trPr>
          <w:trHeight w:val="210"/>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 Bojarski</w:t>
            </w:r>
          </w:p>
        </w:tc>
        <w:tc>
          <w:tcPr>
            <w:tcW w:w="780" w:type="dxa"/>
            <w:vAlign w:val="bottom"/>
            <w:gridSpan w:val="2"/>
            <w:shd w:val="clear" w:color="auto" w:fill="CCEEFF"/>
          </w:tcPr>
          <w:p>
            <w:pPr>
              <w:jc w:val="center"/>
              <w:ind w:left="59"/>
              <w:spacing w:after="0"/>
              <w:rPr>
                <w:sz w:val="20"/>
                <w:szCs w:val="20"/>
                <w:color w:val="auto"/>
              </w:rPr>
            </w:pPr>
            <w:r>
              <w:rPr>
                <w:rFonts w:ascii="Arial" w:cs="Arial" w:eastAsia="Arial" w:hAnsi="Arial"/>
                <w:sz w:val="16"/>
                <w:szCs w:val="16"/>
                <w:color w:val="auto"/>
                <w:w w:val="89"/>
              </w:rPr>
              <w:t>2023</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31,880</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16,408</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23,868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78,133</w:t>
            </w:r>
          </w:p>
        </w:tc>
        <w:tc>
          <w:tcPr>
            <w:tcW w:w="0" w:type="dxa"/>
            <w:vAlign w:val="bottom"/>
          </w:tcPr>
          <w:p>
            <w:pPr>
              <w:spacing w:after="0"/>
              <w:rPr>
                <w:sz w:val="1"/>
                <w:szCs w:val="1"/>
                <w:color w:val="auto"/>
              </w:rPr>
            </w:pPr>
          </w:p>
        </w:tc>
      </w:tr>
      <w:tr>
        <w:trPr>
          <w:trHeight w:val="233"/>
        </w:trPr>
        <w:tc>
          <w:tcPr>
            <w:tcW w:w="1220" w:type="dxa"/>
            <w:vAlign w:val="bottom"/>
          </w:tcPr>
          <w:p>
            <w:pPr>
              <w:spacing w:after="0"/>
              <w:rPr>
                <w:sz w:val="20"/>
                <w:szCs w:val="20"/>
                <w:color w:val="auto"/>
              </w:rPr>
            </w:pPr>
          </w:p>
        </w:tc>
        <w:tc>
          <w:tcPr>
            <w:tcW w:w="7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2023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49,234</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5"/>
              </w:rPr>
              <w:t>18,000</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667</w:t>
            </w:r>
          </w:p>
        </w:tc>
        <w:tc>
          <w:tcPr>
            <w:tcW w:w="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7,063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3,657</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2,499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81,120</w:t>
            </w:r>
          </w:p>
        </w:tc>
        <w:tc>
          <w:tcPr>
            <w:tcW w:w="0" w:type="dxa"/>
            <w:vAlign w:val="bottom"/>
          </w:tcPr>
          <w:p>
            <w:pPr>
              <w:spacing w:after="0"/>
              <w:rPr>
                <w:sz w:val="1"/>
                <w:szCs w:val="1"/>
                <w:color w:val="auto"/>
              </w:rPr>
            </w:pPr>
          </w:p>
        </w:tc>
      </w:tr>
      <w:tr>
        <w:trPr>
          <w:trHeight w:val="256"/>
        </w:trPr>
        <w:tc>
          <w:tcPr>
            <w:tcW w:w="1220" w:type="dxa"/>
            <w:vAlign w:val="bottom"/>
          </w:tcPr>
          <w:p>
            <w:pPr>
              <w:ind w:left="20"/>
              <w:spacing w:after="0"/>
              <w:rPr>
                <w:sz w:val="20"/>
                <w:szCs w:val="20"/>
                <w:color w:val="auto"/>
              </w:rPr>
            </w:pPr>
            <w:r>
              <w:rPr>
                <w:rFonts w:ascii="Arial" w:cs="Arial" w:eastAsia="Arial" w:hAnsi="Arial"/>
                <w:sz w:val="16"/>
                <w:szCs w:val="16"/>
                <w:color w:val="auto"/>
              </w:rPr>
              <w:t>B.N. Curran</w:t>
            </w:r>
          </w:p>
        </w:tc>
        <w:tc>
          <w:tcPr>
            <w:tcW w:w="7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51,484</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5"/>
              </w:rPr>
              <w:t>18,000</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7,063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93,838</w:t>
            </w:r>
          </w:p>
        </w:tc>
        <w:tc>
          <w:tcPr>
            <w:tcW w:w="0" w:type="dxa"/>
            <w:vAlign w:val="bottom"/>
          </w:tcPr>
          <w:p>
            <w:pPr>
              <w:spacing w:after="0"/>
              <w:rPr>
                <w:sz w:val="1"/>
                <w:szCs w:val="1"/>
                <w:color w:val="auto"/>
              </w:rPr>
            </w:pPr>
          </w:p>
        </w:tc>
      </w:tr>
      <w:tr>
        <w:trPr>
          <w:trHeight w:val="260"/>
        </w:trPr>
        <w:tc>
          <w:tcPr>
            <w:tcW w:w="12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gridSpan w:val="2"/>
          </w:tcPr>
          <w:p>
            <w:pPr>
              <w:jc w:val="center"/>
              <w:ind w:left="59"/>
              <w:spacing w:after="0"/>
              <w:rPr>
                <w:sz w:val="20"/>
                <w:szCs w:val="20"/>
                <w:color w:val="auto"/>
              </w:rPr>
            </w:pPr>
            <w:r>
              <w:rPr>
                <w:rFonts w:ascii="Arial" w:cs="Arial" w:eastAsia="Arial" w:hAnsi="Arial"/>
                <w:sz w:val="16"/>
                <w:szCs w:val="16"/>
                <w:color w:val="auto"/>
                <w:w w:val="89"/>
              </w:rPr>
              <w:t>2021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25,844</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18,000</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5,677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69,294</w:t>
            </w:r>
          </w:p>
        </w:tc>
        <w:tc>
          <w:tcPr>
            <w:tcW w:w="0" w:type="dxa"/>
            <w:vAlign w:val="bottom"/>
          </w:tcPr>
          <w:p>
            <w:pPr>
              <w:spacing w:after="0"/>
              <w:rPr>
                <w:sz w:val="1"/>
                <w:szCs w:val="1"/>
                <w:color w:val="auto"/>
              </w:rPr>
            </w:pPr>
          </w:p>
        </w:tc>
      </w:tr>
      <w:tr>
        <w:trPr>
          <w:trHeight w:val="233"/>
        </w:trPr>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43,540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18,000</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3,782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72,292</w:t>
            </w:r>
          </w:p>
        </w:tc>
        <w:tc>
          <w:tcPr>
            <w:tcW w:w="0" w:type="dxa"/>
            <w:vAlign w:val="bottom"/>
          </w:tcPr>
          <w:p>
            <w:pPr>
              <w:spacing w:after="0"/>
              <w:rPr>
                <w:sz w:val="1"/>
                <w:szCs w:val="1"/>
                <w:color w:val="auto"/>
              </w:rPr>
            </w:pPr>
          </w:p>
        </w:tc>
      </w:tr>
      <w:tr>
        <w:trPr>
          <w:trHeight w:val="257"/>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A.T. Gorman</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44,718</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18,000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3,486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72,478</w:t>
            </w:r>
          </w:p>
        </w:tc>
        <w:tc>
          <w:tcPr>
            <w:tcW w:w="0" w:type="dxa"/>
            <w:vAlign w:val="bottom"/>
          </w:tcPr>
          <w:p>
            <w:pPr>
              <w:spacing w:after="0"/>
              <w:rPr>
                <w:sz w:val="1"/>
                <w:szCs w:val="1"/>
                <w:color w:val="auto"/>
              </w:rPr>
            </w:pPr>
          </w:p>
        </w:tc>
      </w:tr>
      <w:tr>
        <w:trPr>
          <w:trHeight w:val="259"/>
        </w:trPr>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2021</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21,269</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18,000</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2,744</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46,289</w:t>
            </w:r>
          </w:p>
        </w:tc>
        <w:tc>
          <w:tcPr>
            <w:tcW w:w="0" w:type="dxa"/>
            <w:vAlign w:val="bottom"/>
          </w:tcPr>
          <w:p>
            <w:pPr>
              <w:spacing w:after="0"/>
              <w:rPr>
                <w:sz w:val="1"/>
                <w:szCs w:val="1"/>
                <w:color w:val="auto"/>
              </w:rPr>
            </w:pPr>
          </w:p>
        </w:tc>
      </w:tr>
      <w:tr>
        <w:trPr>
          <w:trHeight w:val="233"/>
        </w:trPr>
        <w:tc>
          <w:tcPr>
            <w:tcW w:w="1220" w:type="dxa"/>
            <w:vAlign w:val="bottom"/>
          </w:tcPr>
          <w:p>
            <w:pPr>
              <w:spacing w:after="0"/>
              <w:rPr>
                <w:sz w:val="20"/>
                <w:szCs w:val="20"/>
                <w:color w:val="auto"/>
              </w:rPr>
            </w:pPr>
          </w:p>
        </w:tc>
        <w:tc>
          <w:tcPr>
            <w:tcW w:w="7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2023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17,639</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4,450</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9"/>
              </w:rPr>
              <w:t>13,363</w:t>
            </w:r>
          </w:p>
        </w:tc>
        <w:tc>
          <w:tcPr>
            <w:tcW w:w="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707,269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742,921</w:t>
            </w:r>
          </w:p>
        </w:tc>
        <w:tc>
          <w:tcPr>
            <w:tcW w:w="0" w:type="dxa"/>
            <w:vAlign w:val="bottom"/>
          </w:tcPr>
          <w:p>
            <w:pPr>
              <w:spacing w:after="0"/>
              <w:rPr>
                <w:sz w:val="1"/>
                <w:szCs w:val="1"/>
                <w:color w:val="auto"/>
              </w:rPr>
            </w:pPr>
          </w:p>
        </w:tc>
      </w:tr>
      <w:tr>
        <w:trPr>
          <w:trHeight w:val="298"/>
        </w:trPr>
        <w:tc>
          <w:tcPr>
            <w:tcW w:w="1220" w:type="dxa"/>
            <w:vAlign w:val="bottom"/>
          </w:tcPr>
          <w:p>
            <w:pPr>
              <w:ind w:left="20"/>
              <w:spacing w:after="0"/>
              <w:rPr>
                <w:sz w:val="20"/>
                <w:szCs w:val="20"/>
                <w:color w:val="auto"/>
              </w:rPr>
            </w:pPr>
            <w:r>
              <w:rPr>
                <w:rFonts w:ascii="Arial" w:cs="Arial" w:eastAsia="Arial" w:hAnsi="Arial"/>
                <w:sz w:val="16"/>
                <w:szCs w:val="16"/>
                <w:color w:val="auto"/>
              </w:rPr>
              <w:t xml:space="preserve">P. Deman </w:t>
            </w:r>
            <w:r>
              <w:rPr>
                <w:rFonts w:ascii="Arial" w:cs="Arial" w:eastAsia="Arial" w:hAnsi="Arial"/>
                <w:sz w:val="21"/>
                <w:szCs w:val="21"/>
                <w:color w:val="auto"/>
                <w:vertAlign w:val="superscript"/>
              </w:rPr>
              <w:t>(1)</w:t>
            </w:r>
          </w:p>
        </w:tc>
        <w:tc>
          <w:tcPr>
            <w:tcW w:w="780" w:type="dxa"/>
            <w:vAlign w:val="bottom"/>
            <w:gridSpan w:val="2"/>
          </w:tcPr>
          <w:p>
            <w:pPr>
              <w:jc w:val="center"/>
              <w:ind w:left="59"/>
              <w:spacing w:after="0"/>
              <w:rPr>
                <w:sz w:val="20"/>
                <w:szCs w:val="20"/>
                <w:color w:val="auto"/>
              </w:rPr>
            </w:pPr>
            <w:r>
              <w:rPr>
                <w:rFonts w:ascii="Arial" w:cs="Arial" w:eastAsia="Arial" w:hAnsi="Arial"/>
                <w:sz w:val="16"/>
                <w:szCs w:val="16"/>
                <w:color w:val="auto"/>
                <w:w w:val="89"/>
              </w:rPr>
              <w:t>2022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36,529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9,417</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26,827</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73,161</w:t>
            </w:r>
          </w:p>
        </w:tc>
        <w:tc>
          <w:tcPr>
            <w:tcW w:w="0" w:type="dxa"/>
            <w:vAlign w:val="bottom"/>
          </w:tcPr>
          <w:p>
            <w:pPr>
              <w:spacing w:after="0"/>
              <w:rPr>
                <w:sz w:val="1"/>
                <w:szCs w:val="1"/>
                <w:color w:val="auto"/>
              </w:rPr>
            </w:pPr>
          </w:p>
        </w:tc>
      </w:tr>
      <w:tr>
        <w:trPr>
          <w:trHeight w:val="218"/>
        </w:trPr>
        <w:tc>
          <w:tcPr>
            <w:tcW w:w="12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gridSpan w:val="2"/>
          </w:tcPr>
          <w:p>
            <w:pPr>
              <w:jc w:val="center"/>
              <w:ind w:left="59"/>
              <w:spacing w:after="0"/>
              <w:rPr>
                <w:sz w:val="20"/>
                <w:szCs w:val="20"/>
                <w:color w:val="auto"/>
              </w:rPr>
            </w:pPr>
            <w:r>
              <w:rPr>
                <w:rFonts w:ascii="Arial" w:cs="Arial" w:eastAsia="Arial" w:hAnsi="Arial"/>
                <w:sz w:val="16"/>
                <w:szCs w:val="16"/>
                <w:color w:val="auto"/>
                <w:w w:val="89"/>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38,271</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10,119</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26,794</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75,595</w:t>
            </w:r>
          </w:p>
        </w:tc>
        <w:tc>
          <w:tcPr>
            <w:tcW w:w="0" w:type="dxa"/>
            <w:vAlign w:val="bottom"/>
          </w:tcPr>
          <w:p>
            <w:pPr>
              <w:spacing w:after="0"/>
              <w:rPr>
                <w:sz w:val="1"/>
                <w:szCs w:val="1"/>
                <w:color w:val="auto"/>
              </w:rPr>
            </w:pPr>
          </w:p>
        </w:tc>
      </w:tr>
      <w:tr>
        <w:trPr>
          <w:trHeight w:val="234"/>
        </w:trPr>
        <w:tc>
          <w:tcPr>
            <w:tcW w:w="1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83,851</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13,846</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221,212</w:t>
            </w:r>
          </w:p>
        </w:tc>
        <w:tc>
          <w:tcPr>
            <w:tcW w:w="0" w:type="dxa"/>
            <w:vAlign w:val="bottom"/>
          </w:tcPr>
          <w:p>
            <w:pPr>
              <w:spacing w:after="0"/>
              <w:rPr>
                <w:sz w:val="1"/>
                <w:szCs w:val="1"/>
                <w:color w:val="auto"/>
              </w:rPr>
            </w:pPr>
          </w:p>
        </w:tc>
      </w:tr>
      <w:tr>
        <w:trPr>
          <w:trHeight w:val="262"/>
        </w:trPr>
        <w:tc>
          <w:tcPr>
            <w:tcW w:w="1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A.J. Pearce </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80,309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18,000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2,893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106,724</w:t>
            </w:r>
          </w:p>
        </w:tc>
        <w:tc>
          <w:tcPr>
            <w:tcW w:w="0" w:type="dxa"/>
            <w:vAlign w:val="bottom"/>
          </w:tcPr>
          <w:p>
            <w:pPr>
              <w:spacing w:after="0"/>
              <w:rPr>
                <w:sz w:val="1"/>
                <w:szCs w:val="1"/>
                <w:color w:val="auto"/>
              </w:rPr>
            </w:pPr>
          </w:p>
        </w:tc>
      </w:tr>
      <w:tr>
        <w:trPr>
          <w:trHeight w:val="253"/>
        </w:trPr>
        <w:tc>
          <w:tcPr>
            <w:tcW w:w="1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2021</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33,557</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18,000</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c>
          <w:tcPr>
            <w:tcW w:w="100" w:type="dxa"/>
            <w:vAlign w:val="bottom"/>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2,893</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59,277</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As discussed above, included in Mr. Deman's "Other" compensation column is a settlement of € 667,933 as part of his settlement agreement.</w:t>
      </w:r>
    </w:p>
    <w:p>
      <w:pPr>
        <w:spacing w:after="0" w:line="46" w:lineRule="exact"/>
        <w:rPr>
          <w:rFonts w:ascii="Arial" w:cs="Arial" w:eastAsia="Arial" w:hAnsi="Arial"/>
          <w:sz w:val="16"/>
          <w:szCs w:val="16"/>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discussed above, included in Mr. Pearce's "Other" compensation column are severance payments of $115,381.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 of Plan-Based Awards for 2023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grants of plan-based awards made during fiscal 2023 to the NEOs.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7"/>
          </w:tcPr>
          <w:p>
            <w:pPr>
              <w:jc w:val="center"/>
              <w:ind w:right="240"/>
              <w:spacing w:after="0"/>
              <w:rPr>
                <w:sz w:val="20"/>
                <w:szCs w:val="20"/>
                <w:color w:val="auto"/>
              </w:rPr>
            </w:pPr>
            <w:r>
              <w:rPr>
                <w:rFonts w:ascii="Arial" w:cs="Arial" w:eastAsia="Arial" w:hAnsi="Arial"/>
                <w:sz w:val="12"/>
                <w:szCs w:val="12"/>
                <w:b w:val="1"/>
                <w:bCs w:val="1"/>
                <w:color w:val="auto"/>
                <w:w w:val="89"/>
              </w:rPr>
              <w:t>Estimated Future Payouts Under Non-Equity</w:t>
            </w:r>
          </w:p>
        </w:tc>
        <w:tc>
          <w:tcPr>
            <w:tcW w:w="2520" w:type="dxa"/>
            <w:vAlign w:val="bottom"/>
            <w:gridSpan w:val="5"/>
          </w:tcPr>
          <w:p>
            <w:pPr>
              <w:jc w:val="center"/>
              <w:spacing w:after="0"/>
              <w:rPr>
                <w:sz w:val="20"/>
                <w:szCs w:val="20"/>
                <w:color w:val="auto"/>
              </w:rPr>
            </w:pPr>
            <w:r>
              <w:rPr>
                <w:rFonts w:ascii="Arial" w:cs="Arial" w:eastAsia="Arial" w:hAnsi="Arial"/>
                <w:sz w:val="12"/>
                <w:szCs w:val="12"/>
                <w:b w:val="1"/>
                <w:bCs w:val="1"/>
                <w:color w:val="auto"/>
                <w:w w:val="88"/>
              </w:rPr>
              <w:t>Estimated Future Payouts Under</w:t>
            </w:r>
          </w:p>
        </w:tc>
      </w:tr>
      <w:tr>
        <w:trPr>
          <w:trHeight w:val="153"/>
        </w:trPr>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6"/>
          </w:tcPr>
          <w:p>
            <w:pPr>
              <w:jc w:val="center"/>
              <w:ind w:right="42"/>
              <w:spacing w:after="0"/>
              <w:rPr>
                <w:sz w:val="20"/>
                <w:szCs w:val="20"/>
                <w:color w:val="auto"/>
              </w:rPr>
            </w:pPr>
            <w:r>
              <w:rPr>
                <w:rFonts w:ascii="Arial" w:cs="Arial" w:eastAsia="Arial" w:hAnsi="Arial"/>
                <w:sz w:val="12"/>
                <w:szCs w:val="12"/>
                <w:b w:val="1"/>
                <w:bCs w:val="1"/>
                <w:color w:val="auto"/>
                <w:w w:val="89"/>
              </w:rPr>
              <w:t>Incentive Plan Awards (1)</w:t>
            </w:r>
          </w:p>
        </w:tc>
        <w:tc>
          <w:tcPr>
            <w:tcW w:w="120" w:type="dxa"/>
            <w:vAlign w:val="bottom"/>
          </w:tcPr>
          <w:p>
            <w:pPr>
              <w:spacing w:after="0"/>
              <w:rPr>
                <w:sz w:val="13"/>
                <w:szCs w:val="13"/>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w w:val="89"/>
              </w:rPr>
              <w:t>Equity Incentive Plan Awards (2)</w:t>
            </w:r>
          </w:p>
        </w:tc>
      </w:tr>
      <w:tr>
        <w:trPr>
          <w:trHeight w:val="301"/>
        </w:trPr>
        <w:tc>
          <w:tcPr>
            <w:tcW w:w="88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Name</w:t>
            </w:r>
          </w:p>
        </w:tc>
        <w:tc>
          <w:tcPr>
            <w:tcW w:w="120" w:type="dxa"/>
            <w:vAlign w:val="bottom"/>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Grant Date</w:t>
            </w:r>
          </w:p>
        </w:tc>
        <w:tc>
          <w:tcPr>
            <w:tcW w:w="300" w:type="dxa"/>
            <w:vAlign w:val="bottom"/>
          </w:tcPr>
          <w:p>
            <w:pPr>
              <w:spacing w:after="0"/>
              <w:rPr>
                <w:sz w:val="24"/>
                <w:szCs w:val="24"/>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2"/>
              </w:rPr>
              <w:t>Threshold ($)</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91"/>
              </w:rPr>
              <w:t>Target ($)</w:t>
            </w:r>
          </w:p>
        </w:tc>
        <w:tc>
          <w:tcPr>
            <w:tcW w:w="12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8"/>
              </w:rPr>
              <w:t>Maximum ($)</w:t>
            </w:r>
          </w:p>
        </w:tc>
        <w:tc>
          <w:tcPr>
            <w:tcW w:w="12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4"/>
              </w:rPr>
              <w:t>Threshold (#)</w:t>
            </w:r>
          </w:p>
        </w:tc>
        <w:tc>
          <w:tcPr>
            <w:tcW w:w="120" w:type="dxa"/>
            <w:vAlign w:val="bottom"/>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Target (#)</w:t>
            </w: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8"/>
              </w:rPr>
              <w:t>Maximum (#)</w:t>
            </w:r>
          </w:p>
        </w:tc>
      </w:tr>
      <w:tr>
        <w:trPr>
          <w:trHeight w:val="156"/>
        </w:trPr>
        <w:tc>
          <w:tcPr>
            <w:tcW w:w="880" w:type="dxa"/>
            <w:vAlign w:val="bottom"/>
          </w:tcPr>
          <w:p>
            <w:pPr>
              <w:ind w:left="20"/>
              <w:spacing w:after="0"/>
              <w:rPr>
                <w:sz w:val="20"/>
                <w:szCs w:val="20"/>
                <w:color w:val="auto"/>
              </w:rPr>
            </w:pPr>
            <w:r>
              <w:rPr>
                <w:rFonts w:ascii="Arial" w:cs="Arial" w:eastAsia="Arial" w:hAnsi="Arial"/>
                <w:sz w:val="12"/>
                <w:szCs w:val="12"/>
                <w:color w:val="auto"/>
              </w:rPr>
              <w:t>R.R. Shaller</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gridSpan w:val="2"/>
          </w:tcPr>
          <w:p>
            <w:pPr>
              <w:ind w:left="320"/>
              <w:spacing w:after="0"/>
              <w:rPr>
                <w:sz w:val="20"/>
                <w:szCs w:val="20"/>
                <w:color w:val="auto"/>
              </w:rPr>
            </w:pPr>
            <w:r>
              <w:rPr>
                <w:rFonts w:ascii="Arial" w:cs="Arial" w:eastAsia="Arial" w:hAnsi="Arial"/>
                <w:sz w:val="12"/>
                <w:szCs w:val="12"/>
                <w:color w:val="auto"/>
                <w:w w:val="89"/>
              </w:rPr>
              <w:t>$</w:t>
            </w:r>
          </w:p>
        </w:tc>
        <w:tc>
          <w:tcPr>
            <w:tcW w:w="78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795,000</w:t>
            </w:r>
          </w:p>
        </w:tc>
        <w:tc>
          <w:tcPr>
            <w:tcW w:w="120" w:type="dxa"/>
            <w:vAlign w:val="bottom"/>
          </w:tcPr>
          <w:p>
            <w:pPr>
              <w:spacing w:after="0"/>
              <w:rPr>
                <w:sz w:val="13"/>
                <w:szCs w:val="13"/>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w w:val="96"/>
              </w:rPr>
              <w:t>$   2,385,000</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8/1/2022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2,607</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10,428</w:t>
            </w:r>
          </w:p>
        </w:tc>
        <w:tc>
          <w:tcPr>
            <w:tcW w:w="1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20,856</w:t>
            </w:r>
          </w:p>
        </w:tc>
      </w:tr>
      <w:tr>
        <w:trPr>
          <w:trHeight w:val="176"/>
        </w:trPr>
        <w:tc>
          <w:tcPr>
            <w:tcW w:w="880" w:type="dxa"/>
            <w:vAlign w:val="bottom"/>
          </w:tcPr>
          <w:p>
            <w:pPr>
              <w:spacing w:after="0"/>
              <w:rPr>
                <w:sz w:val="15"/>
                <w:szCs w:val="15"/>
                <w:color w:val="auto"/>
              </w:rPr>
            </w:pPr>
          </w:p>
        </w:tc>
        <w:tc>
          <w:tcPr>
            <w:tcW w:w="9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8/1/2022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2,607</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10,428</w:t>
            </w:r>
          </w:p>
        </w:tc>
        <w:tc>
          <w:tcPr>
            <w:tcW w:w="1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20,856</w:t>
            </w:r>
          </w:p>
        </w:tc>
      </w:tr>
      <w:tr>
        <w:trPr>
          <w:trHeight w:val="176"/>
        </w:trPr>
        <w:tc>
          <w:tcPr>
            <w:tcW w:w="880" w:type="dxa"/>
            <w:vAlign w:val="bottom"/>
          </w:tcPr>
          <w:p>
            <w:pPr>
              <w:ind w:left="20"/>
              <w:spacing w:after="0"/>
              <w:rPr>
                <w:sz w:val="20"/>
                <w:szCs w:val="20"/>
                <w:color w:val="auto"/>
              </w:rPr>
            </w:pPr>
            <w:r>
              <w:rPr>
                <w:rFonts w:ascii="Arial" w:cs="Arial" w:eastAsia="Arial" w:hAnsi="Arial"/>
                <w:sz w:val="12"/>
                <w:szCs w:val="12"/>
                <w:color w:val="auto"/>
              </w:rPr>
              <w:t>A.E. Thornton</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153,125</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459,375</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9/19/2022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9/19/2022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880" w:type="dxa"/>
            <w:vAlign w:val="bottom"/>
          </w:tcPr>
          <w:p>
            <w:pPr>
              <w:ind w:left="20"/>
              <w:spacing w:after="0"/>
              <w:rPr>
                <w:sz w:val="20"/>
                <w:szCs w:val="20"/>
                <w:color w:val="auto"/>
              </w:rPr>
            </w:pPr>
            <w:r>
              <w:rPr>
                <w:rFonts w:ascii="Arial" w:cs="Arial" w:eastAsia="Arial" w:hAnsi="Arial"/>
                <w:sz w:val="12"/>
                <w:szCs w:val="12"/>
                <w:color w:val="auto"/>
              </w:rPr>
              <w:t>O. Bojarski</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330,000</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990,000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8/25/2022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880" w:type="dxa"/>
            <w:vAlign w:val="bottom"/>
          </w:tcPr>
          <w:p>
            <w:pPr>
              <w:ind w:left="20"/>
              <w:spacing w:after="0"/>
              <w:rPr>
                <w:sz w:val="20"/>
                <w:szCs w:val="20"/>
                <w:color w:val="auto"/>
              </w:rPr>
            </w:pPr>
            <w:r>
              <w:rPr>
                <w:rFonts w:ascii="Arial" w:cs="Arial" w:eastAsia="Arial" w:hAnsi="Arial"/>
                <w:sz w:val="12"/>
                <w:szCs w:val="12"/>
                <w:color w:val="auto"/>
              </w:rPr>
              <w:t>B.N. Curran</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201,000</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603,000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8/1/2022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206</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823</w:t>
            </w:r>
          </w:p>
        </w:tc>
        <w:tc>
          <w:tcPr>
            <w:tcW w:w="1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1,646</w:t>
            </w:r>
          </w:p>
        </w:tc>
      </w:tr>
      <w:tr>
        <w:trPr>
          <w:trHeight w:val="176"/>
        </w:trPr>
        <w:tc>
          <w:tcPr>
            <w:tcW w:w="880" w:type="dxa"/>
            <w:vAlign w:val="bottom"/>
          </w:tcPr>
          <w:p>
            <w:pPr>
              <w:spacing w:after="0"/>
              <w:rPr>
                <w:sz w:val="15"/>
                <w:szCs w:val="15"/>
                <w:color w:val="auto"/>
              </w:rPr>
            </w:pPr>
          </w:p>
        </w:tc>
        <w:tc>
          <w:tcPr>
            <w:tcW w:w="9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8/1/2022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206</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823</w:t>
            </w:r>
          </w:p>
        </w:tc>
        <w:tc>
          <w:tcPr>
            <w:tcW w:w="1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1,646</w:t>
            </w: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9/19/2022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9/19/2022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880" w:type="dxa"/>
            <w:vAlign w:val="bottom"/>
          </w:tcPr>
          <w:p>
            <w:pPr>
              <w:ind w:left="20"/>
              <w:spacing w:after="0"/>
              <w:rPr>
                <w:sz w:val="20"/>
                <w:szCs w:val="20"/>
                <w:color w:val="auto"/>
              </w:rPr>
            </w:pPr>
            <w:r>
              <w:rPr>
                <w:rFonts w:ascii="Arial" w:cs="Arial" w:eastAsia="Arial" w:hAnsi="Arial"/>
                <w:sz w:val="12"/>
                <w:szCs w:val="12"/>
                <w:color w:val="auto"/>
              </w:rPr>
              <w:t>A.T. Gorman</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162,750</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488,250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880" w:type="dxa"/>
            <w:vAlign w:val="bottom"/>
          </w:tcPr>
          <w:p>
            <w:pPr>
              <w:spacing w:after="0"/>
              <w:rPr>
                <w:sz w:val="15"/>
                <w:szCs w:val="15"/>
                <w:color w:val="auto"/>
              </w:rPr>
            </w:pPr>
          </w:p>
        </w:tc>
        <w:tc>
          <w:tcPr>
            <w:tcW w:w="9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8/1/2022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260</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1,039</w:t>
            </w:r>
          </w:p>
        </w:tc>
        <w:tc>
          <w:tcPr>
            <w:tcW w:w="1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2,078</w:t>
            </w:r>
          </w:p>
        </w:tc>
      </w:tr>
      <w:tr>
        <w:trPr>
          <w:trHeight w:val="176"/>
        </w:trPr>
        <w:tc>
          <w:tcPr>
            <w:tcW w:w="880" w:type="dxa"/>
            <w:vAlign w:val="bottom"/>
          </w:tcPr>
          <w:p>
            <w:pPr>
              <w:spacing w:after="0"/>
              <w:rPr>
                <w:sz w:val="15"/>
                <w:szCs w:val="15"/>
                <w:color w:val="auto"/>
              </w:rPr>
            </w:pPr>
          </w:p>
        </w:tc>
        <w:tc>
          <w:tcPr>
            <w:tcW w:w="9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8/1/2022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260</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1,039</w:t>
            </w:r>
          </w:p>
        </w:tc>
        <w:tc>
          <w:tcPr>
            <w:tcW w:w="1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2,078</w:t>
            </w: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9/19/2022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9/19/2022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880" w:type="dxa"/>
            <w:vAlign w:val="bottom"/>
          </w:tcPr>
          <w:p>
            <w:pPr>
              <w:ind w:left="20"/>
              <w:spacing w:after="0"/>
              <w:rPr>
                <w:sz w:val="20"/>
                <w:szCs w:val="20"/>
                <w:color w:val="auto"/>
              </w:rPr>
            </w:pPr>
            <w:r>
              <w:rPr>
                <w:rFonts w:ascii="Arial" w:cs="Arial" w:eastAsia="Arial" w:hAnsi="Arial"/>
                <w:sz w:val="12"/>
                <w:szCs w:val="12"/>
                <w:color w:val="auto"/>
              </w:rPr>
              <w:t>P. Deman</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145,256</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435,768</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880" w:type="dxa"/>
            <w:vAlign w:val="bottom"/>
          </w:tcPr>
          <w:p>
            <w:pPr>
              <w:spacing w:after="0"/>
              <w:rPr>
                <w:sz w:val="15"/>
                <w:szCs w:val="15"/>
                <w:color w:val="auto"/>
              </w:rPr>
            </w:pPr>
          </w:p>
        </w:tc>
        <w:tc>
          <w:tcPr>
            <w:tcW w:w="9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9/6/2022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142</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569</w:t>
            </w:r>
          </w:p>
        </w:tc>
        <w:tc>
          <w:tcPr>
            <w:tcW w:w="1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1,138</w:t>
            </w:r>
          </w:p>
        </w:tc>
      </w:tr>
      <w:tr>
        <w:trPr>
          <w:trHeight w:val="176"/>
        </w:trPr>
        <w:tc>
          <w:tcPr>
            <w:tcW w:w="880" w:type="dxa"/>
            <w:vAlign w:val="bottom"/>
          </w:tcPr>
          <w:p>
            <w:pPr>
              <w:spacing w:after="0"/>
              <w:rPr>
                <w:sz w:val="15"/>
                <w:szCs w:val="15"/>
                <w:color w:val="auto"/>
              </w:rPr>
            </w:pPr>
          </w:p>
        </w:tc>
        <w:tc>
          <w:tcPr>
            <w:tcW w:w="9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9/6/2022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142</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569</w:t>
            </w:r>
          </w:p>
        </w:tc>
        <w:tc>
          <w:tcPr>
            <w:tcW w:w="1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1,138</w:t>
            </w: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9/19/2022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9/19/2022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880" w:type="dxa"/>
            <w:vAlign w:val="bottom"/>
          </w:tcPr>
          <w:p>
            <w:pPr>
              <w:ind w:left="20"/>
              <w:spacing w:after="0"/>
              <w:rPr>
                <w:sz w:val="20"/>
                <w:szCs w:val="20"/>
                <w:color w:val="auto"/>
              </w:rPr>
            </w:pPr>
            <w:r>
              <w:rPr>
                <w:rFonts w:ascii="Arial" w:cs="Arial" w:eastAsia="Arial" w:hAnsi="Arial"/>
                <w:sz w:val="12"/>
                <w:szCs w:val="12"/>
                <w:color w:val="auto"/>
              </w:rPr>
              <w:t>A.J. Pearce</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350,000</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1,050,000</w:t>
            </w: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8/1/2022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1,029</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4,114</w:t>
            </w:r>
          </w:p>
        </w:tc>
        <w:tc>
          <w:tcPr>
            <w:tcW w:w="1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8,228</w:t>
            </w: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62"/>
              <w:spacing w:after="0"/>
              <w:rPr>
                <w:sz w:val="20"/>
                <w:szCs w:val="20"/>
                <w:color w:val="auto"/>
              </w:rPr>
            </w:pPr>
            <w:r>
              <w:rPr>
                <w:rFonts w:ascii="Arial" w:cs="Arial" w:eastAsia="Arial" w:hAnsi="Arial"/>
                <w:sz w:val="12"/>
                <w:szCs w:val="12"/>
                <w:color w:val="auto"/>
                <w:w w:val="89"/>
              </w:rPr>
              <w:t>8/1/2022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1,029</w:t>
            </w:r>
          </w:p>
        </w:tc>
        <w:tc>
          <w:tcPr>
            <w:tcW w:w="120" w:type="dxa"/>
            <w:vAlign w:val="bottom"/>
          </w:tcPr>
          <w:p>
            <w:pPr>
              <w:spacing w:after="0"/>
              <w:rPr>
                <w:sz w:val="15"/>
                <w:szCs w:val="15"/>
                <w:color w:val="auto"/>
              </w:rPr>
            </w:pP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4,114</w:t>
            </w:r>
          </w:p>
        </w:tc>
        <w:tc>
          <w:tcPr>
            <w:tcW w:w="100" w:type="dxa"/>
            <w:vAlign w:val="bottom"/>
          </w:tcPr>
          <w:p>
            <w:pPr>
              <w:spacing w:after="0"/>
              <w:rPr>
                <w:sz w:val="15"/>
                <w:szCs w:val="15"/>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8,228</w:t>
            </w: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9/30/2020</w:t>
            </w:r>
          </w:p>
        </w:tc>
        <w:tc>
          <w:tcPr>
            <w:tcW w:w="300" w:type="dxa"/>
            <w:vAlign w:val="bottom"/>
          </w:tcPr>
          <w:p>
            <w:pPr>
              <w:jc w:val="right"/>
              <w:ind w:right="82"/>
              <w:spacing w:after="0"/>
              <w:rPr>
                <w:sz w:val="20"/>
                <w:szCs w:val="20"/>
                <w:color w:val="auto"/>
              </w:rPr>
            </w:pPr>
            <w:r>
              <w:rPr>
                <w:rFonts w:ascii="Arial" w:cs="Arial" w:eastAsia="Arial" w:hAnsi="Arial"/>
                <w:sz w:val="12"/>
                <w:szCs w:val="12"/>
                <w:color w:val="auto"/>
                <w:w w:val="95"/>
              </w:rPr>
              <w:t>(5)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9/16/2021</w:t>
            </w:r>
          </w:p>
        </w:tc>
        <w:tc>
          <w:tcPr>
            <w:tcW w:w="300" w:type="dxa"/>
            <w:vAlign w:val="bottom"/>
          </w:tcPr>
          <w:p>
            <w:pPr>
              <w:jc w:val="right"/>
              <w:ind w:right="82"/>
              <w:spacing w:after="0"/>
              <w:rPr>
                <w:sz w:val="20"/>
                <w:szCs w:val="20"/>
                <w:color w:val="auto"/>
              </w:rPr>
            </w:pPr>
            <w:r>
              <w:rPr>
                <w:rFonts w:ascii="Arial" w:cs="Arial" w:eastAsia="Arial" w:hAnsi="Arial"/>
                <w:sz w:val="12"/>
                <w:szCs w:val="12"/>
                <w:color w:val="auto"/>
                <w:w w:val="95"/>
              </w:rPr>
              <w:t>(5)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9/19/2022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9/23/2016</w:t>
            </w:r>
          </w:p>
        </w:tc>
        <w:tc>
          <w:tcPr>
            <w:tcW w:w="300" w:type="dxa"/>
            <w:vAlign w:val="bottom"/>
          </w:tcPr>
          <w:p>
            <w:pPr>
              <w:jc w:val="right"/>
              <w:ind w:right="82"/>
              <w:spacing w:after="0"/>
              <w:rPr>
                <w:sz w:val="20"/>
                <w:szCs w:val="20"/>
                <w:color w:val="auto"/>
              </w:rPr>
            </w:pPr>
            <w:r>
              <w:rPr>
                <w:rFonts w:ascii="Arial" w:cs="Arial" w:eastAsia="Arial" w:hAnsi="Arial"/>
                <w:sz w:val="12"/>
                <w:szCs w:val="12"/>
                <w:color w:val="auto"/>
                <w:w w:val="95"/>
              </w:rPr>
              <w:t>(5)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9/22/2017</w:t>
            </w:r>
          </w:p>
        </w:tc>
        <w:tc>
          <w:tcPr>
            <w:tcW w:w="300" w:type="dxa"/>
            <w:vAlign w:val="bottom"/>
          </w:tcPr>
          <w:p>
            <w:pPr>
              <w:jc w:val="right"/>
              <w:ind w:right="82"/>
              <w:spacing w:after="0"/>
              <w:rPr>
                <w:sz w:val="20"/>
                <w:szCs w:val="20"/>
                <w:color w:val="auto"/>
              </w:rPr>
            </w:pPr>
            <w:r>
              <w:rPr>
                <w:rFonts w:ascii="Arial" w:cs="Arial" w:eastAsia="Arial" w:hAnsi="Arial"/>
                <w:sz w:val="12"/>
                <w:szCs w:val="12"/>
                <w:color w:val="auto"/>
                <w:w w:val="95"/>
              </w:rPr>
              <w:t>(5)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9/25/2018</w:t>
            </w:r>
          </w:p>
        </w:tc>
        <w:tc>
          <w:tcPr>
            <w:tcW w:w="300" w:type="dxa"/>
            <w:vAlign w:val="bottom"/>
          </w:tcPr>
          <w:p>
            <w:pPr>
              <w:jc w:val="right"/>
              <w:ind w:right="82"/>
              <w:spacing w:after="0"/>
              <w:rPr>
                <w:sz w:val="20"/>
                <w:szCs w:val="20"/>
                <w:color w:val="auto"/>
              </w:rPr>
            </w:pPr>
            <w:r>
              <w:rPr>
                <w:rFonts w:ascii="Arial" w:cs="Arial" w:eastAsia="Arial" w:hAnsi="Arial"/>
                <w:sz w:val="12"/>
                <w:szCs w:val="12"/>
                <w:color w:val="auto"/>
                <w:w w:val="95"/>
              </w:rPr>
              <w:t>(5)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9/20/2019</w:t>
            </w:r>
          </w:p>
        </w:tc>
        <w:tc>
          <w:tcPr>
            <w:tcW w:w="300" w:type="dxa"/>
            <w:vAlign w:val="bottom"/>
          </w:tcPr>
          <w:p>
            <w:pPr>
              <w:jc w:val="right"/>
              <w:ind w:right="82"/>
              <w:spacing w:after="0"/>
              <w:rPr>
                <w:sz w:val="20"/>
                <w:szCs w:val="20"/>
                <w:color w:val="auto"/>
              </w:rPr>
            </w:pPr>
            <w:r>
              <w:rPr>
                <w:rFonts w:ascii="Arial" w:cs="Arial" w:eastAsia="Arial" w:hAnsi="Arial"/>
                <w:sz w:val="12"/>
                <w:szCs w:val="12"/>
                <w:color w:val="auto"/>
                <w:w w:val="95"/>
              </w:rPr>
              <w:t>(5)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9/30/2020</w:t>
            </w:r>
          </w:p>
        </w:tc>
        <w:tc>
          <w:tcPr>
            <w:tcW w:w="300" w:type="dxa"/>
            <w:vAlign w:val="bottom"/>
          </w:tcPr>
          <w:p>
            <w:pPr>
              <w:jc w:val="right"/>
              <w:ind w:right="82"/>
              <w:spacing w:after="0"/>
              <w:rPr>
                <w:sz w:val="20"/>
                <w:szCs w:val="20"/>
                <w:color w:val="auto"/>
              </w:rPr>
            </w:pPr>
            <w:r>
              <w:rPr>
                <w:rFonts w:ascii="Arial" w:cs="Arial" w:eastAsia="Arial" w:hAnsi="Arial"/>
                <w:sz w:val="12"/>
                <w:szCs w:val="12"/>
                <w:color w:val="auto"/>
                <w:w w:val="95"/>
              </w:rPr>
              <w:t>(5)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5"/>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9/16/2021</w:t>
            </w:r>
          </w:p>
        </w:tc>
        <w:tc>
          <w:tcPr>
            <w:tcW w:w="300" w:type="dxa"/>
            <w:vAlign w:val="bottom"/>
          </w:tcPr>
          <w:p>
            <w:pPr>
              <w:jc w:val="right"/>
              <w:ind w:right="82"/>
              <w:spacing w:after="0"/>
              <w:rPr>
                <w:sz w:val="20"/>
                <w:szCs w:val="20"/>
                <w:color w:val="auto"/>
              </w:rPr>
            </w:pPr>
            <w:r>
              <w:rPr>
                <w:rFonts w:ascii="Arial" w:cs="Arial" w:eastAsia="Arial" w:hAnsi="Arial"/>
                <w:sz w:val="12"/>
                <w:szCs w:val="12"/>
                <w:color w:val="auto"/>
                <w:w w:val="95"/>
              </w:rPr>
              <w:t>(5)</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880" w:type="dxa"/>
            <w:vAlign w:val="bottom"/>
          </w:tcPr>
          <w:p>
            <w:pPr>
              <w:spacing w:after="0"/>
              <w:rPr>
                <w:sz w:val="15"/>
                <w:szCs w:val="15"/>
                <w:color w:val="auto"/>
              </w:rPr>
            </w:pPr>
          </w:p>
        </w:tc>
        <w:tc>
          <w:tcPr>
            <w:tcW w:w="940" w:type="dxa"/>
            <w:vAlign w:val="bottom"/>
            <w:gridSpan w:val="2"/>
          </w:tcPr>
          <w:p>
            <w:pPr>
              <w:jc w:val="center"/>
              <w:ind w:left="42"/>
              <w:spacing w:after="0"/>
              <w:rPr>
                <w:sz w:val="20"/>
                <w:szCs w:val="20"/>
                <w:color w:val="auto"/>
              </w:rPr>
            </w:pPr>
            <w:r>
              <w:rPr>
                <w:rFonts w:ascii="Arial" w:cs="Arial" w:eastAsia="Arial" w:hAnsi="Arial"/>
                <w:sz w:val="12"/>
                <w:szCs w:val="12"/>
                <w:color w:val="auto"/>
                <w:w w:val="89"/>
              </w:rPr>
              <w:t>9/19/2022</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-4006850</wp:posOffset>
            </wp:positionV>
            <wp:extent cx="7132320" cy="1200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-3775710</wp:posOffset>
            </wp:positionV>
            <wp:extent cx="7132320" cy="1117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-3552825</wp:posOffset>
            </wp:positionV>
            <wp:extent cx="7132320" cy="1117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-3329940</wp:posOffset>
            </wp:positionV>
            <wp:extent cx="7132320" cy="1111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-3107055</wp:posOffset>
            </wp:positionV>
            <wp:extent cx="7132320" cy="1111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-2884170</wp:posOffset>
            </wp:positionV>
            <wp:extent cx="7132320" cy="1117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-2661285</wp:posOffset>
            </wp:positionV>
            <wp:extent cx="7132320" cy="1117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-2438400</wp:posOffset>
            </wp:positionV>
            <wp:extent cx="7132320" cy="1117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-2215515</wp:posOffset>
            </wp:positionV>
            <wp:extent cx="7132320" cy="1117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-1992630</wp:posOffset>
            </wp:positionV>
            <wp:extent cx="7132320" cy="1111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-1769745</wp:posOffset>
            </wp:positionV>
            <wp:extent cx="7132320" cy="1111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-1546860</wp:posOffset>
            </wp:positionV>
            <wp:extent cx="7132320" cy="11112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-1323975</wp:posOffset>
            </wp:positionV>
            <wp:extent cx="7132320" cy="1111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-1101090</wp:posOffset>
            </wp:positionV>
            <wp:extent cx="7132320" cy="11112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-878205</wp:posOffset>
            </wp:positionV>
            <wp:extent cx="7132320" cy="1111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-655320</wp:posOffset>
            </wp:positionV>
            <wp:extent cx="7132320" cy="1111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-432435</wp:posOffset>
            </wp:positionV>
            <wp:extent cx="7132320" cy="1111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1111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All Other</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16"/>
        </w:trPr>
        <w:tc>
          <w:tcPr>
            <w:tcW w:w="980" w:type="dxa"/>
            <w:vAlign w:val="bottom"/>
            <w:gridSpan w:val="2"/>
          </w:tcPr>
          <w:p>
            <w:pPr>
              <w:jc w:val="center"/>
              <w:ind w:right="100"/>
              <w:spacing w:after="0" w:line="117" w:lineRule="exact"/>
              <w:rPr>
                <w:sz w:val="20"/>
                <w:szCs w:val="20"/>
                <w:color w:val="auto"/>
              </w:rPr>
            </w:pPr>
            <w:r>
              <w:rPr>
                <w:rFonts w:ascii="Arial" w:cs="Arial" w:eastAsia="Arial" w:hAnsi="Arial"/>
                <w:sz w:val="12"/>
                <w:szCs w:val="12"/>
                <w:b w:val="1"/>
                <w:bCs w:val="1"/>
                <w:color w:val="auto"/>
                <w:w w:val="92"/>
              </w:rPr>
              <w:t>All Other Stock</w:t>
            </w:r>
          </w:p>
        </w:tc>
        <w:tc>
          <w:tcPr>
            <w:tcW w:w="960" w:type="dxa"/>
            <w:vAlign w:val="bottom"/>
            <w:gridSpan w:val="2"/>
          </w:tcPr>
          <w:p>
            <w:pPr>
              <w:jc w:val="center"/>
              <w:ind w:right="120"/>
              <w:spacing w:after="0" w:line="117" w:lineRule="exact"/>
              <w:rPr>
                <w:sz w:val="20"/>
                <w:szCs w:val="20"/>
                <w:color w:val="auto"/>
              </w:rPr>
            </w:pPr>
            <w:r>
              <w:rPr>
                <w:rFonts w:ascii="Arial" w:cs="Arial" w:eastAsia="Arial" w:hAnsi="Arial"/>
                <w:sz w:val="12"/>
                <w:szCs w:val="12"/>
                <w:b w:val="1"/>
                <w:bCs w:val="1"/>
                <w:color w:val="auto"/>
                <w:w w:val="89"/>
              </w:rPr>
              <w:t>Option Awards:</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1"/>
        </w:trPr>
        <w:tc>
          <w:tcPr>
            <w:tcW w:w="98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88"/>
              </w:rPr>
              <w:t>Awards:</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2"/>
                <w:szCs w:val="12"/>
                <w:b w:val="1"/>
                <w:bCs w:val="1"/>
                <w:color w:val="auto"/>
                <w:w w:val="89"/>
              </w:rPr>
              <w:t>Number of</w:t>
            </w:r>
          </w:p>
        </w:tc>
        <w:tc>
          <w:tcPr>
            <w:tcW w:w="80" w:type="dxa"/>
            <w:vAlign w:val="bottom"/>
          </w:tcPr>
          <w:p>
            <w:pPr>
              <w:spacing w:after="0"/>
              <w:rPr>
                <w:sz w:val="10"/>
                <w:szCs w:val="10"/>
                <w:color w:val="auto"/>
              </w:rPr>
            </w:pPr>
          </w:p>
        </w:tc>
        <w:tc>
          <w:tcPr>
            <w:tcW w:w="840" w:type="dxa"/>
            <w:vAlign w:val="bottom"/>
            <w:gridSpan w:val="2"/>
          </w:tcPr>
          <w:p>
            <w:pPr>
              <w:jc w:val="center"/>
              <w:ind w:right="160"/>
              <w:spacing w:after="0" w:line="122" w:lineRule="exact"/>
              <w:rPr>
                <w:sz w:val="20"/>
                <w:szCs w:val="20"/>
                <w:color w:val="auto"/>
              </w:rPr>
            </w:pPr>
            <w:r>
              <w:rPr>
                <w:rFonts w:ascii="Arial" w:cs="Arial" w:eastAsia="Arial" w:hAnsi="Arial"/>
                <w:sz w:val="12"/>
                <w:szCs w:val="12"/>
                <w:b w:val="1"/>
                <w:bCs w:val="1"/>
                <w:color w:val="auto"/>
                <w:w w:val="86"/>
              </w:rPr>
              <w:t>Exercise or</w:t>
            </w: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22"/>
        </w:trPr>
        <w:tc>
          <w:tcPr>
            <w:tcW w:w="980" w:type="dxa"/>
            <w:vAlign w:val="bottom"/>
            <w:gridSpan w:val="2"/>
          </w:tcPr>
          <w:p>
            <w:pPr>
              <w:jc w:val="center"/>
              <w:ind w:right="120"/>
              <w:spacing w:after="0" w:line="122" w:lineRule="exact"/>
              <w:rPr>
                <w:sz w:val="20"/>
                <w:szCs w:val="20"/>
                <w:color w:val="auto"/>
              </w:rPr>
            </w:pPr>
            <w:r>
              <w:rPr>
                <w:rFonts w:ascii="Arial" w:cs="Arial" w:eastAsia="Arial" w:hAnsi="Arial"/>
                <w:sz w:val="12"/>
                <w:szCs w:val="12"/>
                <w:b w:val="1"/>
                <w:bCs w:val="1"/>
                <w:color w:val="auto"/>
                <w:w w:val="89"/>
              </w:rPr>
              <w:t>Number of</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2"/>
                <w:szCs w:val="12"/>
                <w:b w:val="1"/>
                <w:bCs w:val="1"/>
                <w:color w:val="auto"/>
                <w:w w:val="87"/>
              </w:rPr>
              <w:t>Securities</w:t>
            </w:r>
          </w:p>
        </w:tc>
        <w:tc>
          <w:tcPr>
            <w:tcW w:w="80" w:type="dxa"/>
            <w:vAlign w:val="bottom"/>
          </w:tcPr>
          <w:p>
            <w:pPr>
              <w:spacing w:after="0"/>
              <w:rPr>
                <w:sz w:val="10"/>
                <w:szCs w:val="10"/>
                <w:color w:val="auto"/>
              </w:rPr>
            </w:pPr>
          </w:p>
        </w:tc>
        <w:tc>
          <w:tcPr>
            <w:tcW w:w="840" w:type="dxa"/>
            <w:vAlign w:val="bottom"/>
            <w:gridSpan w:val="2"/>
          </w:tcPr>
          <w:p>
            <w:pPr>
              <w:jc w:val="center"/>
              <w:ind w:right="160"/>
              <w:spacing w:after="0" w:line="122" w:lineRule="exact"/>
              <w:rPr>
                <w:sz w:val="20"/>
                <w:szCs w:val="20"/>
                <w:color w:val="auto"/>
              </w:rPr>
            </w:pPr>
            <w:r>
              <w:rPr>
                <w:rFonts w:ascii="Arial" w:cs="Arial" w:eastAsia="Arial" w:hAnsi="Arial"/>
                <w:sz w:val="12"/>
                <w:szCs w:val="12"/>
                <w:b w:val="1"/>
                <w:bCs w:val="1"/>
                <w:color w:val="auto"/>
                <w:w w:val="84"/>
              </w:rPr>
              <w:t>Base Price of</w:t>
            </w:r>
          </w:p>
        </w:tc>
        <w:tc>
          <w:tcPr>
            <w:tcW w:w="100" w:type="dxa"/>
            <w:vAlign w:val="bottom"/>
          </w:tcPr>
          <w:p>
            <w:pPr>
              <w:spacing w:after="0"/>
              <w:rPr>
                <w:sz w:val="10"/>
                <w:szCs w:val="10"/>
                <w:color w:val="auto"/>
              </w:rPr>
            </w:pPr>
          </w:p>
        </w:tc>
        <w:tc>
          <w:tcPr>
            <w:tcW w:w="920" w:type="dxa"/>
            <w:vAlign w:val="bottom"/>
          </w:tcPr>
          <w:p>
            <w:pPr>
              <w:jc w:val="center"/>
              <w:ind w:right="42"/>
              <w:spacing w:after="0" w:line="122" w:lineRule="exact"/>
              <w:rPr>
                <w:sz w:val="20"/>
                <w:szCs w:val="20"/>
                <w:color w:val="auto"/>
              </w:rPr>
            </w:pPr>
            <w:r>
              <w:rPr>
                <w:rFonts w:ascii="Arial" w:cs="Arial" w:eastAsia="Arial" w:hAnsi="Arial"/>
                <w:sz w:val="12"/>
                <w:szCs w:val="12"/>
                <w:b w:val="1"/>
                <w:bCs w:val="1"/>
                <w:color w:val="auto"/>
                <w:w w:val="94"/>
              </w:rPr>
              <w:t>Grant Date Fair</w:t>
            </w:r>
          </w:p>
        </w:tc>
      </w:tr>
      <w:tr>
        <w:trPr>
          <w:trHeight w:val="108"/>
        </w:trPr>
        <w:tc>
          <w:tcPr>
            <w:tcW w:w="980" w:type="dxa"/>
            <w:vAlign w:val="bottom"/>
            <w:gridSpan w:val="2"/>
          </w:tcPr>
          <w:p>
            <w:pPr>
              <w:jc w:val="center"/>
              <w:ind w:right="100"/>
              <w:spacing w:after="0" w:line="108" w:lineRule="exact"/>
              <w:rPr>
                <w:sz w:val="20"/>
                <w:szCs w:val="20"/>
                <w:color w:val="auto"/>
              </w:rPr>
            </w:pPr>
            <w:r>
              <w:rPr>
                <w:rFonts w:ascii="Arial" w:cs="Arial" w:eastAsia="Arial" w:hAnsi="Arial"/>
                <w:sz w:val="12"/>
                <w:szCs w:val="12"/>
                <w:b w:val="1"/>
                <w:bCs w:val="1"/>
                <w:color w:val="auto"/>
                <w:w w:val="83"/>
              </w:rPr>
              <w:t>Shares of Stock</w:t>
            </w:r>
          </w:p>
        </w:tc>
        <w:tc>
          <w:tcPr>
            <w:tcW w:w="960" w:type="dxa"/>
            <w:vAlign w:val="bottom"/>
            <w:gridSpan w:val="2"/>
          </w:tcPr>
          <w:p>
            <w:pPr>
              <w:jc w:val="center"/>
              <w:ind w:right="100"/>
              <w:spacing w:after="0" w:line="108" w:lineRule="exact"/>
              <w:rPr>
                <w:sz w:val="20"/>
                <w:szCs w:val="20"/>
                <w:color w:val="auto"/>
              </w:rPr>
            </w:pPr>
            <w:r>
              <w:rPr>
                <w:rFonts w:ascii="Arial" w:cs="Arial" w:eastAsia="Arial" w:hAnsi="Arial"/>
                <w:sz w:val="12"/>
                <w:szCs w:val="12"/>
                <w:b w:val="1"/>
                <w:bCs w:val="1"/>
                <w:color w:val="auto"/>
                <w:w w:val="92"/>
              </w:rPr>
              <w:t>Underlying</w:t>
            </w:r>
          </w:p>
        </w:tc>
        <w:tc>
          <w:tcPr>
            <w:tcW w:w="80" w:type="dxa"/>
            <w:vAlign w:val="bottom"/>
          </w:tcPr>
          <w:p>
            <w:pPr>
              <w:spacing w:after="0"/>
              <w:rPr>
                <w:sz w:val="9"/>
                <w:szCs w:val="9"/>
                <w:color w:val="auto"/>
              </w:rPr>
            </w:pPr>
          </w:p>
        </w:tc>
        <w:tc>
          <w:tcPr>
            <w:tcW w:w="840" w:type="dxa"/>
            <w:vAlign w:val="bottom"/>
            <w:gridSpan w:val="2"/>
          </w:tcPr>
          <w:p>
            <w:pPr>
              <w:jc w:val="center"/>
              <w:ind w:right="180"/>
              <w:spacing w:after="0" w:line="108" w:lineRule="exact"/>
              <w:rPr>
                <w:sz w:val="20"/>
                <w:szCs w:val="20"/>
                <w:color w:val="auto"/>
              </w:rPr>
            </w:pPr>
            <w:r>
              <w:rPr>
                <w:rFonts w:ascii="Arial" w:cs="Arial" w:eastAsia="Arial" w:hAnsi="Arial"/>
                <w:sz w:val="12"/>
                <w:szCs w:val="12"/>
                <w:b w:val="1"/>
                <w:bCs w:val="1"/>
                <w:color w:val="auto"/>
                <w:w w:val="87"/>
              </w:rPr>
              <w:t>Stock or</w:t>
            </w:r>
          </w:p>
        </w:tc>
        <w:tc>
          <w:tcPr>
            <w:tcW w:w="1020" w:type="dxa"/>
            <w:vAlign w:val="bottom"/>
            <w:gridSpan w:val="2"/>
          </w:tcPr>
          <w:p>
            <w:pPr>
              <w:jc w:val="center"/>
              <w:spacing w:after="0" w:line="108" w:lineRule="exact"/>
              <w:rPr>
                <w:sz w:val="20"/>
                <w:szCs w:val="20"/>
                <w:color w:val="auto"/>
              </w:rPr>
            </w:pPr>
            <w:r>
              <w:rPr>
                <w:rFonts w:ascii="Arial" w:cs="Arial" w:eastAsia="Arial" w:hAnsi="Arial"/>
                <w:sz w:val="12"/>
                <w:szCs w:val="12"/>
                <w:b w:val="1"/>
                <w:bCs w:val="1"/>
                <w:color w:val="auto"/>
                <w:w w:val="87"/>
              </w:rPr>
              <w:t>Value of Stock and</w:t>
            </w:r>
          </w:p>
        </w:tc>
      </w:tr>
      <w:tr>
        <w:trPr>
          <w:trHeight w:val="121"/>
        </w:trPr>
        <w:tc>
          <w:tcPr>
            <w:tcW w:w="980" w:type="dxa"/>
            <w:vAlign w:val="bottom"/>
            <w:gridSpan w:val="2"/>
          </w:tcPr>
          <w:p>
            <w:pPr>
              <w:jc w:val="center"/>
              <w:ind w:right="140"/>
              <w:spacing w:after="0" w:line="122" w:lineRule="exact"/>
              <w:rPr>
                <w:sz w:val="20"/>
                <w:szCs w:val="20"/>
                <w:color w:val="auto"/>
              </w:rPr>
            </w:pPr>
            <w:r>
              <w:rPr>
                <w:rFonts w:ascii="Arial" w:cs="Arial" w:eastAsia="Arial" w:hAnsi="Arial"/>
                <w:sz w:val="12"/>
                <w:szCs w:val="12"/>
                <w:b w:val="1"/>
                <w:bCs w:val="1"/>
                <w:color w:val="auto"/>
                <w:w w:val="88"/>
              </w:rPr>
              <w:t>or Units</w:t>
            </w:r>
          </w:p>
        </w:tc>
        <w:tc>
          <w:tcPr>
            <w:tcW w:w="960" w:type="dxa"/>
            <w:vAlign w:val="bottom"/>
            <w:gridSpan w:val="2"/>
          </w:tcPr>
          <w:p>
            <w:pPr>
              <w:jc w:val="center"/>
              <w:ind w:right="100"/>
              <w:spacing w:after="0" w:line="122" w:lineRule="exact"/>
              <w:rPr>
                <w:sz w:val="20"/>
                <w:szCs w:val="20"/>
                <w:color w:val="auto"/>
              </w:rPr>
            </w:pPr>
            <w:r>
              <w:rPr>
                <w:rFonts w:ascii="Arial" w:cs="Arial" w:eastAsia="Arial" w:hAnsi="Arial"/>
                <w:sz w:val="12"/>
                <w:szCs w:val="12"/>
                <w:b w:val="1"/>
                <w:bCs w:val="1"/>
                <w:color w:val="auto"/>
                <w:w w:val="83"/>
              </w:rPr>
              <w:t>Options</w:t>
            </w:r>
          </w:p>
        </w:tc>
        <w:tc>
          <w:tcPr>
            <w:tcW w:w="920" w:type="dxa"/>
            <w:vAlign w:val="bottom"/>
            <w:gridSpan w:val="3"/>
          </w:tcPr>
          <w:p>
            <w:pPr>
              <w:ind w:left="40"/>
              <w:spacing w:after="0" w:line="122" w:lineRule="exact"/>
              <w:rPr>
                <w:sz w:val="20"/>
                <w:szCs w:val="20"/>
                <w:color w:val="auto"/>
              </w:rPr>
            </w:pPr>
            <w:r>
              <w:rPr>
                <w:rFonts w:ascii="Arial" w:cs="Arial" w:eastAsia="Arial" w:hAnsi="Arial"/>
                <w:sz w:val="12"/>
                <w:szCs w:val="12"/>
                <w:b w:val="1"/>
                <w:bCs w:val="1"/>
                <w:color w:val="auto"/>
              </w:rPr>
              <w:t>Option Awards</w:t>
            </w:r>
          </w:p>
        </w:tc>
        <w:tc>
          <w:tcPr>
            <w:tcW w:w="100" w:type="dxa"/>
            <w:vAlign w:val="bottom"/>
          </w:tcPr>
          <w:p>
            <w:pPr>
              <w:spacing w:after="0"/>
              <w:rPr>
                <w:sz w:val="10"/>
                <w:szCs w:val="10"/>
                <w:color w:val="auto"/>
              </w:rPr>
            </w:pPr>
          </w:p>
        </w:tc>
        <w:tc>
          <w:tcPr>
            <w:tcW w:w="920" w:type="dxa"/>
            <w:vAlign w:val="bottom"/>
          </w:tcPr>
          <w:p>
            <w:pPr>
              <w:jc w:val="center"/>
              <w:ind w:right="22"/>
              <w:spacing w:after="0" w:line="122" w:lineRule="exact"/>
              <w:rPr>
                <w:sz w:val="20"/>
                <w:szCs w:val="20"/>
                <w:color w:val="auto"/>
              </w:rPr>
            </w:pPr>
            <w:r>
              <w:rPr>
                <w:rFonts w:ascii="Arial" w:cs="Arial" w:eastAsia="Arial" w:hAnsi="Arial"/>
                <w:sz w:val="12"/>
                <w:szCs w:val="12"/>
                <w:b w:val="1"/>
                <w:bCs w:val="1"/>
                <w:color w:val="auto"/>
                <w:w w:val="88"/>
              </w:rPr>
              <w:t>Option Awards</w:t>
            </w:r>
          </w:p>
        </w:tc>
      </w:tr>
      <w:tr>
        <w:trPr>
          <w:trHeight w:val="159"/>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 (3)</w:t>
            </w:r>
          </w:p>
        </w:tc>
        <w:tc>
          <w:tcPr>
            <w:tcW w:w="12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22"/>
              <w:spacing w:after="0"/>
              <w:rPr>
                <w:sz w:val="20"/>
                <w:szCs w:val="20"/>
                <w:color w:val="auto"/>
              </w:rPr>
            </w:pPr>
            <w:r>
              <w:rPr>
                <w:rFonts w:ascii="Arial" w:cs="Arial" w:eastAsia="Arial" w:hAnsi="Arial"/>
                <w:sz w:val="12"/>
                <w:szCs w:val="12"/>
                <w:b w:val="1"/>
                <w:bCs w:val="1"/>
                <w:color w:val="auto"/>
                <w:w w:val="91"/>
              </w:rPr>
              <w:t>($) (4)</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42"/>
              <w:spacing w:after="0"/>
              <w:rPr>
                <w:sz w:val="20"/>
                <w:szCs w:val="20"/>
                <w:color w:val="auto"/>
              </w:rPr>
            </w:pPr>
            <w:r>
              <w:rPr>
                <w:rFonts w:ascii="Arial" w:cs="Arial" w:eastAsia="Arial" w:hAnsi="Arial"/>
                <w:sz w:val="12"/>
                <w:szCs w:val="12"/>
                <w:b w:val="1"/>
                <w:bCs w:val="1"/>
                <w:color w:val="auto"/>
                <w:w w:val="95"/>
              </w:rPr>
              <w:t>($)</w:t>
            </w:r>
          </w:p>
        </w:tc>
      </w:tr>
      <w:tr>
        <w:trPr>
          <w:trHeight w:val="328"/>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48.62</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507,010</w:t>
            </w:r>
          </w:p>
        </w:tc>
      </w:tr>
      <w:tr>
        <w:trPr>
          <w:trHeight w:val="176"/>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63.04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657,380</w:t>
            </w:r>
          </w:p>
        </w:tc>
      </w:tr>
      <w:tr>
        <w:trPr>
          <w:trHeight w:val="351"/>
        </w:trPr>
        <w:tc>
          <w:tcPr>
            <w:tcW w:w="860" w:type="dxa"/>
            <w:vAlign w:val="bottom"/>
          </w:tcPr>
          <w:p>
            <w:pPr>
              <w:jc w:val="right"/>
              <w:spacing w:after="0"/>
              <w:rPr>
                <w:sz w:val="20"/>
                <w:szCs w:val="20"/>
                <w:color w:val="auto"/>
              </w:rPr>
            </w:pPr>
            <w:r>
              <w:rPr>
                <w:rFonts w:ascii="Arial" w:cs="Arial" w:eastAsia="Arial" w:hAnsi="Arial"/>
                <w:sz w:val="12"/>
                <w:szCs w:val="12"/>
                <w:color w:val="auto"/>
              </w:rPr>
              <w:t>1,150</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43.50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50,025</w:t>
            </w:r>
          </w:p>
        </w:tc>
      </w:tr>
      <w:tr>
        <w:trPr>
          <w:trHeight w:val="176"/>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4,000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43.50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50,060</w:t>
            </w:r>
          </w:p>
        </w:tc>
      </w:tr>
      <w:tr>
        <w:trPr>
          <w:trHeight w:val="351"/>
        </w:trPr>
        <w:tc>
          <w:tcPr>
            <w:tcW w:w="860" w:type="dxa"/>
            <w:vAlign w:val="bottom"/>
          </w:tcPr>
          <w:p>
            <w:pPr>
              <w:jc w:val="right"/>
              <w:spacing w:after="0"/>
              <w:rPr>
                <w:sz w:val="20"/>
                <w:szCs w:val="20"/>
                <w:color w:val="auto"/>
              </w:rPr>
            </w:pPr>
            <w:r>
              <w:rPr>
                <w:rFonts w:ascii="Arial" w:cs="Arial" w:eastAsia="Arial" w:hAnsi="Arial"/>
                <w:sz w:val="12"/>
                <w:szCs w:val="12"/>
                <w:color w:val="auto"/>
              </w:rPr>
              <w:t>12,263</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48.93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600,029</w:t>
            </w:r>
          </w:p>
        </w:tc>
      </w:tr>
      <w:tr>
        <w:trPr>
          <w:trHeight w:val="351"/>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48.62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40,014</w:t>
            </w:r>
          </w:p>
        </w:tc>
      </w:tr>
      <w:tr>
        <w:trPr>
          <w:trHeight w:val="176"/>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63.04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51,882</w:t>
            </w:r>
          </w:p>
        </w:tc>
      </w:tr>
      <w:tr>
        <w:trPr>
          <w:trHeight w:val="175"/>
        </w:trPr>
        <w:tc>
          <w:tcPr>
            <w:tcW w:w="860" w:type="dxa"/>
            <w:vAlign w:val="bottom"/>
          </w:tcPr>
          <w:p>
            <w:pPr>
              <w:jc w:val="right"/>
              <w:spacing w:after="0"/>
              <w:rPr>
                <w:sz w:val="20"/>
                <w:szCs w:val="20"/>
                <w:color w:val="auto"/>
              </w:rPr>
            </w:pPr>
            <w:r>
              <w:rPr>
                <w:rFonts w:ascii="Arial" w:cs="Arial" w:eastAsia="Arial" w:hAnsi="Arial"/>
                <w:sz w:val="12"/>
                <w:szCs w:val="12"/>
                <w:color w:val="auto"/>
              </w:rPr>
              <w:t>1,380</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43.50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60,030</w:t>
            </w:r>
          </w:p>
        </w:tc>
      </w:tr>
      <w:tr>
        <w:trPr>
          <w:trHeight w:val="176"/>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4,799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43.50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60,060</w:t>
            </w:r>
          </w:p>
        </w:tc>
      </w:tr>
      <w:tr>
        <w:trPr>
          <w:trHeight w:val="351"/>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48.62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50,516</w:t>
            </w:r>
          </w:p>
        </w:tc>
      </w:tr>
      <w:tr>
        <w:trPr>
          <w:trHeight w:val="176"/>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63.04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65,499</w:t>
            </w:r>
          </w:p>
        </w:tc>
      </w:tr>
      <w:tr>
        <w:trPr>
          <w:trHeight w:val="175"/>
        </w:trPr>
        <w:tc>
          <w:tcPr>
            <w:tcW w:w="860" w:type="dxa"/>
            <w:vAlign w:val="bottom"/>
          </w:tcPr>
          <w:p>
            <w:pPr>
              <w:jc w:val="right"/>
              <w:spacing w:after="0"/>
              <w:rPr>
                <w:sz w:val="20"/>
                <w:szCs w:val="20"/>
                <w:color w:val="auto"/>
              </w:rPr>
            </w:pPr>
            <w:r>
              <w:rPr>
                <w:rFonts w:ascii="Arial" w:cs="Arial" w:eastAsia="Arial" w:hAnsi="Arial"/>
                <w:sz w:val="12"/>
                <w:szCs w:val="12"/>
                <w:color w:val="auto"/>
              </w:rPr>
              <w:t>1,742</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43.50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75,777</w:t>
            </w:r>
          </w:p>
        </w:tc>
      </w:tr>
      <w:tr>
        <w:trPr>
          <w:trHeight w:val="176"/>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6,059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43.50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75,828</w:t>
            </w:r>
          </w:p>
        </w:tc>
      </w:tr>
      <w:tr>
        <w:trPr>
          <w:trHeight w:val="351"/>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44.00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25,036</w:t>
            </w:r>
          </w:p>
        </w:tc>
      </w:tr>
      <w:tr>
        <w:trPr>
          <w:trHeight w:val="176"/>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63.04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35,870</w:t>
            </w:r>
          </w:p>
        </w:tc>
      </w:tr>
      <w:tr>
        <w:trPr>
          <w:trHeight w:val="175"/>
        </w:trPr>
        <w:tc>
          <w:tcPr>
            <w:tcW w:w="860" w:type="dxa"/>
            <w:vAlign w:val="bottom"/>
          </w:tcPr>
          <w:p>
            <w:pPr>
              <w:jc w:val="right"/>
              <w:spacing w:after="0"/>
              <w:rPr>
                <w:sz w:val="20"/>
                <w:szCs w:val="20"/>
                <w:color w:val="auto"/>
              </w:rPr>
            </w:pPr>
            <w:r>
              <w:rPr>
                <w:rFonts w:ascii="Arial" w:cs="Arial" w:eastAsia="Arial" w:hAnsi="Arial"/>
                <w:sz w:val="12"/>
                <w:szCs w:val="12"/>
                <w:color w:val="auto"/>
              </w:rPr>
              <w:t>863</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43.50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37,540</w:t>
            </w:r>
          </w:p>
        </w:tc>
      </w:tr>
      <w:tr>
        <w:trPr>
          <w:trHeight w:val="175"/>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3,000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43.50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37,545</w:t>
            </w:r>
          </w:p>
        </w:tc>
      </w:tr>
      <w:tr>
        <w:trPr>
          <w:trHeight w:val="351"/>
        </w:trPr>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48.62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200,023</w:t>
            </w:r>
          </w:p>
        </w:tc>
      </w:tr>
      <w:tr>
        <w:trPr>
          <w:trHeight w:val="175"/>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63.04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259,346</w:t>
            </w:r>
          </w:p>
        </w:tc>
      </w:tr>
      <w:tr>
        <w:trPr>
          <w:trHeight w:val="175"/>
        </w:trPr>
        <w:tc>
          <w:tcPr>
            <w:tcW w:w="860" w:type="dxa"/>
            <w:vAlign w:val="bottom"/>
          </w:tcPr>
          <w:p>
            <w:pPr>
              <w:jc w:val="right"/>
              <w:spacing w:after="0"/>
              <w:rPr>
                <w:sz w:val="20"/>
                <w:szCs w:val="20"/>
                <w:color w:val="auto"/>
              </w:rPr>
            </w:pPr>
            <w:r>
              <w:rPr>
                <w:rFonts w:ascii="Arial" w:cs="Arial" w:eastAsia="Arial" w:hAnsi="Arial"/>
                <w:sz w:val="12"/>
                <w:szCs w:val="12"/>
                <w:color w:val="auto"/>
              </w:rPr>
              <w:t>7,516</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52.37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131,187</w:t>
            </w:r>
          </w:p>
        </w:tc>
      </w:tr>
      <w:tr>
        <w:trPr>
          <w:trHeight w:val="175"/>
        </w:trPr>
        <w:tc>
          <w:tcPr>
            <w:tcW w:w="860" w:type="dxa"/>
            <w:vAlign w:val="bottom"/>
          </w:tcPr>
          <w:p>
            <w:pPr>
              <w:jc w:val="right"/>
              <w:spacing w:after="0"/>
              <w:rPr>
                <w:sz w:val="20"/>
                <w:szCs w:val="20"/>
                <w:color w:val="auto"/>
              </w:rPr>
            </w:pPr>
            <w:r>
              <w:rPr>
                <w:rFonts w:ascii="Arial" w:cs="Arial" w:eastAsia="Arial" w:hAnsi="Arial"/>
                <w:sz w:val="12"/>
                <w:szCs w:val="12"/>
                <w:color w:val="auto"/>
              </w:rPr>
              <w:t>6,026</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52.37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210,370</w:t>
            </w:r>
          </w:p>
        </w:tc>
      </w:tr>
      <w:tr>
        <w:trPr>
          <w:trHeight w:val="175"/>
        </w:trPr>
        <w:tc>
          <w:tcPr>
            <w:tcW w:w="860" w:type="dxa"/>
            <w:vAlign w:val="bottom"/>
          </w:tcPr>
          <w:p>
            <w:pPr>
              <w:jc w:val="right"/>
              <w:spacing w:after="0"/>
              <w:rPr>
                <w:sz w:val="20"/>
                <w:szCs w:val="20"/>
                <w:color w:val="auto"/>
              </w:rPr>
            </w:pPr>
            <w:r>
              <w:rPr>
                <w:rFonts w:ascii="Arial" w:cs="Arial" w:eastAsia="Arial" w:hAnsi="Arial"/>
                <w:sz w:val="12"/>
                <w:szCs w:val="12"/>
                <w:color w:val="auto"/>
              </w:rPr>
              <w:t>6,897</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43.50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300,020</w:t>
            </w:r>
          </w:p>
        </w:tc>
      </w:tr>
      <w:tr>
        <w:trPr>
          <w:trHeight w:val="176"/>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37,721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35.14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42,774</w:t>
            </w:r>
          </w:p>
        </w:tc>
      </w:tr>
      <w:tr>
        <w:trPr>
          <w:trHeight w:val="175"/>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34,071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36.85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63,792</w:t>
            </w:r>
          </w:p>
        </w:tc>
      </w:tr>
      <w:tr>
        <w:trPr>
          <w:trHeight w:val="175"/>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29,800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43.98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146,545</w:t>
            </w:r>
          </w:p>
        </w:tc>
      </w:tr>
      <w:tr>
        <w:trPr>
          <w:trHeight w:val="175"/>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27,262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54.05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294,647</w:t>
            </w:r>
          </w:p>
        </w:tc>
      </w:tr>
      <w:tr>
        <w:trPr>
          <w:trHeight w:val="175"/>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34,181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39.92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357,249</w:t>
            </w:r>
          </w:p>
        </w:tc>
      </w:tr>
      <w:tr>
        <w:trPr>
          <w:trHeight w:val="175"/>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25,620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49.79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343,168</w:t>
            </w:r>
          </w:p>
        </w:tc>
      </w:tr>
      <w:tr>
        <w:trPr>
          <w:trHeight w:val="176"/>
        </w:trPr>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23,995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43.50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300,298</w:t>
            </w:r>
          </w:p>
        </w:tc>
      </w:tr>
    </w:tbl>
    <w:p>
      <w:pPr>
        <w:spacing w:after="0" w:line="200" w:lineRule="exact"/>
        <w:rPr>
          <w:sz w:val="20"/>
          <w:szCs w:val="20"/>
          <w:color w:val="auto"/>
        </w:rPr>
      </w:pPr>
    </w:p>
    <w:p>
      <w:pPr>
        <w:sectPr>
          <w:pgSz w:w="11900" w:h="16838" w:orient="portrait"/>
          <w:cols w:equalWidth="0" w:num="2">
            <w:col w:w="7260" w:space="100"/>
            <w:col w:w="3880"/>
          </w:cols>
          <w:pgMar w:left="320" w:top="121" w:right="339" w:bottom="1440" w:gutter="0" w:footer="0" w:header="0"/>
          <w:type w:val="continuous"/>
        </w:sectPr>
      </w:pPr>
    </w:p>
    <w:p>
      <w:pPr>
        <w:spacing w:after="0" w:line="62" w:lineRule="exact"/>
        <w:rPr>
          <w:sz w:val="20"/>
          <w:szCs w:val="20"/>
          <w:color w:val="auto"/>
        </w:rPr>
      </w:pPr>
    </w:p>
    <w:p>
      <w:pPr>
        <w:jc w:val="both"/>
        <w:ind w:left="660" w:hanging="328"/>
        <w:spacing w:after="0" w:line="263" w:lineRule="auto"/>
        <w:tabs>
          <w:tab w:leader="none" w:pos="65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At its July 2022 meeting, the Committee approved the values of the annual cash incentive award threshold, target and maximums under the Company's annual cash incentive plan. The structure of the plan is described in the Compensation Discussion and Analysis above and was set prior to the beginning of the fiscal year.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55" w:lineRule="auto"/>
        <w:tabs>
          <w:tab w:leader="none" w:pos="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award represents PRSUs granted August 1, 2022, as part of the annual fiscal 2023 equity grant. Payout opportunities will range from 0% to 200% of the target award. Target payout is set at 100% of award value, with threshold and maximum payouts set at 25% and 200% of target award value, respectively.</w:t>
      </w:r>
    </w:p>
    <w:p>
      <w:pPr>
        <w:spacing w:after="0" w:line="2" w:lineRule="exact"/>
        <w:rPr>
          <w:rFonts w:ascii="Arial" w:cs="Arial" w:eastAsia="Arial" w:hAnsi="Arial"/>
          <w:sz w:val="18"/>
          <w:szCs w:val="18"/>
          <w:color w:val="auto"/>
        </w:rPr>
      </w:pPr>
    </w:p>
    <w:p>
      <w:pPr>
        <w:ind w:left="640" w:hanging="308"/>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RSU awards vest equally over three years.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column shows the exercise price for stock options awards and per-unit value of RSUs and PRSUs on the date of grant.The exercise price or base price for PRSU awards with a market condition granted on August 1, 2022, is based on a third-party valuation involving the use of a Monte Carlo simulation. The exercise price or base price for the remaining option, RSU, and PRSU awards is the average of the high and low prices of the Company’s Class A Common Stock as reported by the NYSE on the date of the grant.</w:t>
      </w:r>
    </w:p>
    <w:p>
      <w:pPr>
        <w:spacing w:after="0" w:line="1" w:lineRule="exact"/>
        <w:rPr>
          <w:rFonts w:ascii="Arial" w:cs="Arial" w:eastAsia="Arial" w:hAnsi="Arial"/>
          <w:sz w:val="18"/>
          <w:szCs w:val="18"/>
          <w:color w:val="auto"/>
        </w:rPr>
      </w:pPr>
    </w:p>
    <w:p>
      <w:pPr>
        <w:jc w:val="both"/>
        <w:ind w:left="660" w:hanging="328"/>
        <w:spacing w:after="0" w:line="295" w:lineRule="auto"/>
        <w:tabs>
          <w:tab w:leader="none" w:pos="654" w:val="left"/>
        </w:tabs>
        <w:numPr>
          <w:ilvl w:val="0"/>
          <w:numId w:val="44"/>
        </w:numPr>
        <w:rPr>
          <w:rFonts w:ascii="Arial" w:cs="Arial" w:eastAsia="Arial" w:hAnsi="Arial"/>
          <w:sz w:val="16"/>
          <w:szCs w:val="16"/>
          <w:color w:val="auto"/>
        </w:rPr>
      </w:pPr>
      <w:r>
        <w:rPr>
          <w:rFonts w:ascii="Arial" w:cs="Arial" w:eastAsia="Arial" w:hAnsi="Arial"/>
          <w:sz w:val="16"/>
          <w:szCs w:val="16"/>
          <w:color w:val="auto"/>
        </w:rPr>
        <w:t>Effective April 14, 2023, Mr. Pearce resigned from his position as Chief Financial Officer and Treasurer of the Company. As part of the resignation agreement, Mr. Pearce received full vesting of his outstanding stock options and RSUs that were granted on September 30, 2020 and September 16, 2021. In addition, all vested outstanding stock options as of April 28, 2023 for Mr. Pearce retained their original expiration date as stated in their respective award agreements. The incremental fair value related to these modified awards are reported in this table.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Equity Awards at July 31,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Option Awards</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940" w:type="dxa"/>
            <w:vAlign w:val="bottom"/>
            <w:tcBorders>
              <w:bottom w:val="single" w:sz="8" w:color="auto"/>
            </w:tcBorders>
            <w:gridSpan w:val="4"/>
          </w:tcPr>
          <w:p>
            <w:pPr>
              <w:ind w:left="1060"/>
              <w:spacing w:after="0"/>
              <w:rPr>
                <w:sz w:val="20"/>
                <w:szCs w:val="20"/>
                <w:color w:val="auto"/>
              </w:rPr>
            </w:pPr>
            <w:r>
              <w:rPr>
                <w:rFonts w:ascii="Arial" w:cs="Arial" w:eastAsia="Arial" w:hAnsi="Arial"/>
                <w:sz w:val="13"/>
                <w:szCs w:val="13"/>
                <w:b w:val="1"/>
                <w:bCs w:val="1"/>
                <w:color w:val="auto"/>
              </w:rPr>
              <w:t>Stock Awards</w:t>
            </w:r>
          </w:p>
        </w:tc>
        <w:tc>
          <w:tcPr>
            <w:tcW w:w="1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0"/>
              </w:rPr>
              <w:t>Equity Incentive Plan</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Number of</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88"/>
              </w:rPr>
              <w:t>Equity Incentive Plan</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Awards: Market or</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3"/>
              </w:rPr>
              <w:t>Securities</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Securities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Payout Value of</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Underlying</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Option</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9"/>
              </w:rPr>
              <w:t>Number of</w:t>
            </w: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1"/>
              </w:rPr>
              <w:t>Market Value of</w:t>
            </w:r>
          </w:p>
        </w:tc>
        <w:tc>
          <w:tcPr>
            <w:tcW w:w="160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0"/>
              </w:rPr>
              <w:t>Awards: Number of</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 Shares,</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5"/>
              </w:rPr>
              <w:t>Unexercised</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Unexercised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87"/>
              </w:rPr>
              <w:t>Shares or Units</w:t>
            </w:r>
          </w:p>
        </w:tc>
        <w:tc>
          <w:tcPr>
            <w:tcW w:w="13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5"/>
              </w:rPr>
              <w:t>Shares or Units of</w:t>
            </w:r>
          </w:p>
        </w:tc>
        <w:tc>
          <w:tcPr>
            <w:tcW w:w="160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86"/>
              </w:rPr>
              <w:t>Unearned Shares,</w:t>
            </w: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1"/>
              </w:rPr>
              <w:t>Units Or Other</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Options</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Options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Arial" w:cs="Arial" w:eastAsia="Arial" w:hAnsi="Arial"/>
                <w:sz w:val="13"/>
                <w:szCs w:val="13"/>
                <w:b w:val="1"/>
                <w:bCs w:val="1"/>
                <w:color w:val="auto"/>
                <w:w w:val="82"/>
              </w:rPr>
              <w:t>Exercise</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87"/>
              </w:rPr>
              <w:t>of Stock That</w:t>
            </w:r>
          </w:p>
        </w:tc>
        <w:tc>
          <w:tcPr>
            <w:tcW w:w="13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Stock That Have Not</w:t>
            </w:r>
          </w:p>
        </w:tc>
        <w:tc>
          <w:tcPr>
            <w:tcW w:w="1600" w:type="dxa"/>
            <w:vAlign w:val="bottom"/>
            <w:gridSpan w:val="2"/>
          </w:tcPr>
          <w:p>
            <w:pPr>
              <w:jc w:val="center"/>
              <w:ind w:right="360"/>
              <w:spacing w:after="0" w:line="122" w:lineRule="exact"/>
              <w:rPr>
                <w:sz w:val="20"/>
                <w:szCs w:val="20"/>
                <w:color w:val="auto"/>
              </w:rPr>
            </w:pPr>
            <w:r>
              <w:rPr>
                <w:rFonts w:ascii="Arial" w:cs="Arial" w:eastAsia="Arial" w:hAnsi="Arial"/>
                <w:sz w:val="13"/>
                <w:szCs w:val="13"/>
                <w:b w:val="1"/>
                <w:bCs w:val="1"/>
                <w:color w:val="auto"/>
                <w:w w:val="88"/>
              </w:rPr>
              <w:t>Units, or Other Rights</w:t>
            </w: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9"/>
              </w:rPr>
              <w:t>Rights That Have Not</w:t>
            </w:r>
          </w:p>
        </w:tc>
        <w:tc>
          <w:tcPr>
            <w:tcW w:w="0" w:type="dxa"/>
            <w:vAlign w:val="bottom"/>
          </w:tcPr>
          <w:p>
            <w:pPr>
              <w:spacing w:after="0"/>
              <w:rPr>
                <w:sz w:val="1"/>
                <w:szCs w:val="1"/>
                <w:color w:val="auto"/>
              </w:rPr>
            </w:pPr>
          </w:p>
        </w:tc>
      </w:tr>
      <w:tr>
        <w:trPr>
          <w:trHeight w:val="135"/>
        </w:trPr>
        <w:tc>
          <w:tcPr>
            <w:tcW w:w="12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1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Exercisable</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Unexercisable</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Price</w:t>
            </w: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w:t>
            </w:r>
          </w:p>
        </w:tc>
        <w:tc>
          <w:tcPr>
            <w:tcW w:w="13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7"/>
              </w:rPr>
              <w:t>Have Not Vested</w:t>
            </w:r>
          </w:p>
        </w:tc>
        <w:tc>
          <w:tcPr>
            <w:tcW w:w="13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Vested</w:t>
            </w:r>
          </w:p>
        </w:tc>
        <w:tc>
          <w:tcPr>
            <w:tcW w:w="16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8"/>
              </w:rPr>
              <w:t>That Have Not Vested</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9"/>
              </w:rPr>
              <w:t>Vested</w:t>
            </w:r>
          </w:p>
        </w:tc>
        <w:tc>
          <w:tcPr>
            <w:tcW w:w="0" w:type="dxa"/>
            <w:vAlign w:val="bottom"/>
          </w:tcPr>
          <w:p>
            <w:pPr>
              <w:spacing w:after="0"/>
              <w:rPr>
                <w:sz w:val="1"/>
                <w:szCs w:val="1"/>
                <w:color w:val="auto"/>
              </w:rPr>
            </w:pPr>
          </w:p>
        </w:tc>
      </w:tr>
      <w:tr>
        <w:trPr>
          <w:trHeight w:val="170"/>
        </w:trPr>
        <w:tc>
          <w:tcPr>
            <w:tcW w:w="122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Expiration Date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34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175"/>
        </w:trPr>
        <w:tc>
          <w:tcPr>
            <w:tcW w:w="1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R.R. Shaller</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23,576</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35.14</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9/23/2026</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21,295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36.85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9/22/2027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22,012</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9/25/2028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20,137</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54.05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9/20/2029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17,091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8,545</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(1)</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9/30/2030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6,832</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13,664</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(2)</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49.79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9/16/2031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20,310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40,618</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(3)</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4/1/2032</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680" w:type="dxa"/>
            <w:vAlign w:val="bottom"/>
          </w:tcPr>
          <w:p>
            <w:pPr>
              <w:jc w:val="right"/>
              <w:spacing w:after="0"/>
              <w:rPr>
                <w:sz w:val="20"/>
                <w:szCs w:val="20"/>
                <w:color w:val="auto"/>
              </w:rPr>
            </w:pPr>
            <w:r>
              <w:rPr>
                <w:rFonts w:ascii="Arial" w:cs="Arial" w:eastAsia="Arial" w:hAnsi="Arial"/>
                <w:sz w:val="13"/>
                <w:szCs w:val="13"/>
                <w:color w:val="auto"/>
              </w:rPr>
              <w:t>3,700</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50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3760" w:type="dxa"/>
            <w:vAlign w:val="bottom"/>
          </w:tcPr>
          <w:p>
            <w:pPr>
              <w:jc w:val="right"/>
              <w:ind w:right="2937"/>
              <w:spacing w:after="0"/>
              <w:rPr>
                <w:sz w:val="20"/>
                <w:szCs w:val="20"/>
                <w:color w:val="auto"/>
              </w:rPr>
            </w:pPr>
            <w:r>
              <w:rPr>
                <w:rFonts w:ascii="Arial" w:cs="Arial" w:eastAsia="Arial" w:hAnsi="Arial"/>
                <w:sz w:val="13"/>
                <w:szCs w:val="13"/>
                <w:color w:val="auto"/>
              </w:rPr>
              <w:t>190,846</w:t>
            </w:r>
          </w:p>
        </w:tc>
      </w:tr>
      <w:tr>
        <w:trPr>
          <w:trHeight w:val="183"/>
        </w:trPr>
        <w:tc>
          <w:tcPr>
            <w:tcW w:w="6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1,879</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w:t>
            </w:r>
          </w:p>
        </w:tc>
        <w:tc>
          <w:tcPr>
            <w:tcW w:w="500" w:type="dxa"/>
            <w:vAlign w:val="bottom"/>
            <w:shd w:val="clear" w:color="auto" w:fill="CCEEFF"/>
          </w:tcPr>
          <w:p>
            <w:pPr>
              <w:spacing w:after="0"/>
              <w:rPr>
                <w:sz w:val="15"/>
                <w:szCs w:val="15"/>
                <w:color w:val="auto"/>
              </w:rPr>
            </w:pPr>
          </w:p>
        </w:tc>
        <w:tc>
          <w:tcPr>
            <w:tcW w:w="3760" w:type="dxa"/>
            <w:vAlign w:val="bottom"/>
            <w:shd w:val="clear" w:color="auto" w:fill="CCEEFF"/>
          </w:tcPr>
          <w:p>
            <w:pPr>
              <w:jc w:val="right"/>
              <w:ind w:right="2937"/>
              <w:spacing w:after="0"/>
              <w:rPr>
                <w:sz w:val="20"/>
                <w:szCs w:val="20"/>
                <w:color w:val="auto"/>
              </w:rPr>
            </w:pPr>
            <w:r>
              <w:rPr>
                <w:rFonts w:ascii="Arial" w:cs="Arial" w:eastAsia="Arial" w:hAnsi="Arial"/>
                <w:sz w:val="13"/>
                <w:szCs w:val="13"/>
                <w:color w:val="auto"/>
              </w:rPr>
              <w:t>96,919</w:t>
            </w:r>
          </w:p>
        </w:tc>
      </w:tr>
      <w:tr>
        <w:trPr>
          <w:trHeight w:val="168"/>
        </w:trPr>
        <w:tc>
          <w:tcPr>
            <w:tcW w:w="6680" w:type="dxa"/>
            <w:vAlign w:val="bottom"/>
          </w:tcPr>
          <w:p>
            <w:pPr>
              <w:jc w:val="right"/>
              <w:spacing w:after="0"/>
              <w:rPr>
                <w:sz w:val="20"/>
                <w:szCs w:val="20"/>
                <w:color w:val="auto"/>
              </w:rPr>
            </w:pPr>
            <w:r>
              <w:rPr>
                <w:rFonts w:ascii="Arial" w:cs="Arial" w:eastAsia="Arial" w:hAnsi="Arial"/>
                <w:sz w:val="13"/>
                <w:szCs w:val="13"/>
                <w:color w:val="auto"/>
              </w:rPr>
              <w:t>3,214</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500" w:type="dxa"/>
            <w:vAlign w:val="bottom"/>
          </w:tcPr>
          <w:p>
            <w:pPr>
              <w:spacing w:after="0"/>
              <w:rPr>
                <w:sz w:val="14"/>
                <w:szCs w:val="14"/>
                <w:color w:val="auto"/>
              </w:rPr>
            </w:pPr>
          </w:p>
        </w:tc>
        <w:tc>
          <w:tcPr>
            <w:tcW w:w="3760" w:type="dxa"/>
            <w:vAlign w:val="bottom"/>
          </w:tcPr>
          <w:p>
            <w:pPr>
              <w:jc w:val="right"/>
              <w:ind w:right="2937"/>
              <w:spacing w:after="0"/>
              <w:rPr>
                <w:sz w:val="20"/>
                <w:szCs w:val="20"/>
                <w:color w:val="auto"/>
              </w:rPr>
            </w:pPr>
            <w:r>
              <w:rPr>
                <w:rFonts w:ascii="Arial" w:cs="Arial" w:eastAsia="Arial" w:hAnsi="Arial"/>
                <w:sz w:val="13"/>
                <w:szCs w:val="13"/>
                <w:color w:val="auto"/>
              </w:rPr>
              <w:t>165,778</w:t>
            </w:r>
          </w:p>
        </w:tc>
      </w:tr>
      <w:tr>
        <w:trPr>
          <w:trHeight w:val="183"/>
        </w:trPr>
        <w:tc>
          <w:tcPr>
            <w:tcW w:w="6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3,569</w:t>
            </w:r>
          </w:p>
        </w:tc>
        <w:tc>
          <w:tcPr>
            <w:tcW w:w="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500" w:type="dxa"/>
            <w:vAlign w:val="bottom"/>
            <w:shd w:val="clear" w:color="auto" w:fill="CCEEFF"/>
          </w:tcPr>
          <w:p>
            <w:pPr>
              <w:spacing w:after="0"/>
              <w:rPr>
                <w:sz w:val="15"/>
                <w:szCs w:val="15"/>
                <w:color w:val="auto"/>
              </w:rPr>
            </w:pPr>
          </w:p>
        </w:tc>
        <w:tc>
          <w:tcPr>
            <w:tcW w:w="3760" w:type="dxa"/>
            <w:vAlign w:val="bottom"/>
            <w:shd w:val="clear" w:color="auto" w:fill="CCEEFF"/>
          </w:tcPr>
          <w:p>
            <w:pPr>
              <w:jc w:val="right"/>
              <w:ind w:right="2937"/>
              <w:spacing w:after="0"/>
              <w:rPr>
                <w:sz w:val="20"/>
                <w:szCs w:val="20"/>
                <w:color w:val="auto"/>
              </w:rPr>
            </w:pPr>
            <w:r>
              <w:rPr>
                <w:rFonts w:ascii="Arial" w:cs="Arial" w:eastAsia="Arial" w:hAnsi="Arial"/>
                <w:sz w:val="13"/>
                <w:szCs w:val="13"/>
                <w:color w:val="auto"/>
              </w:rPr>
              <w:t>184,089</w:t>
            </w:r>
          </w:p>
        </w:tc>
      </w:tr>
      <w:tr>
        <w:trPr>
          <w:trHeight w:val="160"/>
        </w:trPr>
        <w:tc>
          <w:tcPr>
            <w:tcW w:w="6680" w:type="dxa"/>
            <w:vAlign w:val="bottom"/>
          </w:tcPr>
          <w:p>
            <w:pPr>
              <w:jc w:val="right"/>
              <w:spacing w:after="0"/>
              <w:rPr>
                <w:sz w:val="20"/>
                <w:szCs w:val="20"/>
                <w:color w:val="auto"/>
              </w:rPr>
            </w:pPr>
            <w:r>
              <w:rPr>
                <w:rFonts w:ascii="Arial" w:cs="Arial" w:eastAsia="Arial" w:hAnsi="Arial"/>
                <w:sz w:val="13"/>
                <w:szCs w:val="13"/>
                <w:color w:val="auto"/>
              </w:rPr>
              <w:t>10,856</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(8)</w:t>
            </w:r>
          </w:p>
        </w:tc>
        <w:tc>
          <w:tcPr>
            <w:tcW w:w="500" w:type="dxa"/>
            <w:vAlign w:val="bottom"/>
          </w:tcPr>
          <w:p>
            <w:pPr>
              <w:spacing w:after="0"/>
              <w:rPr>
                <w:sz w:val="13"/>
                <w:szCs w:val="13"/>
                <w:color w:val="auto"/>
              </w:rPr>
            </w:pPr>
          </w:p>
        </w:tc>
        <w:tc>
          <w:tcPr>
            <w:tcW w:w="3760" w:type="dxa"/>
            <w:vAlign w:val="bottom"/>
          </w:tcPr>
          <w:p>
            <w:pPr>
              <w:jc w:val="right"/>
              <w:ind w:right="2937"/>
              <w:spacing w:after="0"/>
              <w:rPr>
                <w:sz w:val="20"/>
                <w:szCs w:val="20"/>
                <w:color w:val="auto"/>
              </w:rPr>
            </w:pPr>
            <w:r>
              <w:rPr>
                <w:rFonts w:ascii="Arial" w:cs="Arial" w:eastAsia="Arial" w:hAnsi="Arial"/>
                <w:sz w:val="13"/>
                <w:szCs w:val="13"/>
                <w:color w:val="auto"/>
              </w:rPr>
              <w:t>559,952</w:t>
            </w: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4,831</w:t>
            </w:r>
          </w:p>
        </w:tc>
        <w:tc>
          <w:tcPr>
            <w:tcW w:w="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(9)</w:t>
            </w: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249,183</w:t>
            </w:r>
          </w:p>
        </w:tc>
      </w:tr>
      <w:tr>
        <w:trPr>
          <w:trHeight w:val="168"/>
        </w:trPr>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3"/>
                <w:szCs w:val="13"/>
                <w:color w:val="auto"/>
              </w:rPr>
              <w:t>2,897</w:t>
            </w:r>
          </w:p>
        </w:tc>
        <w:tc>
          <w:tcPr>
            <w:tcW w:w="320" w:type="dxa"/>
            <w:vAlign w:val="bottom"/>
          </w:tcPr>
          <w:p>
            <w:pPr>
              <w:ind w:left="40"/>
              <w:spacing w:after="0"/>
              <w:rPr>
                <w:sz w:val="20"/>
                <w:szCs w:val="20"/>
                <w:color w:val="auto"/>
              </w:rPr>
            </w:pPr>
            <w:r>
              <w:rPr>
                <w:rFonts w:ascii="Arial" w:cs="Arial" w:eastAsia="Arial" w:hAnsi="Arial"/>
                <w:sz w:val="13"/>
                <w:szCs w:val="13"/>
                <w:color w:val="auto"/>
              </w:rPr>
              <w:t>(10)</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149,427</w:t>
            </w:r>
          </w:p>
        </w:tc>
      </w:tr>
      <w:tr>
        <w:trPr>
          <w:trHeight w:val="183"/>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2,897</w:t>
            </w:r>
          </w:p>
        </w:tc>
        <w:tc>
          <w:tcPr>
            <w:tcW w:w="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(11)</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149,427</w:t>
            </w:r>
          </w:p>
        </w:tc>
      </w:tr>
      <w:tr>
        <w:trPr>
          <w:trHeight w:val="168"/>
        </w:trPr>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3"/>
                <w:szCs w:val="13"/>
                <w:color w:val="auto"/>
              </w:rPr>
              <w:t>10,428</w:t>
            </w:r>
          </w:p>
        </w:tc>
        <w:tc>
          <w:tcPr>
            <w:tcW w:w="320" w:type="dxa"/>
            <w:vAlign w:val="bottom"/>
          </w:tcPr>
          <w:p>
            <w:pPr>
              <w:ind w:left="40"/>
              <w:spacing w:after="0"/>
              <w:rPr>
                <w:sz w:val="20"/>
                <w:szCs w:val="20"/>
                <w:color w:val="auto"/>
              </w:rPr>
            </w:pPr>
            <w:r>
              <w:rPr>
                <w:rFonts w:ascii="Arial" w:cs="Arial" w:eastAsia="Arial" w:hAnsi="Arial"/>
                <w:sz w:val="13"/>
                <w:szCs w:val="13"/>
                <w:color w:val="auto"/>
              </w:rPr>
              <w:t>(12)</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537,876</w:t>
            </w:r>
          </w:p>
        </w:tc>
      </w:tr>
      <w:tr>
        <w:trPr>
          <w:trHeight w:val="183"/>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10,428</w:t>
            </w:r>
          </w:p>
        </w:tc>
        <w:tc>
          <w:tcPr>
            <w:tcW w:w="320" w:type="dxa"/>
            <w:vAlign w:val="bottom"/>
            <w:shd w:val="clear" w:color="auto" w:fill="CCEEFF"/>
          </w:tcPr>
          <w:p>
            <w:pPr>
              <w:ind w:left="40"/>
              <w:spacing w:after="0"/>
              <w:rPr>
                <w:sz w:val="20"/>
                <w:szCs w:val="20"/>
                <w:color w:val="auto"/>
              </w:rPr>
            </w:pPr>
            <w:r>
              <w:rPr>
                <w:rFonts w:ascii="Arial" w:cs="Arial" w:eastAsia="Arial" w:hAnsi="Arial"/>
                <w:sz w:val="13"/>
                <w:szCs w:val="13"/>
                <w:color w:val="auto"/>
              </w:rPr>
              <w:t>(13)</w:t>
            </w: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537,876</w:t>
            </w:r>
          </w:p>
        </w:tc>
      </w:tr>
      <w:tr>
        <w:trPr>
          <w:trHeight w:val="256"/>
        </w:trPr>
        <w:tc>
          <w:tcPr>
            <w:tcW w:w="1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76"/>
        </w:trPr>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A.E. Thornton</w:t>
            </w:r>
          </w:p>
        </w:tc>
        <w:tc>
          <w:tcPr>
            <w:tcW w:w="134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4,080</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35.14</w:t>
            </w:r>
          </w:p>
        </w:tc>
        <w:tc>
          <w:tcPr>
            <w:tcW w:w="1900" w:type="dxa"/>
            <w:vAlign w:val="bottom"/>
            <w:shd w:val="clear" w:color="auto" w:fill="CCEEFF"/>
          </w:tcPr>
          <w:p>
            <w:pPr>
              <w:jc w:val="right"/>
              <w:ind w:right="1037"/>
              <w:spacing w:after="0"/>
              <w:rPr>
                <w:sz w:val="20"/>
                <w:szCs w:val="20"/>
                <w:color w:val="auto"/>
              </w:rPr>
            </w:pPr>
            <w:r>
              <w:rPr>
                <w:rFonts w:ascii="Arial" w:cs="Arial" w:eastAsia="Arial" w:hAnsi="Arial"/>
                <w:sz w:val="13"/>
                <w:szCs w:val="13"/>
                <w:color w:val="auto"/>
              </w:rPr>
              <w:t>9/23/2026</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8"/>
        </w:trPr>
        <w:tc>
          <w:tcPr>
            <w:tcW w:w="1360" w:type="dxa"/>
            <w:vAlign w:val="bottom"/>
          </w:tcPr>
          <w:p>
            <w:pPr>
              <w:spacing w:after="0"/>
              <w:rPr>
                <w:sz w:val="14"/>
                <w:szCs w:val="14"/>
                <w:color w:val="auto"/>
              </w:rPr>
            </w:pP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3,775</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36.85</w:t>
            </w:r>
          </w:p>
        </w:tc>
        <w:tc>
          <w:tcPr>
            <w:tcW w:w="1900" w:type="dxa"/>
            <w:vAlign w:val="bottom"/>
          </w:tcPr>
          <w:p>
            <w:pPr>
              <w:jc w:val="right"/>
              <w:ind w:right="1037"/>
              <w:spacing w:after="0"/>
              <w:rPr>
                <w:sz w:val="20"/>
                <w:szCs w:val="20"/>
                <w:color w:val="auto"/>
              </w:rPr>
            </w:pPr>
            <w:r>
              <w:rPr>
                <w:rFonts w:ascii="Arial" w:cs="Arial" w:eastAsia="Arial" w:hAnsi="Arial"/>
                <w:sz w:val="13"/>
                <w:szCs w:val="13"/>
                <w:color w:val="auto"/>
              </w:rPr>
              <w:t>9/22/2027</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3"/>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3,302</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43.98</w:t>
            </w:r>
          </w:p>
        </w:tc>
        <w:tc>
          <w:tcPr>
            <w:tcW w:w="1900" w:type="dxa"/>
            <w:vAlign w:val="bottom"/>
            <w:shd w:val="clear" w:color="auto" w:fill="CCEEFF"/>
          </w:tcPr>
          <w:p>
            <w:pPr>
              <w:jc w:val="right"/>
              <w:ind w:right="1037"/>
              <w:spacing w:after="0"/>
              <w:rPr>
                <w:sz w:val="20"/>
                <w:szCs w:val="20"/>
                <w:color w:val="auto"/>
              </w:rPr>
            </w:pPr>
            <w:r>
              <w:rPr>
                <w:rFonts w:ascii="Arial" w:cs="Arial" w:eastAsia="Arial" w:hAnsi="Arial"/>
                <w:sz w:val="13"/>
                <w:szCs w:val="13"/>
                <w:color w:val="auto"/>
              </w:rPr>
              <w:t>9/25/2028</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8"/>
        </w:trPr>
        <w:tc>
          <w:tcPr>
            <w:tcW w:w="1360" w:type="dxa"/>
            <w:vAlign w:val="bottom"/>
          </w:tcPr>
          <w:p>
            <w:pPr>
              <w:spacing w:after="0"/>
              <w:rPr>
                <w:sz w:val="14"/>
                <w:szCs w:val="14"/>
                <w:color w:val="auto"/>
              </w:rPr>
            </w:pP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3,021</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54.05</w:t>
            </w:r>
          </w:p>
        </w:tc>
        <w:tc>
          <w:tcPr>
            <w:tcW w:w="1900" w:type="dxa"/>
            <w:vAlign w:val="bottom"/>
          </w:tcPr>
          <w:p>
            <w:pPr>
              <w:jc w:val="right"/>
              <w:ind w:right="1037"/>
              <w:spacing w:after="0"/>
              <w:rPr>
                <w:sz w:val="20"/>
                <w:szCs w:val="20"/>
                <w:color w:val="auto"/>
              </w:rPr>
            </w:pPr>
            <w:r>
              <w:rPr>
                <w:rFonts w:ascii="Arial" w:cs="Arial" w:eastAsia="Arial" w:hAnsi="Arial"/>
                <w:sz w:val="13"/>
                <w:szCs w:val="13"/>
                <w:color w:val="auto"/>
              </w:rPr>
              <w:t>9/20/2029</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3"/>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2,849</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1,424</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39.92</w:t>
            </w:r>
          </w:p>
        </w:tc>
        <w:tc>
          <w:tcPr>
            <w:tcW w:w="1900" w:type="dxa"/>
            <w:vAlign w:val="bottom"/>
            <w:shd w:val="clear" w:color="auto" w:fill="CCEEFF"/>
          </w:tcPr>
          <w:p>
            <w:pPr>
              <w:jc w:val="right"/>
              <w:ind w:right="1037"/>
              <w:spacing w:after="0"/>
              <w:rPr>
                <w:sz w:val="20"/>
                <w:szCs w:val="20"/>
                <w:color w:val="auto"/>
              </w:rPr>
            </w:pPr>
            <w:r>
              <w:rPr>
                <w:rFonts w:ascii="Arial" w:cs="Arial" w:eastAsia="Arial" w:hAnsi="Arial"/>
                <w:sz w:val="13"/>
                <w:szCs w:val="13"/>
                <w:color w:val="auto"/>
              </w:rPr>
              <w:t>9/30/2030</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8"/>
        </w:trPr>
        <w:tc>
          <w:tcPr>
            <w:tcW w:w="1360" w:type="dxa"/>
            <w:vAlign w:val="bottom"/>
          </w:tcPr>
          <w:p>
            <w:pPr>
              <w:spacing w:after="0"/>
              <w:rPr>
                <w:sz w:val="14"/>
                <w:szCs w:val="14"/>
                <w:color w:val="auto"/>
              </w:rPr>
            </w:pP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1,139</w:t>
            </w:r>
          </w:p>
        </w:tc>
        <w:tc>
          <w:tcPr>
            <w:tcW w:w="780" w:type="dxa"/>
            <w:vAlign w:val="bottom"/>
          </w:tcPr>
          <w:p>
            <w:pPr>
              <w:jc w:val="right"/>
              <w:spacing w:after="0"/>
              <w:rPr>
                <w:sz w:val="20"/>
                <w:szCs w:val="20"/>
                <w:color w:val="auto"/>
              </w:rPr>
            </w:pPr>
            <w:r>
              <w:rPr>
                <w:rFonts w:ascii="Arial" w:cs="Arial" w:eastAsia="Arial" w:hAnsi="Arial"/>
                <w:sz w:val="13"/>
                <w:szCs w:val="13"/>
                <w:color w:val="auto"/>
              </w:rPr>
              <w:t>2,277</w:t>
            </w:r>
          </w:p>
        </w:tc>
        <w:tc>
          <w:tcPr>
            <w:tcW w:w="300" w:type="dxa"/>
            <w:vAlign w:val="bottom"/>
          </w:tcPr>
          <w:p>
            <w:pPr>
              <w:ind w:left="20"/>
              <w:spacing w:after="0"/>
              <w:rPr>
                <w:sz w:val="20"/>
                <w:szCs w:val="20"/>
                <w:color w:val="auto"/>
              </w:rPr>
            </w:pPr>
            <w:r>
              <w:rPr>
                <w:rFonts w:ascii="Arial" w:cs="Arial" w:eastAsia="Arial" w:hAnsi="Arial"/>
                <w:sz w:val="13"/>
                <w:szCs w:val="13"/>
                <w:color w:val="auto"/>
              </w:rPr>
              <w:t>(2)</w:t>
            </w:r>
          </w:p>
        </w:tc>
        <w:tc>
          <w:tcPr>
            <w:tcW w:w="28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49.79</w:t>
            </w:r>
          </w:p>
        </w:tc>
        <w:tc>
          <w:tcPr>
            <w:tcW w:w="1900" w:type="dxa"/>
            <w:vAlign w:val="bottom"/>
          </w:tcPr>
          <w:p>
            <w:pPr>
              <w:jc w:val="right"/>
              <w:ind w:right="1037"/>
              <w:spacing w:after="0"/>
              <w:rPr>
                <w:sz w:val="20"/>
                <w:szCs w:val="20"/>
                <w:color w:val="auto"/>
              </w:rPr>
            </w:pPr>
            <w:r>
              <w:rPr>
                <w:rFonts w:ascii="Arial" w:cs="Arial" w:eastAsia="Arial" w:hAnsi="Arial"/>
                <w:sz w:val="13"/>
                <w:szCs w:val="13"/>
                <w:color w:val="auto"/>
              </w:rPr>
              <w:t>9/16/2031</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3"/>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(14)</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43.50</w:t>
            </w:r>
          </w:p>
        </w:tc>
        <w:tc>
          <w:tcPr>
            <w:tcW w:w="1900" w:type="dxa"/>
            <w:vAlign w:val="bottom"/>
            <w:shd w:val="clear" w:color="auto" w:fill="CCEEFF"/>
          </w:tcPr>
          <w:p>
            <w:pPr>
              <w:jc w:val="right"/>
              <w:ind w:right="1037"/>
              <w:spacing w:after="0"/>
              <w:rPr>
                <w:sz w:val="20"/>
                <w:szCs w:val="20"/>
                <w:color w:val="auto"/>
              </w:rPr>
            </w:pPr>
            <w:r>
              <w:rPr>
                <w:rFonts w:ascii="Arial" w:cs="Arial" w:eastAsia="Arial" w:hAnsi="Arial"/>
                <w:sz w:val="13"/>
                <w:szCs w:val="13"/>
                <w:color w:val="auto"/>
              </w:rPr>
              <w:t>9/19/2032</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8"/>
        </w:trPr>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313</w:t>
            </w:r>
          </w:p>
        </w:tc>
        <w:tc>
          <w:tcPr>
            <w:tcW w:w="280" w:type="dxa"/>
            <w:vAlign w:val="bottom"/>
          </w:tcPr>
          <w:p>
            <w:pPr>
              <w:spacing w:after="0"/>
              <w:rPr>
                <w:sz w:val="20"/>
                <w:szCs w:val="20"/>
                <w:color w:val="auto"/>
              </w:rPr>
            </w:pPr>
            <w:r>
              <w:rPr>
                <w:rFonts w:ascii="Arial" w:cs="Arial" w:eastAsia="Arial" w:hAnsi="Arial"/>
                <w:sz w:val="13"/>
                <w:szCs w:val="13"/>
                <w:color w:val="auto"/>
              </w:rPr>
              <w:t>(5)</w:t>
            </w:r>
          </w:p>
        </w:tc>
        <w:tc>
          <w:tcPr>
            <w:tcW w:w="4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2140" w:type="dxa"/>
            <w:vAlign w:val="bottom"/>
          </w:tcPr>
          <w:p>
            <w:pPr>
              <w:jc w:val="right"/>
              <w:ind w:right="1317"/>
              <w:spacing w:after="0"/>
              <w:rPr>
                <w:sz w:val="20"/>
                <w:szCs w:val="20"/>
                <w:color w:val="auto"/>
              </w:rPr>
            </w:pPr>
            <w:r>
              <w:rPr>
                <w:rFonts w:ascii="Arial" w:cs="Arial" w:eastAsia="Arial" w:hAnsi="Arial"/>
                <w:sz w:val="13"/>
                <w:szCs w:val="13"/>
                <w:color w:val="auto"/>
              </w:rPr>
              <w:t>16,145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3"/>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4,459</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(15)</w:t>
            </w: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229,995</w:t>
            </w: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8"/>
        </w:trPr>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536</w:t>
            </w:r>
          </w:p>
        </w:tc>
        <w:tc>
          <w:tcPr>
            <w:tcW w:w="280" w:type="dxa"/>
            <w:vAlign w:val="bottom"/>
          </w:tcPr>
          <w:p>
            <w:pPr>
              <w:spacing w:after="0"/>
              <w:rPr>
                <w:sz w:val="20"/>
                <w:szCs w:val="20"/>
                <w:color w:val="auto"/>
              </w:rPr>
            </w:pPr>
            <w:r>
              <w:rPr>
                <w:rFonts w:ascii="Arial" w:cs="Arial" w:eastAsia="Arial" w:hAnsi="Arial"/>
                <w:sz w:val="13"/>
                <w:szCs w:val="13"/>
                <w:color w:val="auto"/>
              </w:rPr>
              <w:t>(6)</w:t>
            </w:r>
          </w:p>
        </w:tc>
        <w:tc>
          <w:tcPr>
            <w:tcW w:w="480" w:type="dxa"/>
            <w:vAlign w:val="bottom"/>
          </w:tcPr>
          <w:p>
            <w:pPr>
              <w:spacing w:after="0"/>
              <w:rPr>
                <w:sz w:val="14"/>
                <w:szCs w:val="14"/>
                <w:color w:val="auto"/>
              </w:rPr>
            </w:pPr>
          </w:p>
        </w:tc>
        <w:tc>
          <w:tcPr>
            <w:tcW w:w="2140" w:type="dxa"/>
            <w:vAlign w:val="bottom"/>
          </w:tcPr>
          <w:p>
            <w:pPr>
              <w:jc w:val="right"/>
              <w:ind w:right="1317"/>
              <w:spacing w:after="0"/>
              <w:rPr>
                <w:sz w:val="20"/>
                <w:szCs w:val="20"/>
                <w:color w:val="auto"/>
              </w:rPr>
            </w:pPr>
            <w:r>
              <w:rPr>
                <w:rFonts w:ascii="Arial" w:cs="Arial" w:eastAsia="Arial" w:hAnsi="Arial"/>
                <w:sz w:val="13"/>
                <w:szCs w:val="13"/>
                <w:color w:val="auto"/>
              </w:rPr>
              <w:t>27,647</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3"/>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1,150</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(16)</w:t>
            </w: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59,317</w:t>
            </w: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57"/>
        </w:trPr>
        <w:tc>
          <w:tcPr>
            <w:tcW w:w="1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75"/>
        </w:trPr>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 Bojarski</w:t>
            </w: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12,263</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(17)</w:t>
            </w: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214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632,526</w:t>
            </w: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57"/>
        </w:trPr>
        <w:tc>
          <w:tcPr>
            <w:tcW w:w="1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75"/>
        </w:trPr>
        <w:tc>
          <w:tcPr>
            <w:tcW w:w="1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B.N. Curran</w:t>
            </w:r>
          </w:p>
        </w:tc>
        <w:tc>
          <w:tcPr>
            <w:tcW w:w="134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2,258</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36.85</w:t>
            </w:r>
          </w:p>
        </w:tc>
        <w:tc>
          <w:tcPr>
            <w:tcW w:w="1900" w:type="dxa"/>
            <w:vAlign w:val="bottom"/>
            <w:shd w:val="clear" w:color="auto" w:fill="CCEEFF"/>
          </w:tcPr>
          <w:p>
            <w:pPr>
              <w:jc w:val="right"/>
              <w:ind w:right="1037"/>
              <w:spacing w:after="0"/>
              <w:rPr>
                <w:sz w:val="20"/>
                <w:szCs w:val="20"/>
                <w:color w:val="auto"/>
              </w:rPr>
            </w:pPr>
            <w:r>
              <w:rPr>
                <w:rFonts w:ascii="Arial" w:cs="Arial" w:eastAsia="Arial" w:hAnsi="Arial"/>
                <w:sz w:val="13"/>
                <w:szCs w:val="13"/>
                <w:color w:val="auto"/>
              </w:rPr>
              <w:t>9/22/2027</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8"/>
        </w:trPr>
        <w:tc>
          <w:tcPr>
            <w:tcW w:w="1360" w:type="dxa"/>
            <w:vAlign w:val="bottom"/>
          </w:tcPr>
          <w:p>
            <w:pPr>
              <w:spacing w:after="0"/>
              <w:rPr>
                <w:sz w:val="14"/>
                <w:szCs w:val="14"/>
                <w:color w:val="auto"/>
              </w:rPr>
            </w:pP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3,951</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43.98</w:t>
            </w:r>
          </w:p>
        </w:tc>
        <w:tc>
          <w:tcPr>
            <w:tcW w:w="1900" w:type="dxa"/>
            <w:vAlign w:val="bottom"/>
          </w:tcPr>
          <w:p>
            <w:pPr>
              <w:jc w:val="right"/>
              <w:ind w:right="1037"/>
              <w:spacing w:after="0"/>
              <w:rPr>
                <w:sz w:val="20"/>
                <w:szCs w:val="20"/>
                <w:color w:val="auto"/>
              </w:rPr>
            </w:pPr>
            <w:r>
              <w:rPr>
                <w:rFonts w:ascii="Arial" w:cs="Arial" w:eastAsia="Arial" w:hAnsi="Arial"/>
                <w:sz w:val="13"/>
                <w:szCs w:val="13"/>
                <w:color w:val="auto"/>
              </w:rPr>
              <w:t>9/25/2028</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3"/>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6,196</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54.05</w:t>
            </w:r>
          </w:p>
        </w:tc>
        <w:tc>
          <w:tcPr>
            <w:tcW w:w="1900" w:type="dxa"/>
            <w:vAlign w:val="bottom"/>
            <w:shd w:val="clear" w:color="auto" w:fill="CCEEFF"/>
          </w:tcPr>
          <w:p>
            <w:pPr>
              <w:jc w:val="right"/>
              <w:ind w:right="1037"/>
              <w:spacing w:after="0"/>
              <w:rPr>
                <w:sz w:val="20"/>
                <w:szCs w:val="20"/>
                <w:color w:val="auto"/>
              </w:rPr>
            </w:pPr>
            <w:r>
              <w:rPr>
                <w:rFonts w:ascii="Arial" w:cs="Arial" w:eastAsia="Arial" w:hAnsi="Arial"/>
                <w:sz w:val="13"/>
                <w:szCs w:val="13"/>
                <w:color w:val="auto"/>
              </w:rPr>
              <w:t>9/20/2029</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8"/>
        </w:trPr>
        <w:tc>
          <w:tcPr>
            <w:tcW w:w="1360" w:type="dxa"/>
            <w:vAlign w:val="bottom"/>
          </w:tcPr>
          <w:p>
            <w:pPr>
              <w:spacing w:after="0"/>
              <w:rPr>
                <w:sz w:val="14"/>
                <w:szCs w:val="14"/>
                <w:color w:val="auto"/>
              </w:rPr>
            </w:pP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5,064</w:t>
            </w:r>
          </w:p>
        </w:tc>
        <w:tc>
          <w:tcPr>
            <w:tcW w:w="780" w:type="dxa"/>
            <w:vAlign w:val="bottom"/>
          </w:tcPr>
          <w:p>
            <w:pPr>
              <w:jc w:val="right"/>
              <w:spacing w:after="0"/>
              <w:rPr>
                <w:sz w:val="20"/>
                <w:szCs w:val="20"/>
                <w:color w:val="auto"/>
              </w:rPr>
            </w:pPr>
            <w:r>
              <w:rPr>
                <w:rFonts w:ascii="Arial" w:cs="Arial" w:eastAsia="Arial" w:hAnsi="Arial"/>
                <w:sz w:val="13"/>
                <w:szCs w:val="13"/>
                <w:color w:val="auto"/>
              </w:rPr>
              <w:t>2,532</w:t>
            </w:r>
          </w:p>
        </w:tc>
        <w:tc>
          <w:tcPr>
            <w:tcW w:w="300" w:type="dxa"/>
            <w:vAlign w:val="bottom"/>
          </w:tcPr>
          <w:p>
            <w:pPr>
              <w:ind w:left="20"/>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39.92</w:t>
            </w:r>
          </w:p>
        </w:tc>
        <w:tc>
          <w:tcPr>
            <w:tcW w:w="1900" w:type="dxa"/>
            <w:vAlign w:val="bottom"/>
          </w:tcPr>
          <w:p>
            <w:pPr>
              <w:jc w:val="right"/>
              <w:ind w:right="1037"/>
              <w:spacing w:after="0"/>
              <w:rPr>
                <w:sz w:val="20"/>
                <w:szCs w:val="20"/>
                <w:color w:val="auto"/>
              </w:rPr>
            </w:pPr>
            <w:r>
              <w:rPr>
                <w:rFonts w:ascii="Arial" w:cs="Arial" w:eastAsia="Arial" w:hAnsi="Arial"/>
                <w:sz w:val="13"/>
                <w:szCs w:val="13"/>
                <w:color w:val="auto"/>
              </w:rPr>
              <w:t>9/30/2030</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3"/>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397"/>
              <w:spacing w:after="0"/>
              <w:rPr>
                <w:sz w:val="20"/>
                <w:szCs w:val="20"/>
                <w:color w:val="auto"/>
              </w:rPr>
            </w:pPr>
            <w:r>
              <w:rPr>
                <w:rFonts w:ascii="Arial" w:cs="Arial" w:eastAsia="Arial" w:hAnsi="Arial"/>
                <w:sz w:val="13"/>
                <w:szCs w:val="13"/>
                <w:color w:val="auto"/>
              </w:rPr>
              <w:t>1,708</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3,416</w:t>
            </w:r>
          </w:p>
        </w:tc>
        <w:tc>
          <w:tcPr>
            <w:tcW w:w="300" w:type="dxa"/>
            <w:vAlign w:val="bottom"/>
            <w:shd w:val="clear" w:color="auto" w:fill="CCEEFF"/>
          </w:tcPr>
          <w:p>
            <w:pPr>
              <w:ind w:left="20"/>
              <w:spacing w:after="0"/>
              <w:rPr>
                <w:sz w:val="20"/>
                <w:szCs w:val="20"/>
                <w:color w:val="auto"/>
              </w:rPr>
            </w:pPr>
            <w:r>
              <w:rPr>
                <w:rFonts w:ascii="Arial" w:cs="Arial" w:eastAsia="Arial" w:hAnsi="Arial"/>
                <w:sz w:val="13"/>
                <w:szCs w:val="13"/>
                <w:color w:val="auto"/>
              </w:rPr>
              <w:t>(2)</w:t>
            </w: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49.79</w:t>
            </w:r>
          </w:p>
        </w:tc>
        <w:tc>
          <w:tcPr>
            <w:tcW w:w="1900" w:type="dxa"/>
            <w:vAlign w:val="bottom"/>
            <w:shd w:val="clear" w:color="auto" w:fill="CCEEFF"/>
          </w:tcPr>
          <w:p>
            <w:pPr>
              <w:jc w:val="right"/>
              <w:ind w:right="1037"/>
              <w:spacing w:after="0"/>
              <w:rPr>
                <w:sz w:val="20"/>
                <w:szCs w:val="20"/>
                <w:color w:val="auto"/>
              </w:rPr>
            </w:pPr>
            <w:r>
              <w:rPr>
                <w:rFonts w:ascii="Arial" w:cs="Arial" w:eastAsia="Arial" w:hAnsi="Arial"/>
                <w:sz w:val="13"/>
                <w:szCs w:val="13"/>
                <w:color w:val="auto"/>
              </w:rPr>
              <w:t>9/16/2031</w:t>
            </w:r>
          </w:p>
        </w:tc>
        <w:tc>
          <w:tcPr>
            <w:tcW w:w="2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8"/>
        </w:trPr>
        <w:tc>
          <w:tcPr>
            <w:tcW w:w="1360" w:type="dxa"/>
            <w:vAlign w:val="bottom"/>
          </w:tcPr>
          <w:p>
            <w:pPr>
              <w:spacing w:after="0"/>
              <w:rPr>
                <w:sz w:val="14"/>
                <w:szCs w:val="14"/>
                <w:color w:val="auto"/>
              </w:rPr>
            </w:pPr>
          </w:p>
        </w:tc>
        <w:tc>
          <w:tcPr>
            <w:tcW w:w="134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4,799</w:t>
            </w:r>
          </w:p>
        </w:tc>
        <w:tc>
          <w:tcPr>
            <w:tcW w:w="300" w:type="dxa"/>
            <w:vAlign w:val="bottom"/>
          </w:tcPr>
          <w:p>
            <w:pPr>
              <w:ind w:left="20"/>
              <w:spacing w:after="0"/>
              <w:rPr>
                <w:sz w:val="20"/>
                <w:szCs w:val="20"/>
                <w:color w:val="auto"/>
              </w:rPr>
            </w:pPr>
            <w:r>
              <w:rPr>
                <w:rFonts w:ascii="Arial" w:cs="Arial" w:eastAsia="Arial" w:hAnsi="Arial"/>
                <w:sz w:val="13"/>
                <w:szCs w:val="13"/>
                <w:color w:val="auto"/>
              </w:rPr>
              <w:t>(14)</w:t>
            </w:r>
          </w:p>
        </w:tc>
        <w:tc>
          <w:tcPr>
            <w:tcW w:w="280" w:type="dxa"/>
            <w:vAlign w:val="bottom"/>
          </w:tcPr>
          <w:p>
            <w:pPr>
              <w:spacing w:after="0"/>
              <w:rPr>
                <w:sz w:val="14"/>
                <w:szCs w:val="14"/>
                <w:color w:val="auto"/>
              </w:rPr>
            </w:pPr>
          </w:p>
        </w:tc>
        <w:tc>
          <w:tcPr>
            <w:tcW w:w="740" w:type="dxa"/>
            <w:vAlign w:val="bottom"/>
          </w:tcPr>
          <w:p>
            <w:pPr>
              <w:jc w:val="right"/>
              <w:ind w:right="237"/>
              <w:spacing w:after="0"/>
              <w:rPr>
                <w:sz w:val="20"/>
                <w:szCs w:val="20"/>
                <w:color w:val="auto"/>
              </w:rPr>
            </w:pPr>
            <w:r>
              <w:rPr>
                <w:rFonts w:ascii="Arial" w:cs="Arial" w:eastAsia="Arial" w:hAnsi="Arial"/>
                <w:sz w:val="13"/>
                <w:szCs w:val="13"/>
                <w:color w:val="auto"/>
              </w:rPr>
              <w:t>43.50</w:t>
            </w:r>
          </w:p>
        </w:tc>
        <w:tc>
          <w:tcPr>
            <w:tcW w:w="1900" w:type="dxa"/>
            <w:vAlign w:val="bottom"/>
          </w:tcPr>
          <w:p>
            <w:pPr>
              <w:jc w:val="right"/>
              <w:ind w:right="1037"/>
              <w:spacing w:after="0"/>
              <w:rPr>
                <w:sz w:val="20"/>
                <w:szCs w:val="20"/>
                <w:color w:val="auto"/>
              </w:rPr>
            </w:pPr>
            <w:r>
              <w:rPr>
                <w:rFonts w:ascii="Arial" w:cs="Arial" w:eastAsia="Arial" w:hAnsi="Arial"/>
                <w:sz w:val="13"/>
                <w:szCs w:val="13"/>
                <w:color w:val="auto"/>
              </w:rPr>
              <w:t>9/19/2032</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3"/>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(5)</w:t>
            </w:r>
          </w:p>
        </w:tc>
        <w:tc>
          <w:tcPr>
            <w:tcW w:w="48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214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28,678</w:t>
            </w: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8"/>
        </w:trPr>
        <w:tc>
          <w:tcPr>
            <w:tcW w:w="1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Arial" w:cs="Arial" w:eastAsia="Arial" w:hAnsi="Arial"/>
                <w:sz w:val="13"/>
                <w:szCs w:val="13"/>
                <w:color w:val="auto"/>
              </w:rPr>
              <w:t>804</w:t>
            </w:r>
          </w:p>
        </w:tc>
        <w:tc>
          <w:tcPr>
            <w:tcW w:w="280" w:type="dxa"/>
            <w:vAlign w:val="bottom"/>
          </w:tcPr>
          <w:p>
            <w:pPr>
              <w:spacing w:after="0"/>
              <w:rPr>
                <w:sz w:val="20"/>
                <w:szCs w:val="20"/>
                <w:color w:val="auto"/>
              </w:rPr>
            </w:pPr>
            <w:r>
              <w:rPr>
                <w:rFonts w:ascii="Arial" w:cs="Arial" w:eastAsia="Arial" w:hAnsi="Arial"/>
                <w:sz w:val="13"/>
                <w:szCs w:val="13"/>
                <w:color w:val="auto"/>
              </w:rPr>
              <w:t>(6)</w:t>
            </w:r>
          </w:p>
        </w:tc>
        <w:tc>
          <w:tcPr>
            <w:tcW w:w="480" w:type="dxa"/>
            <w:vAlign w:val="bottom"/>
          </w:tcPr>
          <w:p>
            <w:pPr>
              <w:spacing w:after="0"/>
              <w:rPr>
                <w:sz w:val="14"/>
                <w:szCs w:val="14"/>
                <w:color w:val="auto"/>
              </w:rPr>
            </w:pPr>
          </w:p>
        </w:tc>
        <w:tc>
          <w:tcPr>
            <w:tcW w:w="2140" w:type="dxa"/>
            <w:vAlign w:val="bottom"/>
          </w:tcPr>
          <w:p>
            <w:pPr>
              <w:jc w:val="right"/>
              <w:ind w:right="1317"/>
              <w:spacing w:after="0"/>
              <w:rPr>
                <w:sz w:val="20"/>
                <w:szCs w:val="20"/>
                <w:color w:val="auto"/>
              </w:rPr>
            </w:pPr>
            <w:r>
              <w:rPr>
                <w:rFonts w:ascii="Arial" w:cs="Arial" w:eastAsia="Arial" w:hAnsi="Arial"/>
                <w:sz w:val="13"/>
                <w:szCs w:val="13"/>
                <w:color w:val="auto"/>
              </w:rPr>
              <w:t>41,470</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3"/>
        </w:trPr>
        <w:tc>
          <w:tcPr>
            <w:tcW w:w="1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1,380</w:t>
            </w:r>
          </w:p>
        </w:tc>
        <w:tc>
          <w:tcPr>
            <w:tcW w:w="280" w:type="dxa"/>
            <w:vAlign w:val="bottom"/>
            <w:shd w:val="clear" w:color="auto" w:fill="CCEEFF"/>
          </w:tcPr>
          <w:p>
            <w:pPr>
              <w:spacing w:after="0"/>
              <w:rPr>
                <w:sz w:val="20"/>
                <w:szCs w:val="20"/>
                <w:color w:val="auto"/>
              </w:rPr>
            </w:pPr>
            <w:r>
              <w:rPr>
                <w:rFonts w:ascii="Arial" w:cs="Arial" w:eastAsia="Arial" w:hAnsi="Arial"/>
                <w:sz w:val="13"/>
                <w:szCs w:val="13"/>
                <w:color w:val="auto"/>
              </w:rPr>
              <w:t>(16)</w:t>
            </w:r>
          </w:p>
        </w:tc>
        <w:tc>
          <w:tcPr>
            <w:tcW w:w="480" w:type="dxa"/>
            <w:vAlign w:val="bottom"/>
            <w:shd w:val="clear" w:color="auto" w:fill="CCEEFF"/>
          </w:tcPr>
          <w:p>
            <w:pPr>
              <w:spacing w:after="0"/>
              <w:rPr>
                <w:sz w:val="15"/>
                <w:szCs w:val="15"/>
                <w:color w:val="auto"/>
              </w:rPr>
            </w:pPr>
          </w:p>
        </w:tc>
        <w:tc>
          <w:tcPr>
            <w:tcW w:w="2140" w:type="dxa"/>
            <w:vAlign w:val="bottom"/>
            <w:shd w:val="clear" w:color="auto" w:fill="CCEEFF"/>
          </w:tcPr>
          <w:p>
            <w:pPr>
              <w:jc w:val="right"/>
              <w:ind w:right="1317"/>
              <w:spacing w:after="0"/>
              <w:rPr>
                <w:sz w:val="20"/>
                <w:szCs w:val="20"/>
                <w:color w:val="auto"/>
              </w:rPr>
            </w:pPr>
            <w:r>
              <w:rPr>
                <w:rFonts w:ascii="Arial" w:cs="Arial" w:eastAsia="Arial" w:hAnsi="Arial"/>
                <w:sz w:val="13"/>
                <w:szCs w:val="13"/>
                <w:color w:val="auto"/>
              </w:rPr>
              <w:t>71,180</w:t>
            </w: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60"/>
        </w:trPr>
        <w:tc>
          <w:tcPr>
            <w:tcW w:w="1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140" w:type="dxa"/>
            <w:vAlign w:val="bottom"/>
          </w:tcPr>
          <w:p>
            <w:pPr>
              <w:jc w:val="right"/>
              <w:spacing w:after="0"/>
              <w:rPr>
                <w:sz w:val="20"/>
                <w:szCs w:val="20"/>
                <w:color w:val="auto"/>
              </w:rPr>
            </w:pPr>
            <w:r>
              <w:rPr>
                <w:rFonts w:ascii="Arial" w:cs="Arial" w:eastAsia="Arial" w:hAnsi="Arial"/>
                <w:sz w:val="13"/>
                <w:szCs w:val="13"/>
                <w:color w:val="auto"/>
              </w:rPr>
              <w:t>1,432</w:t>
            </w:r>
          </w:p>
        </w:tc>
        <w:tc>
          <w:tcPr>
            <w:tcW w:w="320" w:type="dxa"/>
            <w:vAlign w:val="bottom"/>
          </w:tcPr>
          <w:p>
            <w:pPr>
              <w:ind w:left="40"/>
              <w:spacing w:after="0"/>
              <w:rPr>
                <w:sz w:val="20"/>
                <w:szCs w:val="20"/>
                <w:color w:val="auto"/>
              </w:rPr>
            </w:pPr>
            <w:r>
              <w:rPr>
                <w:rFonts w:ascii="Arial" w:cs="Arial" w:eastAsia="Arial" w:hAnsi="Arial"/>
                <w:sz w:val="13"/>
                <w:szCs w:val="13"/>
                <w:color w:val="auto"/>
              </w:rPr>
              <w:t>(9)</w:t>
            </w:r>
          </w:p>
        </w:tc>
        <w:tc>
          <w:tcPr>
            <w:tcW w:w="4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73,863</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620"/>
              <w:spacing w:after="0"/>
              <w:rPr>
                <w:sz w:val="20"/>
                <w:szCs w:val="20"/>
                <w:color w:val="auto"/>
              </w:rPr>
            </w:pPr>
            <w:r>
              <w:rPr>
                <w:rFonts w:ascii="Arial" w:cs="Arial" w:eastAsia="Arial" w:hAnsi="Arial"/>
                <w:sz w:val="13"/>
                <w:szCs w:val="13"/>
                <w:b w:val="1"/>
                <w:bCs w:val="1"/>
                <w:color w:val="auto"/>
                <w:w w:val="86"/>
              </w:rPr>
              <w:t>Option Awards</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717"/>
              <w:spacing w:after="0"/>
              <w:rPr>
                <w:sz w:val="20"/>
                <w:szCs w:val="20"/>
                <w:color w:val="auto"/>
              </w:rPr>
            </w:pPr>
            <w:r>
              <w:rPr>
                <w:rFonts w:ascii="Arial" w:cs="Arial" w:eastAsia="Arial" w:hAnsi="Arial"/>
                <w:sz w:val="13"/>
                <w:szCs w:val="13"/>
                <w:b w:val="1"/>
                <w:bCs w:val="1"/>
                <w:color w:val="auto"/>
              </w:rPr>
              <w:t>Stock Awards</w:t>
            </w: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90"/>
              </w:rPr>
              <w:t>Equity Incentive Plan</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9"/>
              </w:rPr>
              <w:t>Number of</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Equity Incentive Plan</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1"/>
              </w:rPr>
              <w:t>Awards: Market or</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6"/>
              </w:rPr>
              <w:t>Securities</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Securities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88"/>
              </w:rPr>
              <w:t>Payout Value of</w:t>
            </w: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1"/>
              </w:rPr>
              <w:t>Underlying</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Underlying</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Option</w:t>
            </w: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Market Value of</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Awards: Number of</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6"/>
              </w:rPr>
              <w:t>Unearned Shares,</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5"/>
              </w:rPr>
              <w:t>Unexercised</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Unexercised</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Shares or Units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Shares or Units of</w:t>
            </w: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Unearned Shares,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jc w:val="center"/>
              <w:ind w:right="37"/>
              <w:spacing w:after="0" w:line="122" w:lineRule="exact"/>
              <w:rPr>
                <w:sz w:val="20"/>
                <w:szCs w:val="20"/>
                <w:color w:val="auto"/>
              </w:rPr>
            </w:pPr>
            <w:r>
              <w:rPr>
                <w:rFonts w:ascii="Arial" w:cs="Arial" w:eastAsia="Arial" w:hAnsi="Arial"/>
                <w:sz w:val="13"/>
                <w:szCs w:val="13"/>
                <w:b w:val="1"/>
                <w:bCs w:val="1"/>
                <w:color w:val="auto"/>
                <w:w w:val="91"/>
              </w:rPr>
              <w:t>Units Or Other</w:t>
            </w: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5"/>
              </w:rPr>
              <w:t>Options</w:t>
            </w:r>
          </w:p>
        </w:tc>
        <w:tc>
          <w:tcPr>
            <w:tcW w:w="110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Options</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85"/>
              </w:rPr>
              <w:t>Exercise</w:t>
            </w: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7"/>
              </w:rPr>
              <w:t>of Stock That</w:t>
            </w:r>
          </w:p>
        </w:tc>
        <w:tc>
          <w:tcPr>
            <w:tcW w:w="340" w:type="dxa"/>
            <w:vAlign w:val="bottom"/>
          </w:tcPr>
          <w:p>
            <w:pPr>
              <w:spacing w:after="0"/>
              <w:rPr>
                <w:sz w:val="10"/>
                <w:szCs w:val="10"/>
                <w:color w:val="auto"/>
              </w:rPr>
            </w:pPr>
          </w:p>
        </w:tc>
        <w:tc>
          <w:tcPr>
            <w:tcW w:w="13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8"/>
              </w:rPr>
              <w:t>Stock That Have Not</w:t>
            </w:r>
          </w:p>
        </w:tc>
        <w:tc>
          <w:tcPr>
            <w:tcW w:w="12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Units, or Other Rights</w:t>
            </w:r>
          </w:p>
        </w:tc>
        <w:tc>
          <w:tcPr>
            <w:tcW w:w="360" w:type="dxa"/>
            <w:vAlign w:val="bottom"/>
          </w:tcPr>
          <w:p>
            <w:pPr>
              <w:spacing w:after="0"/>
              <w:rPr>
                <w:sz w:val="10"/>
                <w:szCs w:val="10"/>
                <w:color w:val="auto"/>
              </w:rPr>
            </w:pPr>
          </w:p>
        </w:tc>
        <w:tc>
          <w:tcPr>
            <w:tcW w:w="12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9"/>
              </w:rPr>
              <w:t>Rights That Have Not</w:t>
            </w:r>
          </w:p>
        </w:tc>
        <w:tc>
          <w:tcPr>
            <w:tcW w:w="0" w:type="dxa"/>
            <w:vAlign w:val="bottom"/>
          </w:tcPr>
          <w:p>
            <w:pPr>
              <w:spacing w:after="0"/>
              <w:rPr>
                <w:sz w:val="1"/>
                <w:szCs w:val="1"/>
                <w:color w:val="auto"/>
              </w:rPr>
            </w:pPr>
          </w:p>
        </w:tc>
      </w:tr>
      <w:tr>
        <w:trPr>
          <w:trHeight w:val="135"/>
        </w:trPr>
        <w:tc>
          <w:tcPr>
            <w:tcW w:w="12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1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Exercisable</w:t>
            </w:r>
          </w:p>
        </w:tc>
        <w:tc>
          <w:tcPr>
            <w:tcW w:w="11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Unexercisable</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Price</w:t>
            </w: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0"/>
              </w:rPr>
              <w:t>Option</w:t>
            </w:r>
          </w:p>
        </w:tc>
        <w:tc>
          <w:tcPr>
            <w:tcW w:w="9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Have Not Vested</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Vested</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That Have Not Vested</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79"/>
              </w:rPr>
              <w:t>Vested</w:t>
            </w:r>
          </w:p>
        </w:tc>
        <w:tc>
          <w:tcPr>
            <w:tcW w:w="0" w:type="dxa"/>
            <w:vAlign w:val="bottom"/>
          </w:tcPr>
          <w:p>
            <w:pPr>
              <w:spacing w:after="0"/>
              <w:rPr>
                <w:sz w:val="1"/>
                <w:szCs w:val="1"/>
                <w:color w:val="auto"/>
              </w:rPr>
            </w:pPr>
          </w:p>
        </w:tc>
      </w:tr>
      <w:tr>
        <w:trPr>
          <w:trHeight w:val="170"/>
        </w:trPr>
        <w:tc>
          <w:tcPr>
            <w:tcW w:w="1200" w:type="dxa"/>
            <w:vAlign w:val="bottom"/>
            <w:gridSpan w:val="2"/>
            <w:vMerge w:val="continue"/>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Expiration Date</w:t>
            </w: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175"/>
        </w:trPr>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725</w:t>
            </w:r>
          </w:p>
        </w:tc>
        <w:tc>
          <w:tcPr>
            <w:tcW w:w="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(10)</w:t>
            </w:r>
          </w:p>
        </w:tc>
        <w:tc>
          <w:tcPr>
            <w:tcW w:w="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37,396</w:t>
            </w: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725</w:t>
            </w:r>
          </w:p>
        </w:tc>
        <w:tc>
          <w:tcPr>
            <w:tcW w:w="360" w:type="dxa"/>
            <w:vAlign w:val="bottom"/>
          </w:tcPr>
          <w:p>
            <w:pPr>
              <w:ind w:left="2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37,396</w:t>
            </w:r>
          </w:p>
        </w:tc>
        <w:tc>
          <w:tcPr>
            <w:tcW w:w="0" w:type="dxa"/>
            <w:vAlign w:val="bottom"/>
          </w:tcPr>
          <w:p>
            <w:pPr>
              <w:spacing w:after="0"/>
              <w:rPr>
                <w:sz w:val="1"/>
                <w:szCs w:val="1"/>
                <w:color w:val="auto"/>
              </w:rPr>
            </w:pPr>
          </w:p>
        </w:tc>
      </w:tr>
      <w:tr>
        <w:trPr>
          <w:trHeight w:val="183"/>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42,450</w:t>
            </w: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823</w:t>
            </w:r>
          </w:p>
        </w:tc>
        <w:tc>
          <w:tcPr>
            <w:tcW w:w="360" w:type="dxa"/>
            <w:vAlign w:val="bottom"/>
          </w:tcPr>
          <w:p>
            <w:pPr>
              <w:ind w:left="20"/>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42,450</w:t>
            </w:r>
          </w:p>
        </w:tc>
        <w:tc>
          <w:tcPr>
            <w:tcW w:w="0" w:type="dxa"/>
            <w:vAlign w:val="bottom"/>
          </w:tcPr>
          <w:p>
            <w:pPr>
              <w:spacing w:after="0"/>
              <w:rPr>
                <w:sz w:val="1"/>
                <w:szCs w:val="1"/>
                <w:color w:val="auto"/>
              </w:rPr>
            </w:pPr>
          </w:p>
        </w:tc>
      </w:tr>
      <w:tr>
        <w:trPr>
          <w:trHeight w:val="264"/>
        </w:trPr>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A.T. Gorman</w:t>
            </w:r>
          </w:p>
        </w:tc>
        <w:tc>
          <w:tcPr>
            <w:tcW w:w="1080" w:type="dxa"/>
            <w:vAlign w:val="bottom"/>
          </w:tcPr>
          <w:p>
            <w:pPr>
              <w:jc w:val="right"/>
              <w:spacing w:after="0"/>
              <w:rPr>
                <w:sz w:val="20"/>
                <w:szCs w:val="20"/>
                <w:color w:val="auto"/>
              </w:rPr>
            </w:pPr>
            <w:r>
              <w:rPr>
                <w:rFonts w:ascii="Arial" w:cs="Arial" w:eastAsia="Arial" w:hAnsi="Arial"/>
                <w:sz w:val="13"/>
                <w:szCs w:val="13"/>
                <w:color w:val="auto"/>
              </w:rPr>
              <w:t>5,824</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2,912</w:t>
            </w:r>
          </w:p>
        </w:tc>
        <w:tc>
          <w:tcPr>
            <w:tcW w:w="340" w:type="dxa"/>
            <w:vAlign w:val="bottom"/>
          </w:tcPr>
          <w:p>
            <w:pPr>
              <w:ind w:left="20"/>
              <w:spacing w:after="0"/>
              <w:rPr>
                <w:sz w:val="20"/>
                <w:szCs w:val="20"/>
                <w:color w:val="auto"/>
              </w:rPr>
            </w:pPr>
            <w:r>
              <w:rPr>
                <w:rFonts w:ascii="Arial" w:cs="Arial" w:eastAsia="Arial" w:hAnsi="Arial"/>
                <w:sz w:val="13"/>
                <w:szCs w:val="13"/>
                <w:color w:val="auto"/>
              </w:rPr>
              <w:t>(1)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39.92</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9/30/2030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2,157</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4,312</w:t>
            </w:r>
          </w:p>
        </w:tc>
        <w:tc>
          <w:tcPr>
            <w:tcW w:w="340" w:type="dxa"/>
            <w:vAlign w:val="bottom"/>
            <w:shd w:val="clear" w:color="auto" w:fill="CCEEFF"/>
          </w:tcPr>
          <w:p>
            <w:pPr>
              <w:ind w:left="20"/>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9/16/2031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6,059</w:t>
            </w:r>
          </w:p>
        </w:tc>
        <w:tc>
          <w:tcPr>
            <w:tcW w:w="340" w:type="dxa"/>
            <w:vAlign w:val="bottom"/>
          </w:tcPr>
          <w:p>
            <w:pPr>
              <w:ind w:left="20"/>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43.50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9/19/2032</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640</w:t>
            </w:r>
          </w:p>
        </w:tc>
        <w:tc>
          <w:tcPr>
            <w:tcW w:w="340" w:type="dxa"/>
            <w:vAlign w:val="bottom"/>
            <w:shd w:val="clear" w:color="auto" w:fill="CCEEFF"/>
          </w:tcPr>
          <w:p>
            <w:pPr>
              <w:spacing w:after="0"/>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33,011</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1,014</w:t>
            </w:r>
          </w:p>
        </w:tc>
        <w:tc>
          <w:tcPr>
            <w:tcW w:w="340" w:type="dxa"/>
            <w:vAlign w:val="bottom"/>
          </w:tcPr>
          <w:p>
            <w:pPr>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52,302</w:t>
            </w: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1,742</w:t>
            </w:r>
          </w:p>
        </w:tc>
        <w:tc>
          <w:tcPr>
            <w:tcW w:w="340" w:type="dxa"/>
            <w:vAlign w:val="bottom"/>
            <w:shd w:val="clear" w:color="auto" w:fill="CCEEFF"/>
          </w:tcPr>
          <w:p>
            <w:pPr>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89,852</w:t>
            </w: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1,646</w:t>
            </w:r>
          </w:p>
        </w:tc>
        <w:tc>
          <w:tcPr>
            <w:tcW w:w="360" w:type="dxa"/>
            <w:vAlign w:val="bottom"/>
          </w:tcPr>
          <w:p>
            <w:pPr>
              <w:ind w:left="20"/>
              <w:spacing w:after="0"/>
              <w:rPr>
                <w:sz w:val="20"/>
                <w:szCs w:val="20"/>
                <w:color w:val="auto"/>
              </w:rPr>
            </w:pPr>
            <w:r>
              <w:rPr>
                <w:rFonts w:ascii="Arial" w:cs="Arial" w:eastAsia="Arial" w:hAnsi="Arial"/>
                <w:sz w:val="13"/>
                <w:szCs w:val="13"/>
                <w:color w:val="auto"/>
              </w:rPr>
              <w:t>(9)</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84,901</w:t>
            </w:r>
          </w:p>
        </w:tc>
        <w:tc>
          <w:tcPr>
            <w:tcW w:w="0" w:type="dxa"/>
            <w:vAlign w:val="bottom"/>
          </w:tcPr>
          <w:p>
            <w:pPr>
              <w:spacing w:after="0"/>
              <w:rPr>
                <w:sz w:val="1"/>
                <w:szCs w:val="1"/>
                <w:color w:val="auto"/>
              </w:rPr>
            </w:pPr>
          </w:p>
        </w:tc>
      </w:tr>
      <w:tr>
        <w:trPr>
          <w:trHeight w:val="183"/>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915</w:t>
            </w:r>
          </w:p>
        </w:tc>
        <w:tc>
          <w:tcPr>
            <w:tcW w:w="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47,196</w:t>
            </w: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915</w:t>
            </w:r>
          </w:p>
        </w:tc>
        <w:tc>
          <w:tcPr>
            <w:tcW w:w="360" w:type="dxa"/>
            <w:vAlign w:val="bottom"/>
          </w:tcPr>
          <w:p>
            <w:pPr>
              <w:ind w:left="20"/>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47,196</w:t>
            </w:r>
          </w:p>
        </w:tc>
        <w:tc>
          <w:tcPr>
            <w:tcW w:w="0" w:type="dxa"/>
            <w:vAlign w:val="bottom"/>
          </w:tcPr>
          <w:p>
            <w:pPr>
              <w:spacing w:after="0"/>
              <w:rPr>
                <w:sz w:val="1"/>
                <w:szCs w:val="1"/>
                <w:color w:val="auto"/>
              </w:rPr>
            </w:pPr>
          </w:p>
        </w:tc>
      </w:tr>
      <w:tr>
        <w:trPr>
          <w:trHeight w:val="183"/>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1,039</w:t>
            </w:r>
          </w:p>
        </w:tc>
        <w:tc>
          <w:tcPr>
            <w:tcW w:w="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53,592</w:t>
            </w: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1,039</w:t>
            </w:r>
          </w:p>
        </w:tc>
        <w:tc>
          <w:tcPr>
            <w:tcW w:w="360" w:type="dxa"/>
            <w:vAlign w:val="bottom"/>
          </w:tcPr>
          <w:p>
            <w:pPr>
              <w:ind w:left="20"/>
              <w:spacing w:after="0"/>
              <w:rPr>
                <w:sz w:val="20"/>
                <w:szCs w:val="20"/>
                <w:color w:val="auto"/>
              </w:rPr>
            </w:pPr>
            <w:r>
              <w:rPr>
                <w:rFonts w:ascii="Arial" w:cs="Arial" w:eastAsia="Arial" w:hAnsi="Arial"/>
                <w:sz w:val="13"/>
                <w:szCs w:val="13"/>
                <w:color w:val="auto"/>
              </w:rPr>
              <w:t>(13)</w:t>
            </w: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53,592</w:t>
            </w:r>
          </w:p>
        </w:tc>
        <w:tc>
          <w:tcPr>
            <w:tcW w:w="0" w:type="dxa"/>
            <w:vAlign w:val="bottom"/>
          </w:tcPr>
          <w:p>
            <w:pPr>
              <w:spacing w:after="0"/>
              <w:rPr>
                <w:sz w:val="1"/>
                <w:szCs w:val="1"/>
                <w:color w:val="auto"/>
              </w:rPr>
            </w:pPr>
          </w:p>
        </w:tc>
      </w:tr>
      <w:tr>
        <w:trPr>
          <w:trHeight w:val="264"/>
        </w:trPr>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P. Deman (18)</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1200" w:type="dxa"/>
            <w:vAlign w:val="bottom"/>
            <w:gridSpan w:val="2"/>
          </w:tcPr>
          <w:p>
            <w:pPr>
              <w:ind w:left="20"/>
              <w:spacing w:after="0"/>
              <w:rPr>
                <w:sz w:val="20"/>
                <w:szCs w:val="20"/>
                <w:color w:val="auto"/>
              </w:rPr>
            </w:pPr>
            <w:r>
              <w:rPr>
                <w:rFonts w:ascii="Arial" w:cs="Arial" w:eastAsia="Arial" w:hAnsi="Arial"/>
                <w:sz w:val="13"/>
                <w:szCs w:val="13"/>
                <w:color w:val="auto"/>
              </w:rPr>
              <w:t>A.J. Pearce (19)</w:t>
            </w:r>
          </w:p>
        </w:tc>
        <w:tc>
          <w:tcPr>
            <w:tcW w:w="1080" w:type="dxa"/>
            <w:vAlign w:val="bottom"/>
          </w:tcPr>
          <w:p>
            <w:pPr>
              <w:jc w:val="right"/>
              <w:spacing w:after="0"/>
              <w:rPr>
                <w:sz w:val="20"/>
                <w:szCs w:val="20"/>
                <w:color w:val="auto"/>
              </w:rPr>
            </w:pPr>
            <w:r>
              <w:rPr>
                <w:rFonts w:ascii="Arial" w:cs="Arial" w:eastAsia="Arial" w:hAnsi="Arial"/>
                <w:sz w:val="13"/>
                <w:szCs w:val="13"/>
                <w:color w:val="auto"/>
              </w:rPr>
              <w:t>51,375</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19.96</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9/25/2025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37,721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9/23/2026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34,071</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36.85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9/22/2027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29,800</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9/25/2028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27,262</w:t>
            </w:r>
          </w:p>
        </w:tc>
        <w:tc>
          <w:tcPr>
            <w:tcW w:w="10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54.05</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9/20/2029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34,181</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39.92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9/30/2030</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25,620</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49.79</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9/16/2031</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7" w:lineRule="exact"/>
        <w:rPr>
          <w:sz w:val="20"/>
          <w:szCs w:val="20"/>
          <w:color w:val="auto"/>
        </w:rPr>
      </w:pPr>
    </w:p>
    <w:p>
      <w:pPr>
        <w:ind w:left="640" w:hanging="389"/>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remaining options vest on September 30, 2023.</w:t>
      </w:r>
    </w:p>
    <w:p>
      <w:pPr>
        <w:spacing w:after="0" w:line="23" w:lineRule="exact"/>
        <w:rPr>
          <w:rFonts w:ascii="Arial" w:cs="Arial" w:eastAsia="Arial" w:hAnsi="Arial"/>
          <w:sz w:val="18"/>
          <w:szCs w:val="18"/>
          <w:color w:val="auto"/>
        </w:rPr>
      </w:pPr>
    </w:p>
    <w:p>
      <w:pPr>
        <w:ind w:left="640" w:hanging="389"/>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One-half of the options vest on September 16, 2023, and the remaining options vest on September 16, 2024.</w:t>
      </w:r>
    </w:p>
    <w:p>
      <w:pPr>
        <w:spacing w:after="0" w:line="9" w:lineRule="exact"/>
        <w:rPr>
          <w:rFonts w:ascii="Arial" w:cs="Arial" w:eastAsia="Arial" w:hAnsi="Arial"/>
          <w:sz w:val="18"/>
          <w:szCs w:val="18"/>
          <w:color w:val="auto"/>
        </w:rPr>
      </w:pPr>
    </w:p>
    <w:p>
      <w:pPr>
        <w:ind w:left="660" w:hanging="409"/>
        <w:spacing w:after="0" w:line="250"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Effective April 1, 2022, Mr. Shaller was awarded 60,928 shares of stock options as part of his appointment to President, CEO and Director. One-half of the options vest on April 1, 2024, and the remaining options vest on April 1, 2025.</w:t>
      </w:r>
    </w:p>
    <w:p>
      <w:pPr>
        <w:ind w:left="660" w:right="20" w:hanging="409"/>
        <w:spacing w:after="0" w:line="265" w:lineRule="auto"/>
        <w:tabs>
          <w:tab w:leader="none" w:pos="654" w:val="left"/>
        </w:tabs>
        <w:numPr>
          <w:ilvl w:val="0"/>
          <w:numId w:val="45"/>
        </w:numPr>
        <w:rPr>
          <w:rFonts w:ascii="Arial" w:cs="Arial" w:eastAsia="Arial" w:hAnsi="Arial"/>
          <w:sz w:val="17"/>
          <w:szCs w:val="17"/>
          <w:color w:val="auto"/>
        </w:rPr>
      </w:pPr>
      <w:r>
        <w:rPr>
          <w:rFonts w:ascii="Arial" w:cs="Arial" w:eastAsia="Arial" w:hAnsi="Arial"/>
          <w:sz w:val="17"/>
          <w:szCs w:val="17"/>
          <w:color w:val="auto"/>
        </w:rPr>
        <w:t>Effective September 20, 2019, Mr. Shaller was awarded 9,251 RSUs for retention purposes. The RSUs vest in increments of 10%, 20%, 30%, and 40% upon the first, second, third and fourth anniversaries of the grant date. The remaining units vest on September 20, 2023.</w:t>
      </w:r>
    </w:p>
    <w:p>
      <w:pPr>
        <w:ind w:left="660" w:right="20" w:hanging="409"/>
        <w:spacing w:after="0" w:line="250"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award represents RSUs awarded on September 30, 2020 as part of the annual fiscal 2021 equity grant. The remaining units vest on September 30, 2023.</w:t>
      </w:r>
    </w:p>
    <w:p>
      <w:pPr>
        <w:ind w:left="660" w:right="20" w:hanging="409"/>
        <w:spacing w:after="0" w:line="250"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award represents RSUs awarded on September 16, 2021 as part of the annual fiscal 2022 equity grant. One-half of the units vest on September 16, 2023 and the remaining units vest on September 16, 2024.</w:t>
      </w:r>
    </w:p>
    <w:p>
      <w:pPr>
        <w:ind w:left="660" w:right="20" w:hanging="409"/>
        <w:spacing w:after="0" w:line="250" w:lineRule="auto"/>
        <w:tabs>
          <w:tab w:leader="none" w:pos="6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Effective April 1, 2022, Mr. Shaller was awarded a one-time special equity grant of 5,354 RSUs as part of his appointment to President, CEO and Director. One-half of the units vest on April 1, 2024, and the remaining units vest on April 1, 2025.</w:t>
      </w:r>
    </w:p>
    <w:p>
      <w:pPr>
        <w:jc w:val="both"/>
        <w:ind w:left="660" w:hanging="409"/>
        <w:spacing w:after="0" w:line="302" w:lineRule="auto"/>
        <w:tabs>
          <w:tab w:leader="none" w:pos="654" w:val="left"/>
        </w:tabs>
        <w:numPr>
          <w:ilvl w:val="0"/>
          <w:numId w:val="45"/>
        </w:numPr>
        <w:rPr>
          <w:rFonts w:ascii="Arial" w:cs="Arial" w:eastAsia="Arial" w:hAnsi="Arial"/>
          <w:sz w:val="16"/>
          <w:szCs w:val="16"/>
          <w:color w:val="auto"/>
        </w:rPr>
      </w:pPr>
      <w:r>
        <w:rPr>
          <w:rFonts w:ascii="Arial" w:cs="Arial" w:eastAsia="Arial" w:hAnsi="Arial"/>
          <w:sz w:val="16"/>
          <w:szCs w:val="16"/>
          <w:color w:val="auto"/>
        </w:rPr>
        <w:t>Effective April 1, 2022, Mr. Shaller was awarded 16,285 RSUs as part of his appointment to President, CEO and Director. This award represents Mr. Shaller's fiscal 2024 annual equity grant in which he received at an earlier grant date of April 1, 2023 to correspond with timing of his appointment to President, CEO and Director. One-half of the units vest on April 1, 2024, and the remaining units vest on April 1, 2025.</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409"/>
        <w:spacing w:after="0" w:line="254" w:lineRule="auto"/>
        <w:tabs>
          <w:tab w:leader="none" w:pos="65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award represents PRSUs awarded on August 1, 2020, as part of the annual fiscal 2021 equity grant. These PRSUs have a three-year performance period with the number of shares issued at vesting determined by the Company's TSR relative to the S&amp;P 600 SmallCap Industrials Index. Payout opportunities will range from 0% to 200% of the target award. The amounts listed above are based on the target value of each award (100%).</w:t>
      </w:r>
    </w:p>
    <w:p>
      <w:pPr>
        <w:spacing w:after="0" w:line="2" w:lineRule="exact"/>
        <w:rPr>
          <w:rFonts w:ascii="Arial" w:cs="Arial" w:eastAsia="Arial" w:hAnsi="Arial"/>
          <w:sz w:val="18"/>
          <w:szCs w:val="18"/>
          <w:color w:val="auto"/>
        </w:rPr>
      </w:pPr>
    </w:p>
    <w:p>
      <w:pPr>
        <w:jc w:val="both"/>
        <w:ind w:left="660" w:hanging="409"/>
        <w:spacing w:after="0" w:line="265" w:lineRule="auto"/>
        <w:tabs>
          <w:tab w:leader="none" w:pos="64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This award represents PRSUs awarded on August 2, 2021, as part of the annual fiscal 2022 equity grant. These PRSUs have a three-year performance period with the number of shares issued at vesting determined relative to the Company's revenue performance measured with respect to organic revenue growth over four equally-weighted performance periods. Payout opportunities will range from 0% to 200% of the target award. The amounts listed above are based on the target value of each award (100%).</w:t>
      </w:r>
    </w:p>
    <w:p>
      <w:pPr>
        <w:jc w:val="both"/>
        <w:ind w:left="660" w:hanging="409"/>
        <w:spacing w:after="0" w:line="250" w:lineRule="auto"/>
        <w:tabs>
          <w:tab w:leader="none" w:pos="64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award represents PRSUs awarded on August 2, 2021, as part of the annual fiscal 2022 equity grant. These PRSUs have a three-year performance period with the number of shares issued at vesting determined by the Company's TSR relative to the S&amp;P 600 SmallCap Industrials Index. Payout opportunities will range from 0% to 200% of the target award. The amounts listed above are based on the target value of each award (100%).</w:t>
      </w:r>
    </w:p>
    <w:p>
      <w:pPr>
        <w:spacing w:after="0" w:line="1" w:lineRule="exact"/>
        <w:rPr>
          <w:rFonts w:ascii="Arial" w:cs="Arial" w:eastAsia="Arial" w:hAnsi="Arial"/>
          <w:sz w:val="18"/>
          <w:szCs w:val="18"/>
          <w:color w:val="auto"/>
        </w:rPr>
      </w:pPr>
    </w:p>
    <w:p>
      <w:pPr>
        <w:jc w:val="both"/>
        <w:ind w:left="660" w:hanging="409"/>
        <w:spacing w:after="0" w:line="265" w:lineRule="auto"/>
        <w:tabs>
          <w:tab w:leader="none" w:pos="64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This award represents PRSUs awarded on August 1, 2022, as part of the annual fiscal 2023 equity grant. These PRSUs have a three-year performance period with the number of shares issued at vesting determined relative to the Company's revenue performance measured with respect to organic revenue growth over four equally-weighted performance periods. Payout opportunities will range from 0% to 200% of the target award. The amounts listed above are based on the target value of each award (100%).</w:t>
      </w:r>
    </w:p>
    <w:p>
      <w:pPr>
        <w:jc w:val="both"/>
        <w:ind w:left="660" w:hanging="409"/>
        <w:spacing w:after="0" w:line="250" w:lineRule="auto"/>
        <w:tabs>
          <w:tab w:leader="none" w:pos="6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award represents PRSUs awarded on August 1, 2022, as part of the annual fiscal 2023 equity grant. These PRSUs have a three-year performance period with the number of shares issued at vesting determined by the Company's TSR relative to the S&amp;P 600 SmallCap Industrials Index. Payout opportunities will range from 0% to 200% of the target award. The amounts listed above are based on the target value of each award (100%).</w:t>
      </w:r>
    </w:p>
    <w:p>
      <w:pPr>
        <w:spacing w:after="0" w:line="1" w:lineRule="exact"/>
        <w:rPr>
          <w:rFonts w:ascii="Arial" w:cs="Arial" w:eastAsia="Arial" w:hAnsi="Arial"/>
          <w:sz w:val="18"/>
          <w:szCs w:val="18"/>
          <w:color w:val="auto"/>
        </w:rPr>
      </w:pPr>
    </w:p>
    <w:p>
      <w:pPr>
        <w:ind w:left="660" w:hanging="409"/>
        <w:spacing w:after="0" w:line="250" w:lineRule="auto"/>
        <w:tabs>
          <w:tab w:leader="none" w:pos="6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One-third of the options vest on September 19, 2023, one-third of the options vest on September 19, 2024, and one-third of the options vest on September 19, 2025.</w:t>
      </w:r>
    </w:p>
    <w:p>
      <w:pPr>
        <w:ind w:left="660" w:right="20" w:hanging="409"/>
        <w:spacing w:after="0" w:line="250" w:lineRule="auto"/>
        <w:tabs>
          <w:tab w:leader="none" w:pos="6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Effective June 21, 2021, Ms. Thornton was awarded 4,459 RSUs for retention purposes. The RSUs vest in equal increments upon the third and fourth anniversaries of the grant date.</w:t>
      </w:r>
    </w:p>
    <w:p>
      <w:pPr>
        <w:ind w:left="660" w:right="20" w:hanging="409"/>
        <w:spacing w:after="0" w:line="265" w:lineRule="auto"/>
        <w:tabs>
          <w:tab w:leader="none" w:pos="64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This award represents RSUs awarded on September 19, 2022 as part of the annual fiscal 2023 equity grant. One third of the units vest on September 19, 2023, one-third of the units vest on September 19, 2024 and one-third of the units vest on September 19, 2025.</w:t>
      </w:r>
    </w:p>
    <w:p>
      <w:pPr>
        <w:ind w:left="660" w:hanging="409"/>
        <w:spacing w:after="0" w:line="265" w:lineRule="auto"/>
        <w:tabs>
          <w:tab w:leader="none" w:pos="649" w:val="left"/>
        </w:tabs>
        <w:numPr>
          <w:ilvl w:val="0"/>
          <w:numId w:val="46"/>
        </w:numPr>
        <w:rPr>
          <w:rFonts w:ascii="Arial" w:cs="Arial" w:eastAsia="Arial" w:hAnsi="Arial"/>
          <w:sz w:val="17"/>
          <w:szCs w:val="17"/>
          <w:color w:val="auto"/>
        </w:rPr>
      </w:pPr>
      <w:r>
        <w:rPr>
          <w:rFonts w:ascii="Arial" w:cs="Arial" w:eastAsia="Arial" w:hAnsi="Arial"/>
          <w:sz w:val="17"/>
          <w:szCs w:val="17"/>
          <w:color w:val="auto"/>
        </w:rPr>
        <w:t>Effective August 25, 2022, Mr. Bojarski was awarded 12,263 RSUs as part of his appointment as President - Identification Solutions. One-third of the units vest on August 25, 2023, one-third of the units vest on August 25, 2024 and one-third of the units vest on August 25, 2025.</w:t>
      </w:r>
    </w:p>
    <w:p>
      <w:pPr>
        <w:ind w:left="640" w:hanging="389"/>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Deman had no option awards or stock awards outstanding as of July 31, 2023.</w:t>
      </w:r>
    </w:p>
    <w:p>
      <w:pPr>
        <w:spacing w:after="0" w:line="9" w:lineRule="exact"/>
        <w:rPr>
          <w:rFonts w:ascii="Arial" w:cs="Arial" w:eastAsia="Arial" w:hAnsi="Arial"/>
          <w:sz w:val="18"/>
          <w:szCs w:val="18"/>
          <w:color w:val="auto"/>
        </w:rPr>
      </w:pPr>
    </w:p>
    <w:p>
      <w:pPr>
        <w:jc w:val="both"/>
        <w:ind w:left="660" w:hanging="409"/>
        <w:spacing w:after="0" w:line="253" w:lineRule="auto"/>
        <w:tabs>
          <w:tab w:leader="none" w:pos="649"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part of Mr. Pearce's resignation agreement, he received his outstanding stock options and RSUs that were granted on September 30, 2020 and September 16, 2021. All vested outstanding stock options that were granted prior to September 17, 2021 retained their original expiration date as stated in their respective award agreements. All other equity awards, including PRSUs, held by Mr. Pearce that were not vested as of April 28, 2023 were forfeited.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 Exercises and Stock Vested for Fiscal 2023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exercises and the vesting of restricted stock during fiscal 2023 to the NEOs.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gridSpan w:val="3"/>
          </w:tcPr>
          <w:p>
            <w:pPr>
              <w:ind w:left="1300"/>
              <w:spacing w:after="0"/>
              <w:rPr>
                <w:sz w:val="20"/>
                <w:szCs w:val="20"/>
                <w:color w:val="auto"/>
              </w:rPr>
            </w:pPr>
            <w:r>
              <w:rPr>
                <w:rFonts w:ascii="Arial" w:cs="Arial" w:eastAsia="Arial" w:hAnsi="Arial"/>
                <w:sz w:val="14"/>
                <w:szCs w:val="14"/>
                <w:b w:val="1"/>
                <w:bCs w:val="1"/>
                <w:color w:val="auto"/>
              </w:rPr>
              <w:t>Option Awards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Stock Awards</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2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2"/>
              </w:rPr>
              <w:t>Number of Shares</w:t>
            </w:r>
          </w:p>
        </w:tc>
        <w:tc>
          <w:tcPr>
            <w:tcW w:w="1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7"/>
              </w:rPr>
              <w:t>Value Realized on Exercise</w:t>
            </w:r>
          </w:p>
        </w:tc>
        <w:tc>
          <w:tcPr>
            <w:tcW w:w="184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w w:val="92"/>
              </w:rPr>
              <w:t>Number of Shares</w:t>
            </w:r>
          </w:p>
        </w:tc>
        <w:tc>
          <w:tcPr>
            <w:tcW w:w="1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Value Realized on Vesting</w:t>
            </w:r>
          </w:p>
        </w:tc>
        <w:tc>
          <w:tcPr>
            <w:tcW w:w="0" w:type="dxa"/>
            <w:vAlign w:val="bottom"/>
          </w:tcPr>
          <w:p>
            <w:pPr>
              <w:spacing w:after="0"/>
              <w:rPr>
                <w:sz w:val="1"/>
                <w:szCs w:val="1"/>
                <w:color w:val="auto"/>
              </w:rPr>
            </w:pPr>
          </w:p>
        </w:tc>
      </w:tr>
      <w:tr>
        <w:trPr>
          <w:trHeight w:val="144"/>
        </w:trPr>
        <w:tc>
          <w:tcPr>
            <w:tcW w:w="4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82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92"/>
              </w:rPr>
              <w:t>Acquired on Exercise</w:t>
            </w:r>
          </w:p>
        </w:tc>
        <w:tc>
          <w:tcPr>
            <w:tcW w:w="1820" w:type="dxa"/>
            <w:vAlign w:val="bottom"/>
            <w:gridSpan w:val="3"/>
            <w:vMerge w:val="continue"/>
          </w:tcPr>
          <w:p>
            <w:pPr>
              <w:spacing w:after="0"/>
              <w:rPr>
                <w:sz w:val="12"/>
                <w:szCs w:val="12"/>
                <w:color w:val="auto"/>
              </w:rPr>
            </w:pPr>
          </w:p>
        </w:tc>
        <w:tc>
          <w:tcPr>
            <w:tcW w:w="1840" w:type="dxa"/>
            <w:vAlign w:val="bottom"/>
            <w:gridSpan w:val="2"/>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Acquired on Vesting</w:t>
            </w:r>
          </w:p>
        </w:tc>
        <w:tc>
          <w:tcPr>
            <w:tcW w:w="1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040" w:type="dxa"/>
            <w:vAlign w:val="bottom"/>
            <w:gridSpan w:val="2"/>
            <w:vMerge w:val="continue"/>
          </w:tcPr>
          <w:p>
            <w:pPr>
              <w:spacing w:after="0"/>
              <w:rPr>
                <w:sz w:val="17"/>
                <w:szCs w:val="17"/>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80" w:type="dxa"/>
            <w:vAlign w:val="bottom"/>
          </w:tcPr>
          <w:p>
            <w:pPr>
              <w:jc w:val="right"/>
              <w:ind w:right="572"/>
              <w:spacing w:after="0"/>
              <w:rPr>
                <w:sz w:val="20"/>
                <w:szCs w:val="20"/>
                <w:color w:val="auto"/>
              </w:rPr>
            </w:pPr>
            <w:r>
              <w:rPr>
                <w:rFonts w:ascii="Arial" w:cs="Arial" w:eastAsia="Arial" w:hAnsi="Arial"/>
                <w:sz w:val="14"/>
                <w:szCs w:val="14"/>
                <w:b w:val="1"/>
                <w:bCs w:val="1"/>
                <w:color w:val="auto"/>
              </w:rPr>
              <w:t>($) (1)</w:t>
            </w:r>
          </w:p>
        </w:tc>
        <w:tc>
          <w:tcPr>
            <w:tcW w:w="10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0" w:type="dxa"/>
            <w:vAlign w:val="bottom"/>
          </w:tcPr>
          <w:p>
            <w:pPr>
              <w:jc w:val="right"/>
              <w:ind w:right="592"/>
              <w:spacing w:after="0"/>
              <w:rPr>
                <w:sz w:val="20"/>
                <w:szCs w:val="20"/>
                <w:color w:val="auto"/>
              </w:rPr>
            </w:pPr>
            <w:r>
              <w:rPr>
                <w:rFonts w:ascii="Arial" w:cs="Arial" w:eastAsia="Arial" w:hAnsi="Arial"/>
                <w:sz w:val="14"/>
                <w:szCs w:val="14"/>
                <w:b w:val="1"/>
                <w:bCs w:val="1"/>
                <w:color w:val="auto"/>
              </w:rPr>
              <w:t>($) (2)</w:t>
            </w:r>
          </w:p>
        </w:tc>
        <w:tc>
          <w:tcPr>
            <w:tcW w:w="0" w:type="dxa"/>
            <w:vAlign w:val="bottom"/>
          </w:tcPr>
          <w:p>
            <w:pPr>
              <w:spacing w:after="0"/>
              <w:rPr>
                <w:sz w:val="1"/>
                <w:szCs w:val="1"/>
                <w:color w:val="auto"/>
              </w:rPr>
            </w:pPr>
          </w:p>
        </w:tc>
      </w:tr>
      <w:tr>
        <w:trPr>
          <w:trHeight w:val="229"/>
        </w:trPr>
        <w:tc>
          <w:tcPr>
            <w:tcW w:w="3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R.R. Shaller</w:t>
            </w:r>
          </w:p>
        </w:tc>
        <w:tc>
          <w:tcPr>
            <w:tcW w:w="12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823,881</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A.E. Thornton</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160,427</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 Bojarski</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B.N. Curran</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93,605</w:t>
            </w: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 Gorman</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146,758</w:t>
            </w:r>
          </w:p>
        </w:tc>
        <w:tc>
          <w:tcPr>
            <w:tcW w:w="0" w:type="dxa"/>
            <w:vAlign w:val="bottom"/>
          </w:tcPr>
          <w:p>
            <w:pPr>
              <w:spacing w:after="0"/>
              <w:rPr>
                <w:sz w:val="1"/>
                <w:szCs w:val="1"/>
                <w:color w:val="auto"/>
              </w:rPr>
            </w:pPr>
          </w:p>
        </w:tc>
      </w:tr>
      <w:tr>
        <w:trPr>
          <w:trHeight w:val="230"/>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P. Deman</w:t>
            </w:r>
          </w:p>
        </w:tc>
        <w:tc>
          <w:tcPr>
            <w:tcW w:w="1720" w:type="dxa"/>
            <w:vAlign w:val="bottom"/>
          </w:tcPr>
          <w:p>
            <w:pPr>
              <w:jc w:val="right"/>
              <w:spacing w:after="0"/>
              <w:rPr>
                <w:sz w:val="20"/>
                <w:szCs w:val="20"/>
                <w:color w:val="auto"/>
              </w:rPr>
            </w:pPr>
            <w:r>
              <w:rPr>
                <w:rFonts w:ascii="Arial" w:cs="Arial" w:eastAsia="Arial" w:hAnsi="Arial"/>
                <w:sz w:val="18"/>
                <w:szCs w:val="18"/>
                <w:color w:val="auto"/>
              </w:rPr>
              <w:t>15,294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136,446</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52,356</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A.J. Pearce</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755,632</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hanging="328"/>
        <w:spacing w:after="0" w:line="258" w:lineRule="auto"/>
        <w:tabs>
          <w:tab w:leader="none" w:pos="6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value realized on exercise of stock options reflects the difference between the option exercise price and the market price at exercise multiplied by the number of shares.</w:t>
      </w:r>
    </w:p>
    <w:p>
      <w:pPr>
        <w:spacing w:after="0" w:line="1" w:lineRule="exact"/>
        <w:rPr>
          <w:rFonts w:ascii="Arial" w:cs="Arial" w:eastAsia="Arial" w:hAnsi="Arial"/>
          <w:sz w:val="18"/>
          <w:szCs w:val="18"/>
          <w:color w:val="auto"/>
        </w:rPr>
      </w:pPr>
    </w:p>
    <w:p>
      <w:pPr>
        <w:ind w:left="660" w:hanging="328"/>
        <w:spacing w:after="0" w:line="260" w:lineRule="auto"/>
        <w:tabs>
          <w:tab w:leader="none" w:pos="6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value realized on vesting of stock awards reflects the number of shares vested multiplied by the market price (average of the high and low of the stock price) of the stock on the vest date.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Benefits at July 31, 2023</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Mr. Deman is a participant in the Brady Corporation Belgium Pension Plan, which is a closed insured defined benefit pension plan that provides benefits for certain employees residing in Belgium hired prior to October 31, 2005. The benefits earned under the plan are payable at normal retirement age in the form of a single lump sum.</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retirement, the benefit is equal to the sum of 4.875% of the most recent five-year average annual base salary up to the Social Security ceiling plus 22.75% of the most recent five-year average annual base salary in excess of the Social Security ceiling, multiplied by the years of pensionable service. Years of pensionable service include all years and complete months of service from the date of hire through October 31, 2005, up to a maximum of 40 years. Normal retirement age for participants is age 65. Participants who are age 60-64 may elect to retire early and receive a 5% reduction in benefits per year of early retirement.</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actuarial present value of the pension benefit accumulated by Mr. Deman under the Brady Corporation Belgium Pension Plan as of July 31,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Number of Years</w:t>
            </w:r>
          </w:p>
        </w:tc>
        <w:tc>
          <w:tcPr>
            <w:tcW w:w="14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Present Value of</w:t>
            </w:r>
          </w:p>
        </w:tc>
        <w:tc>
          <w:tcPr>
            <w:tcW w:w="120" w:type="dxa"/>
            <w:vAlign w:val="bottom"/>
          </w:tcPr>
          <w:p>
            <w:pPr>
              <w:spacing w:after="0"/>
              <w:rPr>
                <w:sz w:val="14"/>
                <w:szCs w:val="14"/>
                <w:color w:val="auto"/>
              </w:rPr>
            </w:pPr>
          </w:p>
        </w:tc>
        <w:tc>
          <w:tcPr>
            <w:tcW w:w="1520" w:type="dxa"/>
            <w:vAlign w:val="bottom"/>
          </w:tcPr>
          <w:p>
            <w:pPr>
              <w:jc w:val="center"/>
              <w:ind w:right="64"/>
              <w:spacing w:after="0"/>
              <w:rPr>
                <w:sz w:val="20"/>
                <w:szCs w:val="20"/>
                <w:color w:val="auto"/>
              </w:rPr>
            </w:pPr>
            <w:r>
              <w:rPr>
                <w:rFonts w:ascii="Arial" w:cs="Arial" w:eastAsia="Arial" w:hAnsi="Arial"/>
                <w:sz w:val="14"/>
                <w:szCs w:val="14"/>
                <w:b w:val="1"/>
                <w:bCs w:val="1"/>
                <w:color w:val="auto"/>
                <w:w w:val="93"/>
              </w:rPr>
              <w:t>Payments During Last</w:t>
            </w:r>
          </w:p>
        </w:tc>
        <w:tc>
          <w:tcPr>
            <w:tcW w:w="0" w:type="dxa"/>
            <w:vAlign w:val="bottom"/>
          </w:tcPr>
          <w:p>
            <w:pPr>
              <w:spacing w:after="0"/>
              <w:rPr>
                <w:sz w:val="1"/>
                <w:szCs w:val="1"/>
                <w:color w:val="auto"/>
              </w:rPr>
            </w:pPr>
          </w:p>
        </w:tc>
      </w:tr>
      <w:tr>
        <w:trPr>
          <w:trHeight w:val="144"/>
        </w:trPr>
        <w:tc>
          <w:tcPr>
            <w:tcW w:w="1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432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Plan Name</w:t>
            </w:r>
          </w:p>
        </w:tc>
        <w:tc>
          <w:tcPr>
            <w:tcW w:w="154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Credited Service</w:t>
            </w:r>
          </w:p>
        </w:tc>
        <w:tc>
          <w:tcPr>
            <w:tcW w:w="140" w:type="dxa"/>
            <w:vAlign w:val="bottom"/>
          </w:tcPr>
          <w:p>
            <w:pPr>
              <w:spacing w:after="0"/>
              <w:rPr>
                <w:sz w:val="12"/>
                <w:szCs w:val="12"/>
                <w:color w:val="auto"/>
              </w:rPr>
            </w:pPr>
          </w:p>
        </w:tc>
        <w:tc>
          <w:tcPr>
            <w:tcW w:w="164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1"/>
              </w:rPr>
              <w:t>Accumulated Benefit</w:t>
            </w:r>
          </w:p>
        </w:tc>
        <w:tc>
          <w:tcPr>
            <w:tcW w:w="120" w:type="dxa"/>
            <w:vAlign w:val="bottom"/>
          </w:tcPr>
          <w:p>
            <w:pPr>
              <w:spacing w:after="0"/>
              <w:rPr>
                <w:sz w:val="12"/>
                <w:szCs w:val="12"/>
                <w:color w:val="auto"/>
              </w:rPr>
            </w:pPr>
          </w:p>
        </w:tc>
        <w:tc>
          <w:tcPr>
            <w:tcW w:w="1520" w:type="dxa"/>
            <w:vAlign w:val="bottom"/>
          </w:tcPr>
          <w:p>
            <w:pPr>
              <w:jc w:val="center"/>
              <w:ind w:right="84"/>
              <w:spacing w:after="0" w:line="145" w:lineRule="exact"/>
              <w:rPr>
                <w:sz w:val="20"/>
                <w:szCs w:val="20"/>
                <w:color w:val="auto"/>
              </w:rPr>
            </w:pPr>
            <w:r>
              <w:rPr>
                <w:rFonts w:ascii="Arial" w:cs="Arial" w:eastAsia="Arial" w:hAnsi="Arial"/>
                <w:sz w:val="14"/>
                <w:szCs w:val="14"/>
                <w:b w:val="1"/>
                <w:bCs w:val="1"/>
                <w:color w:val="auto"/>
                <w:w w:val="91"/>
              </w:rPr>
              <w:t>Fiscal Year</w:t>
            </w:r>
          </w:p>
        </w:tc>
        <w:tc>
          <w:tcPr>
            <w:tcW w:w="0" w:type="dxa"/>
            <w:vAlign w:val="bottom"/>
          </w:tcPr>
          <w:p>
            <w:pPr>
              <w:spacing w:after="0"/>
              <w:rPr>
                <w:sz w:val="1"/>
                <w:szCs w:val="1"/>
                <w:color w:val="auto"/>
              </w:rPr>
            </w:pPr>
          </w:p>
        </w:tc>
      </w:tr>
      <w:tr>
        <w:trPr>
          <w:trHeight w:val="196"/>
        </w:trPr>
        <w:tc>
          <w:tcPr>
            <w:tcW w:w="1960" w:type="dxa"/>
            <w:vAlign w:val="bottom"/>
            <w:gridSpan w:val="2"/>
            <w:vMerge w:val="continue"/>
          </w:tcPr>
          <w:p>
            <w:pPr>
              <w:spacing w:after="0"/>
              <w:rPr>
                <w:sz w:val="17"/>
                <w:szCs w:val="17"/>
                <w:color w:val="auto"/>
              </w:rPr>
            </w:pPr>
          </w:p>
        </w:tc>
        <w:tc>
          <w:tcPr>
            <w:tcW w:w="4320" w:type="dxa"/>
            <w:vAlign w:val="bottom"/>
            <w:gridSpan w:val="2"/>
            <w:vMerge w:val="continue"/>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center"/>
              <w:ind w:right="64"/>
              <w:spacing w:after="0"/>
              <w:rPr>
                <w:sz w:val="20"/>
                <w:szCs w:val="20"/>
                <w:color w:val="auto"/>
              </w:rPr>
            </w:pPr>
            <w:r>
              <w:rPr>
                <w:rFonts w:ascii="Arial" w:cs="Arial" w:eastAsia="Arial" w:hAnsi="Arial"/>
                <w:sz w:val="14"/>
                <w:szCs w:val="14"/>
                <w:b w:val="1"/>
                <w:bCs w:val="1"/>
                <w:color w:val="auto"/>
                <w:w w:val="97"/>
              </w:rPr>
              <w:t>($)(1)(2)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44"/>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29"/>
        </w:trPr>
        <w:tc>
          <w:tcPr>
            <w:tcW w:w="1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 Deman</w:t>
            </w:r>
          </w:p>
        </w:tc>
        <w:tc>
          <w:tcPr>
            <w:tcW w:w="100" w:type="dxa"/>
            <w:vAlign w:val="bottom"/>
            <w:tcBorders>
              <w:top w:val="single" w:sz="8" w:color="CCEEFF"/>
            </w:tcBorders>
            <w:shd w:val="clear" w:color="auto" w:fill="CCEEFF"/>
          </w:tcPr>
          <w:p>
            <w:pPr>
              <w:spacing w:after="0"/>
              <w:rPr>
                <w:sz w:val="19"/>
                <w:szCs w:val="19"/>
                <w:color w:val="auto"/>
              </w:rPr>
            </w:pPr>
          </w:p>
        </w:tc>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Brady Corporation Belgium Pension Plan</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8"/>
                <w:szCs w:val="18"/>
                <w:color w:val="auto"/>
              </w:rPr>
              <w:t>6.25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43,867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60" w:hanging="328"/>
        <w:spacing w:after="0" w:line="258" w:lineRule="auto"/>
        <w:tabs>
          <w:tab w:leader="none" w:pos="6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accumulated benefit will be paid to Mr. Deman in Euros. The amount shown in U.S. dollars was converted from Euro at the exchange rate as of July 31, 2023: 1 EUR= 1.1015 USD.</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5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present value of the accumulated pension benefit was calculated using the following assumptions: A calculation date of July 31, 2023, a 3.95% discount rate, retirement occurring at normal retirement age of 65, and Belgium MR-5/FR-5 Mortality Tables. The valuation method used to determine the present value of the accumulated benefit is consistent with the method used for financial reporting purposes as of July 31, 2023. The value of the pension benefit Mr. Deman will ultimately receive will differ to the extent facts and circumstances vary from current assumptions.</w:t>
      </w:r>
    </w:p>
    <w:p>
      <w:pPr>
        <w:spacing w:after="0" w:line="13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aggregate change in the present value of Mr. Deman's accumulated pension benefit within the Brady Corporation Belgium Pension Plan during fiscal 2023 was negligible and therefore was not included in the Summary Compensation Table.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for Fiscal 2023</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activity within the Executive Deferred Compensation Plan and the Brady Restoration Plan during fiscal 2023 for the NEOs.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Executive</w:t>
            </w:r>
          </w:p>
        </w:tc>
        <w:tc>
          <w:tcPr>
            <w:tcW w:w="16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Company</w:t>
            </w:r>
          </w:p>
        </w:tc>
        <w:tc>
          <w:tcPr>
            <w:tcW w:w="15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1"/>
              </w:rPr>
              <w:t>Aggregate Earnings</w:t>
            </w:r>
          </w:p>
        </w:tc>
        <w:tc>
          <w:tcPr>
            <w:tcW w:w="320" w:type="dxa"/>
            <w:vAlign w:val="bottom"/>
          </w:tcPr>
          <w:p>
            <w:pPr>
              <w:spacing w:after="0"/>
              <w:rPr>
                <w:sz w:val="14"/>
                <w:szCs w:val="14"/>
                <w:color w:val="auto"/>
              </w:rPr>
            </w:pPr>
          </w:p>
        </w:tc>
        <w:tc>
          <w:tcPr>
            <w:tcW w:w="15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Aggregate</w:t>
            </w:r>
          </w:p>
        </w:tc>
        <w:tc>
          <w:tcPr>
            <w:tcW w:w="14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Aggregate Balance at</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5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Fiscal 2023</w:t>
            </w: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39" w:lineRule="exact"/>
              <w:rPr>
                <w:sz w:val="20"/>
                <w:szCs w:val="20"/>
                <w:color w:val="auto"/>
              </w:rPr>
            </w:pPr>
            <w:r>
              <w:rPr>
                <w:rFonts w:ascii="Arial" w:cs="Arial" w:eastAsia="Arial" w:hAnsi="Arial"/>
                <w:sz w:val="14"/>
                <w:szCs w:val="14"/>
                <w:b w:val="1"/>
                <w:bCs w:val="1"/>
                <w:color w:val="auto"/>
                <w:w w:val="93"/>
              </w:rPr>
              <w:t>Fiscal 2023</w:t>
            </w: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2"/>
              </w:rPr>
              <w:t>in Fiscal 2023</w:t>
            </w:r>
          </w:p>
        </w:tc>
        <w:tc>
          <w:tcPr>
            <w:tcW w:w="1860" w:type="dxa"/>
            <w:vAlign w:val="bottom"/>
            <w:gridSpan w:val="3"/>
          </w:tcPr>
          <w:p>
            <w:pPr>
              <w:jc w:val="center"/>
              <w:ind w:right="160"/>
              <w:spacing w:after="0" w:line="139" w:lineRule="exact"/>
              <w:rPr>
                <w:sz w:val="20"/>
                <w:szCs w:val="20"/>
                <w:color w:val="auto"/>
              </w:rPr>
            </w:pPr>
            <w:r>
              <w:rPr>
                <w:rFonts w:ascii="Arial" w:cs="Arial" w:eastAsia="Arial" w:hAnsi="Arial"/>
                <w:sz w:val="14"/>
                <w:szCs w:val="14"/>
                <w:b w:val="1"/>
                <w:bCs w:val="1"/>
                <w:color w:val="auto"/>
                <w:w w:val="96"/>
              </w:rPr>
              <w:t>Withdrawals/Distributions</w:t>
            </w:r>
          </w:p>
        </w:tc>
        <w:tc>
          <w:tcPr>
            <w:tcW w:w="200" w:type="dxa"/>
            <w:vAlign w:val="bottom"/>
          </w:tcPr>
          <w:p>
            <w:pPr>
              <w:spacing w:after="0"/>
              <w:rPr>
                <w:sz w:val="12"/>
                <w:szCs w:val="12"/>
                <w:color w:val="auto"/>
              </w:rPr>
            </w:pPr>
          </w:p>
        </w:tc>
        <w:tc>
          <w:tcPr>
            <w:tcW w:w="1200" w:type="dxa"/>
            <w:vAlign w:val="bottom"/>
          </w:tcPr>
          <w:p>
            <w:pPr>
              <w:jc w:val="center"/>
              <w:ind w:right="114"/>
              <w:spacing w:after="0" w:line="139" w:lineRule="exact"/>
              <w:rPr>
                <w:sz w:val="20"/>
                <w:szCs w:val="20"/>
                <w:color w:val="auto"/>
              </w:rPr>
            </w:pPr>
            <w:r>
              <w:rPr>
                <w:rFonts w:ascii="Arial" w:cs="Arial" w:eastAsia="Arial" w:hAnsi="Arial"/>
                <w:sz w:val="14"/>
                <w:szCs w:val="14"/>
                <w:b w:val="1"/>
                <w:bCs w:val="1"/>
                <w:color w:val="auto"/>
                <w:w w:val="92"/>
              </w:rPr>
              <w:t>July 31, 2023</w:t>
            </w:r>
          </w:p>
        </w:tc>
        <w:tc>
          <w:tcPr>
            <w:tcW w:w="0" w:type="dxa"/>
            <w:vAlign w:val="bottom"/>
          </w:tcPr>
          <w:p>
            <w:pPr>
              <w:spacing w:after="0"/>
              <w:rPr>
                <w:sz w:val="1"/>
                <w:szCs w:val="1"/>
                <w:color w:val="auto"/>
              </w:rPr>
            </w:pPr>
          </w:p>
        </w:tc>
      </w:tr>
      <w:tr>
        <w:trPr>
          <w:trHeight w:val="186"/>
        </w:trPr>
        <w:tc>
          <w:tcPr>
            <w:tcW w:w="34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center"/>
              <w:ind w:right="7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jc w:val="center"/>
              <w:ind w:right="23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4"/>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
        </w:trPr>
        <w:tc>
          <w:tcPr>
            <w:tcW w:w="3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R.R. Shaller</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798,903</w:t>
            </w:r>
          </w:p>
        </w:tc>
        <w:tc>
          <w:tcPr>
            <w:tcW w:w="0" w:type="dxa"/>
            <w:vAlign w:val="bottom"/>
          </w:tcPr>
          <w:p>
            <w:pPr>
              <w:spacing w:after="0"/>
              <w:rPr>
                <w:sz w:val="1"/>
                <w:szCs w:val="1"/>
                <w:color w:val="auto"/>
              </w:rPr>
            </w:pPr>
          </w:p>
        </w:tc>
      </w:tr>
      <w:tr>
        <w:trPr>
          <w:trHeight w:val="229"/>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A.E. Thornton</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71,496</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 Bojarski</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B.N. Curran</w:t>
            </w: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22,021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24,162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75,452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1,404,966</w:t>
            </w:r>
          </w:p>
        </w:tc>
        <w:tc>
          <w:tcPr>
            <w:tcW w:w="0" w:type="dxa"/>
            <w:vAlign w:val="bottom"/>
          </w:tcPr>
          <w:p>
            <w:pPr>
              <w:spacing w:after="0"/>
              <w:rPr>
                <w:sz w:val="1"/>
                <w:szCs w:val="1"/>
                <w:color w:val="auto"/>
              </w:rPr>
            </w:pP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 Gorman</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64,422</w:t>
            </w:r>
          </w:p>
        </w:tc>
        <w:tc>
          <w:tcPr>
            <w:tcW w:w="0" w:type="dxa"/>
            <w:vAlign w:val="bottom"/>
          </w:tcPr>
          <w:p>
            <w:pPr>
              <w:spacing w:after="0"/>
              <w:rPr>
                <w:sz w:val="1"/>
                <w:szCs w:val="1"/>
                <w:color w:val="auto"/>
              </w:rPr>
            </w:pP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P. Deman</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54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A.J. Pearce</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3,452,123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executive contribution amounts included in this table are derived from the Salary and Non-Equity Incentive Plan Compensation columns of the Summary Compensation Table. The Company's contribution amounts included in this table are reported in the All Other Compensation columns of the Summary Compensation Table. Amounts reported in the aggregate balance at July 31, 2023, net of historical earnings and losses were previously reported as compensation to the NEO in the Summary Compensation Table for previous years. See discussion of the Company's non-qualified deferred compensation plans in the Compensation Discussion and Analysis.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described in the Employment and Change of Control Agreements section of the Compensation Discussion and Analysis above, the Company has entered into separate offer letters and change of control agreements with certain NEOs that provide for benefits following termination of employment and/or a change in control.</w:t>
      </w:r>
    </w:p>
    <w:p>
      <w:pPr>
        <w:spacing w:after="0" w:line="13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offer letter entered into with Mr. Shaller dated March 11, 2022, provides that he is deemed an at-will employee, but will receive a severance benefit equal to equal to two times the sum of his base salary and target bonus, payable in monthly installments over a 24-month period, in the event his employment is terminated without cause or he resigns for good reason as described therein. The offer letter also contains 24-month non-competition and non-solicitation provisions, as well as standard confidentiality and non-disparagement provisions. None of the other NEOs have any severance agreements or similar arrangements that would apply outside of a change in control.</w:t>
      </w:r>
    </w:p>
    <w:p>
      <w:pPr>
        <w:spacing w:after="0" w:line="13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terms of the change of control agreement are triggered if, within a 24-month period beginning with the date a change of control occurs, (i) the executive’s employment with the Company is involuntarily terminated other than by reason of death, disability or cause, or (ii) the executive’s employment with the Company is voluntarily terminated by the executive subsequent to (a) any reduction in the total of the executive’s annual base salary, exclusive of fringe benefits, and the executive’s target annual cash incentive in comparison with the executive’s annual base salary and target annual cash incentive immediately prior to the date the change of control occurs, (b) a significant diminution in the responsibilities or authority of the executive in comparison with the executive’s responsibility and authority immediately prior to the date the change of control occurs, or (c) the imposition of a requirement by the Company that the executive relocate to a principal work location more than 50 miles from the executive’s principal work location immediately prior to the date the change of control occurs.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termination due to a change in control, executives shall be paid a multiplier of their annual base salary in effect immediately prior to the date the change of control occurs plus a multiplier of their annual cash incentive payment as discussed in their respective change of control agreements prior to the date the change of control occurs, payable in monthly installments over a 24-month period. If the payments upon termination due to change of control result in any excise tax incurred by Messrs. Shaller, Bojarski, Curran and Gorman and Ms. Thornton as a result of Section 280(g) of the Internal Revenue Code, the officer will be solely responsible for such excise tax. The Company will also reimburse a maximum of $25,000 of legal fees incurred by the executives in order to enforce the change of control agreement, in which the executive prevails. The Company's change of control agreements contain confidentiality provisions.</w:t>
      </w:r>
    </w:p>
    <w:p>
      <w:pPr>
        <w:spacing w:after="0" w:line="14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information and tables set forth the amount of payments to each NEO in the event of termination of employment as a result of a change of control. Ms. Thornton and Mr. Bojarski entered into change of control agreements which were effective April 14, 2023 and August 25, 2022, respectively. No other employment agreements providing specified payments upon termination have been entered into between the Company and any of the NEOs in fiscal year 2023.</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Assumptions and General Principles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assumptions and general principles apply with respect to the tables that follow in this section.</w:t>
      </w:r>
    </w:p>
    <w:p>
      <w:pPr>
        <w:spacing w:after="0" w:line="171" w:lineRule="exact"/>
        <w:rPr>
          <w:sz w:val="20"/>
          <w:szCs w:val="20"/>
          <w:color w:val="auto"/>
        </w:rPr>
      </w:pPr>
    </w:p>
    <w:p>
      <w:pPr>
        <w:jc w:val="both"/>
        <w:ind w:left="660" w:hanging="328"/>
        <w:spacing w:after="0" w:line="271" w:lineRule="auto"/>
        <w:tabs>
          <w:tab w:leader="none" w:pos="655"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amounts detailed in the tables assume that each NEO terminated employment on July 31, 2023. Accordingly, the tables reflect amounts earned as of July 31, 2023, and include estimates of amounts that would be paid to the NEO upon the termination or occurrence of a change in control. The actual amounts that would be paid to an NEO can only be determined at the time of termination.</w:t>
      </w:r>
    </w:p>
    <w:p>
      <w:pPr>
        <w:jc w:val="both"/>
        <w:ind w:left="660" w:hanging="328"/>
        <w:spacing w:after="0" w:line="250"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tables below include amounts the Company is obligated to pay the NEO as a result of the severance agreement and executed change in control agreement. The tables do not include benefits that are paid generally to all salaried employees or a broad group of salaried employees. Therefore, the NEOs would receive benefits in addition to those set forth in the tables.</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 NEO is entitled to receive base salary earned during their term of employment regardless of the manner in which the named executive officer’s employment is terminated. As such, this amount is not disclosed in the tables.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Russell R. Shaller</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outlines the amount payable assuming that the terms of the change of control agreement were triggered on July 31, 2023, and the NEO was required to legally enforce the terms of the agreement.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Base Salary ($) (1)</w:t>
            </w:r>
          </w:p>
        </w:tc>
        <w:tc>
          <w:tcPr>
            <w:tcW w:w="240" w:type="dxa"/>
            <w:vAlign w:val="bottom"/>
          </w:tcPr>
          <w:p>
            <w:pPr>
              <w:spacing w:after="0"/>
              <w:rPr>
                <w:sz w:val="14"/>
                <w:szCs w:val="14"/>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Annual Cash</w:t>
            </w:r>
          </w:p>
        </w:tc>
        <w:tc>
          <w:tcPr>
            <w:tcW w:w="100" w:type="dxa"/>
            <w:vAlign w:val="bottom"/>
          </w:tcPr>
          <w:p>
            <w:pPr>
              <w:spacing w:after="0"/>
              <w:rPr>
                <w:sz w:val="14"/>
                <w:szCs w:val="14"/>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Restricted Stock Unit</w:t>
            </w:r>
          </w:p>
        </w:tc>
        <w:tc>
          <w:tcPr>
            <w:tcW w:w="1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Stock Option Acceleration</w:t>
            </w:r>
          </w:p>
        </w:tc>
        <w:tc>
          <w:tcPr>
            <w:tcW w:w="1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Legal Fee Reimbursement</w:t>
            </w:r>
          </w:p>
        </w:tc>
        <w:tc>
          <w:tcPr>
            <w:tcW w:w="360" w:type="dxa"/>
            <w:vAlign w:val="bottom"/>
          </w:tcPr>
          <w:p>
            <w:pPr>
              <w:spacing w:after="0"/>
              <w:rPr>
                <w:sz w:val="14"/>
                <w:szCs w:val="14"/>
                <w:color w:val="auto"/>
              </w:rPr>
            </w:pPr>
          </w:p>
        </w:tc>
        <w:tc>
          <w:tcPr>
            <w:tcW w:w="140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Incentive ($) (2)</w:t>
            </w:r>
          </w:p>
        </w:tc>
        <w:tc>
          <w:tcPr>
            <w:tcW w:w="100" w:type="dxa"/>
            <w:vAlign w:val="bottom"/>
          </w:tcPr>
          <w:p>
            <w:pPr>
              <w:spacing w:after="0"/>
              <w:rPr>
                <w:sz w:val="16"/>
                <w:szCs w:val="16"/>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Acceleration Gain ($) (3)</w:t>
            </w:r>
          </w:p>
        </w:tc>
        <w:tc>
          <w:tcPr>
            <w:tcW w:w="300" w:type="dxa"/>
            <w:vAlign w:val="bottom"/>
          </w:tcPr>
          <w:p>
            <w:pPr>
              <w:spacing w:after="0"/>
              <w:rPr>
                <w:sz w:val="16"/>
                <w:szCs w:val="16"/>
                <w:color w:val="auto"/>
              </w:rPr>
            </w:pPr>
          </w:p>
        </w:tc>
        <w:tc>
          <w:tcPr>
            <w:tcW w:w="1560" w:type="dxa"/>
            <w:vAlign w:val="bottom"/>
            <w:gridSpan w:val="2"/>
          </w:tcPr>
          <w:p>
            <w:pPr>
              <w:ind w:left="220"/>
              <w:spacing w:after="0"/>
              <w:rPr>
                <w:sz w:val="20"/>
                <w:szCs w:val="20"/>
                <w:color w:val="auto"/>
              </w:rPr>
            </w:pPr>
            <w:r>
              <w:rPr>
                <w:rFonts w:ascii="Arial" w:cs="Arial" w:eastAsia="Arial" w:hAnsi="Arial"/>
                <w:sz w:val="14"/>
                <w:szCs w:val="14"/>
                <w:b w:val="1"/>
                <w:bCs w:val="1"/>
                <w:color w:val="auto"/>
              </w:rPr>
              <w:t>Gain ($) (4)</w:t>
            </w:r>
          </w:p>
        </w:tc>
        <w:tc>
          <w:tcPr>
            <w:tcW w:w="420" w:type="dxa"/>
            <w:vAlign w:val="bottom"/>
          </w:tcPr>
          <w:p>
            <w:pPr>
              <w:spacing w:after="0"/>
              <w:rPr>
                <w:sz w:val="16"/>
                <w:szCs w:val="16"/>
                <w:color w:val="auto"/>
              </w:rPr>
            </w:pPr>
          </w:p>
        </w:tc>
        <w:tc>
          <w:tcPr>
            <w:tcW w:w="1360" w:type="dxa"/>
            <w:vAlign w:val="bottom"/>
          </w:tcPr>
          <w:p>
            <w:pPr>
              <w:jc w:val="right"/>
              <w:ind w:right="619"/>
              <w:spacing w:after="0"/>
              <w:rPr>
                <w:sz w:val="20"/>
                <w:szCs w:val="20"/>
                <w:color w:val="auto"/>
              </w:rPr>
            </w:pPr>
            <w:r>
              <w:rPr>
                <w:rFonts w:ascii="Arial" w:cs="Arial" w:eastAsia="Arial" w:hAnsi="Arial"/>
                <w:sz w:val="14"/>
                <w:szCs w:val="14"/>
                <w:b w:val="1"/>
                <w:bCs w:val="1"/>
                <w:color w:val="auto"/>
              </w:rPr>
              <w:t>($) (5)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1,590,000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2,659,929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322,309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6,187,238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40" w:hanging="308"/>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2023.</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two times the target annual cash incentive amount in effect at July 31, 2023.</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closing market price of $51.58 on 51,569 unvested RSUs and PRSU awards that would vest due to change in control. The restricted stock unit acceleration gain for PRSUs is based on the number of shares earned based on actual performance for the fiscal 2021 award and target performance for the fiscal 2022 and 2023 awards.</w:t>
      </w:r>
    </w:p>
    <w:p>
      <w:pPr>
        <w:spacing w:after="0" w:line="1" w:lineRule="exact"/>
        <w:rPr>
          <w:rFonts w:ascii="Arial" w:cs="Arial" w:eastAsia="Arial" w:hAnsi="Arial"/>
          <w:sz w:val="18"/>
          <w:szCs w:val="18"/>
          <w:color w:val="auto"/>
        </w:rPr>
      </w:pPr>
    </w:p>
    <w:p>
      <w:pPr>
        <w:ind w:left="660" w:hanging="328"/>
        <w:spacing w:after="0" w:line="250" w:lineRule="auto"/>
        <w:tabs>
          <w:tab w:leader="none" w:pos="654"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$51.58 and the exercise price on 62,827 unvested, in-the-money stock options that would vest due to change in control.</w:t>
      </w:r>
    </w:p>
    <w:p>
      <w:pPr>
        <w:ind w:left="640" w:hanging="308"/>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5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outlines the amount payable assuming that the severance terms of Mr. Shaller's offer letter were triggered on July 31, 2023, and the NEO was required to legally enforce the severance terms of the agreement.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40" w:type="dxa"/>
            <w:vAlign w:val="bottom"/>
          </w:tcPr>
          <w:p>
            <w:pPr>
              <w:jc w:val="right"/>
              <w:ind w:right="159"/>
              <w:spacing w:after="0"/>
              <w:rPr>
                <w:sz w:val="20"/>
                <w:szCs w:val="20"/>
                <w:color w:val="auto"/>
              </w:rPr>
            </w:pPr>
            <w:r>
              <w:rPr>
                <w:rFonts w:ascii="Arial" w:cs="Arial" w:eastAsia="Arial" w:hAnsi="Arial"/>
                <w:sz w:val="14"/>
                <w:szCs w:val="14"/>
                <w:b w:val="1"/>
                <w:bCs w:val="1"/>
                <w:color w:val="auto"/>
              </w:rPr>
              <w:t>Base Salary ($) (1)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Pr>
          <w:p>
            <w:pPr>
              <w:jc w:val="right"/>
              <w:spacing w:after="0"/>
              <w:rPr>
                <w:sz w:val="20"/>
                <w:szCs w:val="20"/>
                <w:color w:val="auto"/>
              </w:rPr>
            </w:pPr>
            <w:r>
              <w:rPr>
                <w:rFonts w:ascii="Arial" w:cs="Arial" w:eastAsia="Arial" w:hAnsi="Arial"/>
                <w:sz w:val="14"/>
                <w:szCs w:val="14"/>
                <w:b w:val="1"/>
                <w:bCs w:val="1"/>
                <w:color w:val="auto"/>
              </w:rPr>
              <w:t>Annual Cash Incentive ($) (2)</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0" w:type="dxa"/>
            <w:vAlign w:val="bottom"/>
          </w:tcPr>
          <w:p>
            <w:pPr>
              <w:jc w:val="right"/>
              <w:ind w:right="1479"/>
              <w:spacing w:after="0"/>
              <w:rPr>
                <w:sz w:val="20"/>
                <w:szCs w:val="20"/>
                <w:color w:val="auto"/>
              </w:rPr>
            </w:pPr>
            <w:r>
              <w:rPr>
                <w:rFonts w:ascii="Arial" w:cs="Arial" w:eastAsia="Arial" w:hAnsi="Arial"/>
                <w:sz w:val="14"/>
                <w:szCs w:val="14"/>
                <w:b w:val="1"/>
                <w:bCs w:val="1"/>
                <w:color w:val="auto"/>
              </w:rPr>
              <w:t>Total ($)</w:t>
            </w:r>
          </w:p>
        </w:tc>
      </w:tr>
      <w:tr>
        <w:trPr>
          <w:trHeight w:val="26"/>
        </w:trPr>
        <w:tc>
          <w:tcPr>
            <w:tcW w:w="2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23"/>
        </w:trPr>
        <w:tc>
          <w:tcPr>
            <w:tcW w:w="2640" w:type="dxa"/>
            <w:vAlign w:val="bottom"/>
            <w:shd w:val="clear" w:color="auto" w:fill="CCEEFF"/>
          </w:tcPr>
          <w:p>
            <w:pPr>
              <w:jc w:val="right"/>
              <w:ind w:right="2439"/>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1,590,000</w:t>
            </w:r>
          </w:p>
        </w:tc>
        <w:tc>
          <w:tcPr>
            <w:tcW w:w="120" w:type="dxa"/>
            <w:vAlign w:val="bottom"/>
            <w:shd w:val="clear" w:color="auto" w:fill="CCEEFF"/>
          </w:tcPr>
          <w:p>
            <w:pPr>
              <w:spacing w:after="0"/>
              <w:rPr>
                <w:sz w:val="19"/>
                <w:szCs w:val="19"/>
                <w:color w:val="auto"/>
              </w:rPr>
            </w:pPr>
          </w:p>
        </w:tc>
        <w:tc>
          <w:tcPr>
            <w:tcW w:w="2820" w:type="dxa"/>
            <w:vAlign w:val="bottom"/>
            <w:shd w:val="clear" w:color="auto" w:fill="CCEEFF"/>
          </w:tcPr>
          <w:p>
            <w:pPr>
              <w:jc w:val="right"/>
              <w:ind w:right="263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1,590,000</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2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3,180,000</w:t>
            </w:r>
          </w:p>
        </w:tc>
      </w:tr>
    </w:tbl>
    <w:p>
      <w:pPr>
        <w:spacing w:after="0" w:line="229"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2023.</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Represents two times the target annual cash incentive amount in effect at July 31, 2023.</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 E. Thornton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outlines the amount payable assuming that the terms of the change of control agreement were triggered on July 31, 2023, and the NEO was required to legally enforce the terms of the agreement.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Base Salary ($) (1)</w:t>
            </w:r>
          </w:p>
        </w:tc>
        <w:tc>
          <w:tcPr>
            <w:tcW w:w="26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Annual Cash</w:t>
            </w:r>
          </w:p>
        </w:tc>
        <w:tc>
          <w:tcPr>
            <w:tcW w:w="12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Restricted Stock Unit</w:t>
            </w:r>
          </w:p>
        </w:tc>
        <w:tc>
          <w:tcPr>
            <w:tcW w:w="1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Stock Option Acceleration</w:t>
            </w: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Legal Fee Reimbursement</w:t>
            </w:r>
          </w:p>
        </w:tc>
        <w:tc>
          <w:tcPr>
            <w:tcW w:w="380" w:type="dxa"/>
            <w:vAlign w:val="bottom"/>
          </w:tcPr>
          <w:p>
            <w:pPr>
              <w:spacing w:after="0"/>
              <w:rPr>
                <w:sz w:val="14"/>
                <w:szCs w:val="14"/>
                <w:color w:val="auto"/>
              </w:rPr>
            </w:pPr>
          </w:p>
        </w:tc>
        <w:tc>
          <w:tcPr>
            <w:tcW w:w="140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Acceleration Gain ($) (3)</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 ($) (4)</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Arial" w:cs="Arial" w:eastAsia="Arial" w:hAnsi="Arial"/>
                <w:sz w:val="14"/>
                <w:szCs w:val="14"/>
                <w:b w:val="1"/>
                <w:bCs w:val="1"/>
                <w:color w:val="auto"/>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630,000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333,104</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1,941,104</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2023.</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two times the target annual cash incentive amount in effect at July 31, 2023.</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the closing market price of $51.58 on 6,458 unvested RSUs and PRSUs that would vest due to the change in control. The restricted stock unit acceleration gain for PRSUs is based on the number of shares earned based on actual performance for the fiscal 2021 award and target performance for the fiscal 2022 and 2023 awards.</w:t>
      </w:r>
    </w:p>
    <w:p>
      <w:pPr>
        <w:spacing w:after="0" w:line="1" w:lineRule="exact"/>
        <w:rPr>
          <w:rFonts w:ascii="Arial" w:cs="Arial" w:eastAsia="Arial" w:hAnsi="Arial"/>
          <w:sz w:val="18"/>
          <w:szCs w:val="18"/>
          <w:color w:val="auto"/>
        </w:rPr>
      </w:pPr>
    </w:p>
    <w:p>
      <w:pPr>
        <w:ind w:left="660" w:hanging="328"/>
        <w:spacing w:after="0" w:line="250" w:lineRule="auto"/>
        <w:tabs>
          <w:tab w:leader="none" w:pos="6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$51.58 and the exercise price on 7,701 unvested, in-the-money stock options that would vest due to change in control.</w:t>
      </w: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Olivier Bojarski</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outlines the amount payable assuming that the terms of the change of control agreement were triggered on July 31, 2023, and the NEO was required to legally enforce the terms of the agreement.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Base Salary ($) (1)</w:t>
            </w:r>
          </w:p>
        </w:tc>
        <w:tc>
          <w:tcPr>
            <w:tcW w:w="26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Annual Cash</w:t>
            </w:r>
          </w:p>
        </w:tc>
        <w:tc>
          <w:tcPr>
            <w:tcW w:w="12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Restricted Stock Unit</w:t>
            </w:r>
          </w:p>
        </w:tc>
        <w:tc>
          <w:tcPr>
            <w:tcW w:w="1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Stock Option Acceleration</w:t>
            </w: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Legal Fee Reimbursement</w:t>
            </w:r>
          </w:p>
        </w:tc>
        <w:tc>
          <w:tcPr>
            <w:tcW w:w="380" w:type="dxa"/>
            <w:vAlign w:val="bottom"/>
          </w:tcPr>
          <w:p>
            <w:pPr>
              <w:spacing w:after="0"/>
              <w:rPr>
                <w:sz w:val="14"/>
                <w:szCs w:val="14"/>
                <w:color w:val="auto"/>
              </w:rPr>
            </w:pPr>
          </w:p>
        </w:tc>
        <w:tc>
          <w:tcPr>
            <w:tcW w:w="140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Acceleration Gain ($) (3)</w:t>
            </w:r>
          </w:p>
        </w:tc>
        <w:tc>
          <w:tcPr>
            <w:tcW w:w="36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4"/>
                <w:szCs w:val="14"/>
                <w:b w:val="1"/>
                <w:bCs w:val="1"/>
                <w:color w:val="auto"/>
              </w:rPr>
              <w:t>Gain ($)</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Arial" w:cs="Arial" w:eastAsia="Arial" w:hAnsi="Arial"/>
                <w:sz w:val="14"/>
                <w:szCs w:val="14"/>
                <w:b w:val="1"/>
                <w:bCs w:val="1"/>
                <w:color w:val="auto"/>
              </w:rPr>
              <w:t>($) (4)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660,000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632,526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2,197,526</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2023.</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two times the target annual cash incentive amount in effect at July 31, 2023.</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closing market price of $51.58 on 12,263 unvested RSUs that would vest due to the change in control.</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Bentley N. Curran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outlines the amount payable assuming that the terms of the change of control agreement were triggered on July 31, 2023, and the NEO was required to legally enforce the terms of the agreement.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Base Salary ($) (1)</w:t>
            </w:r>
          </w:p>
        </w:tc>
        <w:tc>
          <w:tcPr>
            <w:tcW w:w="26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Annual Cash</w:t>
            </w:r>
          </w:p>
        </w:tc>
        <w:tc>
          <w:tcPr>
            <w:tcW w:w="12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Restricted Stock Unit</w:t>
            </w:r>
          </w:p>
        </w:tc>
        <w:tc>
          <w:tcPr>
            <w:tcW w:w="1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Stock Option Acceleration</w:t>
            </w: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Legal Fee Reimbursement</w:t>
            </w:r>
          </w:p>
        </w:tc>
        <w:tc>
          <w:tcPr>
            <w:tcW w:w="380" w:type="dxa"/>
            <w:vAlign w:val="bottom"/>
          </w:tcPr>
          <w:p>
            <w:pPr>
              <w:spacing w:after="0"/>
              <w:rPr>
                <w:sz w:val="14"/>
                <w:szCs w:val="14"/>
                <w:color w:val="auto"/>
              </w:rPr>
            </w:pPr>
          </w:p>
        </w:tc>
        <w:tc>
          <w:tcPr>
            <w:tcW w:w="140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2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Incentive ($) (2)</w:t>
            </w:r>
          </w:p>
        </w:tc>
        <w:tc>
          <w:tcPr>
            <w:tcW w:w="120" w:type="dxa"/>
            <w:vAlign w:val="bottom"/>
          </w:tcPr>
          <w:p>
            <w:pPr>
              <w:spacing w:after="0"/>
              <w:rPr>
                <w:sz w:val="16"/>
                <w:szCs w:val="16"/>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Acceleration Gain ($) (3)</w:t>
            </w:r>
          </w:p>
        </w:tc>
        <w:tc>
          <w:tcPr>
            <w:tcW w:w="320" w:type="dxa"/>
            <w:vAlign w:val="bottom"/>
          </w:tcPr>
          <w:p>
            <w:pPr>
              <w:spacing w:after="0"/>
              <w:rPr>
                <w:sz w:val="16"/>
                <w:szCs w:val="16"/>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 ($) (4)</w:t>
            </w:r>
          </w:p>
        </w:tc>
        <w:tc>
          <w:tcPr>
            <w:tcW w:w="400" w:type="dxa"/>
            <w:vAlign w:val="bottom"/>
          </w:tcPr>
          <w:p>
            <w:pPr>
              <w:spacing w:after="0"/>
              <w:rPr>
                <w:sz w:val="16"/>
                <w:szCs w:val="16"/>
                <w:color w:val="auto"/>
              </w:rPr>
            </w:pPr>
          </w:p>
        </w:tc>
        <w:tc>
          <w:tcPr>
            <w:tcW w:w="1380" w:type="dxa"/>
            <w:vAlign w:val="bottom"/>
          </w:tcPr>
          <w:p>
            <w:pPr>
              <w:jc w:val="right"/>
              <w:ind w:right="619"/>
              <w:spacing w:after="0"/>
              <w:rPr>
                <w:sz w:val="20"/>
                <w:szCs w:val="20"/>
                <w:color w:val="auto"/>
              </w:rPr>
            </w:pPr>
            <w:r>
              <w:rPr>
                <w:rFonts w:ascii="Arial" w:cs="Arial" w:eastAsia="Arial" w:hAnsi="Arial"/>
                <w:sz w:val="14"/>
                <w:szCs w:val="14"/>
                <w:b w:val="1"/>
                <w:bCs w:val="1"/>
                <w:color w:val="auto"/>
              </w:rPr>
              <w:t>($) (5)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400,504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327,017</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74,414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1,496,935</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2023.</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Represents two times the average annual cash incentive payment received in the last three years ended July 31, 2023, 2022 and 2021.</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closing market price of $51.58 on 6,340 unvested RSUs and PRSUs that would vest due to the change in control. The restricted stock unit acceleration gain for PRSUs is based on the number of shares earned based on actual performance for the fiscal 2021 award and target performance for the fiscal 2022 and 2023 awards.</w:t>
      </w:r>
    </w:p>
    <w:p>
      <w:pPr>
        <w:spacing w:after="0" w:line="1" w:lineRule="exact"/>
        <w:rPr>
          <w:rFonts w:ascii="Arial" w:cs="Arial" w:eastAsia="Arial" w:hAnsi="Arial"/>
          <w:sz w:val="18"/>
          <w:szCs w:val="18"/>
          <w:color w:val="auto"/>
        </w:rPr>
      </w:pPr>
    </w:p>
    <w:p>
      <w:pPr>
        <w:ind w:left="660" w:hanging="328"/>
        <w:spacing w:after="0" w:line="250" w:lineRule="auto"/>
        <w:tabs>
          <w:tab w:leader="none" w:pos="654"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$51.58 and the exercise price on 10,747 unvested, in-the-money stock options that would vest due to change in control.</w:t>
      </w: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Andrew T. Gorman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outlines the amount payable assuming that the terms of the change of control agreement were triggered on July 31, 2023, and the NEO was required to legally enforce the terms of the agreement.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Base Salary ($) (1)</w:t>
            </w:r>
          </w:p>
        </w:tc>
        <w:tc>
          <w:tcPr>
            <w:tcW w:w="260" w:type="dxa"/>
            <w:vAlign w:val="bottom"/>
          </w:tcPr>
          <w:p>
            <w:pPr>
              <w:spacing w:after="0"/>
              <w:rPr>
                <w:sz w:val="14"/>
                <w:szCs w:val="14"/>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Annual Cash</w:t>
            </w:r>
          </w:p>
        </w:tc>
        <w:tc>
          <w:tcPr>
            <w:tcW w:w="120" w:type="dxa"/>
            <w:vAlign w:val="bottom"/>
          </w:tcPr>
          <w:p>
            <w:pPr>
              <w:spacing w:after="0"/>
              <w:rPr>
                <w:sz w:val="14"/>
                <w:szCs w:val="14"/>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Restricted Stock Unit</w:t>
            </w:r>
          </w:p>
        </w:tc>
        <w:tc>
          <w:tcPr>
            <w:tcW w:w="18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Stock Option Acceleration</w:t>
            </w:r>
          </w:p>
        </w:tc>
        <w:tc>
          <w:tcPr>
            <w:tcW w:w="18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Legal Fee Reimbursement</w:t>
            </w:r>
          </w:p>
        </w:tc>
        <w:tc>
          <w:tcPr>
            <w:tcW w:w="380" w:type="dxa"/>
            <w:vAlign w:val="bottom"/>
          </w:tcPr>
          <w:p>
            <w:pPr>
              <w:spacing w:after="0"/>
              <w:rPr>
                <w:sz w:val="14"/>
                <w:szCs w:val="14"/>
                <w:color w:val="auto"/>
              </w:rPr>
            </w:pPr>
          </w:p>
        </w:tc>
        <w:tc>
          <w:tcPr>
            <w:tcW w:w="1400" w:type="dxa"/>
            <w:vAlign w:val="bottom"/>
            <w:vMerge w:val="restart"/>
          </w:tcPr>
          <w:p>
            <w:pPr>
              <w:jc w:val="right"/>
              <w:ind w:right="539"/>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Incentive ($) (2)</w:t>
            </w:r>
          </w:p>
        </w:tc>
        <w:tc>
          <w:tcPr>
            <w:tcW w:w="120" w:type="dxa"/>
            <w:vAlign w:val="bottom"/>
          </w:tcPr>
          <w:p>
            <w:pPr>
              <w:spacing w:after="0"/>
              <w:rPr>
                <w:sz w:val="17"/>
                <w:szCs w:val="17"/>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Acceleration Gain ($) (3)</w:t>
            </w:r>
          </w:p>
        </w:tc>
        <w:tc>
          <w:tcPr>
            <w:tcW w:w="320" w:type="dxa"/>
            <w:vAlign w:val="bottom"/>
          </w:tcPr>
          <w:p>
            <w:pPr>
              <w:spacing w:after="0"/>
              <w:rPr>
                <w:sz w:val="17"/>
                <w:szCs w:val="17"/>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Gain ($) (4)</w:t>
            </w:r>
          </w:p>
        </w:tc>
        <w:tc>
          <w:tcPr>
            <w:tcW w:w="400" w:type="dxa"/>
            <w:vAlign w:val="bottom"/>
          </w:tcPr>
          <w:p>
            <w:pPr>
              <w:spacing w:after="0"/>
              <w:rPr>
                <w:sz w:val="17"/>
                <w:szCs w:val="17"/>
                <w:color w:val="auto"/>
              </w:rPr>
            </w:pPr>
          </w:p>
        </w:tc>
        <w:tc>
          <w:tcPr>
            <w:tcW w:w="1380" w:type="dxa"/>
            <w:vAlign w:val="bottom"/>
          </w:tcPr>
          <w:p>
            <w:pPr>
              <w:jc w:val="right"/>
              <w:ind w:right="619"/>
              <w:spacing w:after="0"/>
              <w:rPr>
                <w:sz w:val="20"/>
                <w:szCs w:val="20"/>
                <w:color w:val="auto"/>
              </w:rPr>
            </w:pPr>
            <w:r>
              <w:rPr>
                <w:rFonts w:ascii="Arial" w:cs="Arial" w:eastAsia="Arial" w:hAnsi="Arial"/>
                <w:sz w:val="14"/>
                <w:szCs w:val="14"/>
                <w:b w:val="1"/>
                <w:bCs w:val="1"/>
                <w:color w:val="auto"/>
              </w:rPr>
              <w:t>($) (5)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651,000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237,349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406,605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90,629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1,410,583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two times the base salary in effect at July 31, 2023.</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average annual cash incentive payment received in the last two years ended July 31, 2023 and 2022.</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closing market price of $51.58 on 7,883 unvested RSUs and PRSUs that would vest due to the change in control. The restricted stock unit acceleration gain for PRSUs is based on the number of shares earned based on actual performance for the fiscal 2021 award and target performance for the fiscal 2022 and 2023 awards.</w:t>
      </w:r>
    </w:p>
    <w:p>
      <w:pPr>
        <w:spacing w:after="0" w:line="1" w:lineRule="exact"/>
        <w:rPr>
          <w:rFonts w:ascii="Arial" w:cs="Arial" w:eastAsia="Arial" w:hAnsi="Arial"/>
          <w:sz w:val="18"/>
          <w:szCs w:val="18"/>
          <w:color w:val="auto"/>
        </w:rPr>
      </w:pPr>
    </w:p>
    <w:p>
      <w:pPr>
        <w:ind w:left="660" w:hanging="328"/>
        <w:spacing w:after="0" w:line="250" w:lineRule="auto"/>
        <w:tabs>
          <w:tab w:leader="none" w:pos="654"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$51.58 and the exercise price on 13,283 unvested, in-the-money stock options that would vest due to change in control.</w:t>
      </w: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Represents the maximum reimbursement of legal fees allowed.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Pascal Deman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Mr. Deman resigned as Vice President, General Manager - Workplace Safety effective October 3, 2022, and remained employed by the Company through January 4, 2023, the date of separation. The Company entered into a written agreement with Mr. Deman in connection with his resignation that provided for payment of his salary and benefits through January 4, 2023. In addition, Mr. Deman's written agreement provided for payment of a bonus, severance pay, settlement indemnity, as well as reimbursement for outplacement services up to € 10,000. All unvested equity awards held by Mr. Deman were forfeited.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Aaron J. Pearce</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Mr. Pearce resigned as Chief Financial Officer and Treasurer of the Company effective April 14, 2023, and remained employed by the Company through April 28, 2023. The Company entered into a written agreement with Mr. Pearce in connection with his resignation that provides for payment of his salary and benefits through April 28, 2023. In addition, Mr. Pearce will receive his base salary for 12 months, payment of his fiscal 2023 target annual bonus, and full vesting of his outstanding stock options and restricted stock units that were granted on September 30, 2020 and September 16, 2021. All vested outstanding stock options that were granted prior to September 17, 2021 would retain their original expiration date as stated in their respective award agreements. All other unvested equity awards, including all performance shares units, held by Mr. Pearce were forfeited.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Due to Death or Disability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event of termination due to death or disability, all unexercised, unexpired stock options would immediately vest and all restricted stock unit awards would immediately become unrestricted and fully vested. The following table shows the amount payable to the NEOs should this event occur on July 31, 2023.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Unvested RSUs and</w:t>
            </w:r>
          </w:p>
        </w:tc>
        <w:tc>
          <w:tcPr>
            <w:tcW w:w="32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RSUs and</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Unvested, In-the-Money</w:t>
            </w:r>
          </w:p>
        </w:tc>
        <w:tc>
          <w:tcPr>
            <w:tcW w:w="120" w:type="dxa"/>
            <w:vAlign w:val="bottom"/>
          </w:tcPr>
          <w:p>
            <w:pPr>
              <w:spacing w:after="0"/>
              <w:rPr>
                <w:sz w:val="14"/>
                <w:szCs w:val="14"/>
                <w:color w:val="auto"/>
              </w:rPr>
            </w:pPr>
          </w:p>
        </w:tc>
        <w:tc>
          <w:tcPr>
            <w:tcW w:w="154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Stock Option</w:t>
            </w:r>
          </w:p>
        </w:tc>
        <w:tc>
          <w:tcPr>
            <w:tcW w:w="0" w:type="dxa"/>
            <w:vAlign w:val="bottom"/>
          </w:tcPr>
          <w:p>
            <w:pPr>
              <w:spacing w:after="0"/>
              <w:rPr>
                <w:sz w:val="1"/>
                <w:szCs w:val="1"/>
                <w:color w:val="auto"/>
              </w:rPr>
            </w:pPr>
          </w:p>
        </w:tc>
      </w:tr>
      <w:tr>
        <w:trPr>
          <w:trHeight w:val="144"/>
        </w:trPr>
        <w:tc>
          <w:tcPr>
            <w:tcW w:w="4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760" w:type="dxa"/>
            <w:vAlign w:val="bottom"/>
            <w:gridSpan w:val="2"/>
            <w:vMerge w:val="continue"/>
          </w:tcPr>
          <w:p>
            <w:pPr>
              <w:spacing w:after="0"/>
              <w:rPr>
                <w:sz w:val="12"/>
                <w:szCs w:val="12"/>
                <w:color w:val="auto"/>
              </w:rPr>
            </w:pPr>
          </w:p>
        </w:tc>
        <w:tc>
          <w:tcPr>
            <w:tcW w:w="1780" w:type="dxa"/>
            <w:vAlign w:val="bottom"/>
            <w:gridSpan w:val="3"/>
          </w:tcPr>
          <w:p>
            <w:pPr>
              <w:jc w:val="center"/>
              <w:ind w:right="120"/>
              <w:spacing w:after="0" w:line="144" w:lineRule="exact"/>
              <w:rPr>
                <w:sz w:val="20"/>
                <w:szCs w:val="20"/>
                <w:color w:val="auto"/>
              </w:rPr>
            </w:pPr>
            <w:r>
              <w:rPr>
                <w:rFonts w:ascii="Arial" w:cs="Arial" w:eastAsia="Arial" w:hAnsi="Arial"/>
                <w:sz w:val="14"/>
                <w:szCs w:val="14"/>
                <w:b w:val="1"/>
                <w:bCs w:val="1"/>
                <w:color w:val="auto"/>
                <w:w w:val="93"/>
              </w:rPr>
              <w:t>PRSUs Acceleration Gain</w:t>
            </w:r>
          </w:p>
        </w:tc>
        <w:tc>
          <w:tcPr>
            <w:tcW w:w="174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89"/>
              </w:rPr>
              <w:t>Stock Options as of</w:t>
            </w:r>
          </w:p>
        </w:tc>
        <w:tc>
          <w:tcPr>
            <w:tcW w:w="12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240" w:type="dxa"/>
            <w:vAlign w:val="bottom"/>
            <w:vMerge w:val="continue"/>
          </w:tcPr>
          <w:p>
            <w:pPr>
              <w:spacing w:after="0"/>
              <w:rPr>
                <w:sz w:val="17"/>
                <w:szCs w:val="17"/>
                <w:color w:val="auto"/>
              </w:rPr>
            </w:pPr>
          </w:p>
        </w:tc>
        <w:tc>
          <w:tcPr>
            <w:tcW w:w="1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PRSUs as of July 31, 2023</w:t>
            </w:r>
          </w:p>
        </w:tc>
        <w:tc>
          <w:tcPr>
            <w:tcW w:w="320" w:type="dxa"/>
            <w:vAlign w:val="bottom"/>
          </w:tcPr>
          <w:p>
            <w:pPr>
              <w:spacing w:after="0"/>
              <w:rPr>
                <w:sz w:val="17"/>
                <w:szCs w:val="17"/>
                <w:color w:val="auto"/>
              </w:rPr>
            </w:pPr>
          </w:p>
        </w:tc>
        <w:tc>
          <w:tcPr>
            <w:tcW w:w="1340" w:type="dxa"/>
            <w:vAlign w:val="bottom"/>
          </w:tcPr>
          <w:p>
            <w:pPr>
              <w:jc w:val="center"/>
              <w:ind w:right="215"/>
              <w:spacing w:after="0"/>
              <w:rPr>
                <w:sz w:val="20"/>
                <w:szCs w:val="20"/>
                <w:color w:val="auto"/>
              </w:rPr>
            </w:pPr>
            <w:r>
              <w:rPr>
                <w:rFonts w:ascii="Arial" w:cs="Arial" w:eastAsia="Arial" w:hAnsi="Arial"/>
                <w:sz w:val="14"/>
                <w:szCs w:val="14"/>
                <w:b w:val="1"/>
                <w:bCs w:val="1"/>
                <w:color w:val="auto"/>
                <w:w w:val="97"/>
              </w:rPr>
              <w:t>$ (1)</w:t>
            </w:r>
          </w:p>
        </w:tc>
        <w:tc>
          <w:tcPr>
            <w:tcW w:w="120" w:type="dxa"/>
            <w:vAlign w:val="bottom"/>
          </w:tcPr>
          <w:p>
            <w:pPr>
              <w:spacing w:after="0"/>
              <w:rPr>
                <w:sz w:val="17"/>
                <w:szCs w:val="17"/>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July 31, 2023</w:t>
            </w:r>
          </w:p>
        </w:tc>
        <w:tc>
          <w:tcPr>
            <w:tcW w:w="120" w:type="dxa"/>
            <w:vAlign w:val="bottom"/>
          </w:tcPr>
          <w:p>
            <w:pPr>
              <w:spacing w:after="0"/>
              <w:rPr>
                <w:sz w:val="17"/>
                <w:szCs w:val="17"/>
                <w:color w:val="auto"/>
              </w:rPr>
            </w:pPr>
          </w:p>
        </w:tc>
        <w:tc>
          <w:tcPr>
            <w:tcW w:w="1540" w:type="dxa"/>
            <w:vAlign w:val="bottom"/>
          </w:tcPr>
          <w:p>
            <w:pPr>
              <w:jc w:val="right"/>
              <w:ind w:right="35"/>
              <w:spacing w:after="0"/>
              <w:rPr>
                <w:sz w:val="20"/>
                <w:szCs w:val="20"/>
                <w:color w:val="auto"/>
              </w:rPr>
            </w:pPr>
            <w:r>
              <w:rPr>
                <w:rFonts w:ascii="Arial" w:cs="Arial" w:eastAsia="Arial" w:hAnsi="Arial"/>
                <w:sz w:val="14"/>
                <w:szCs w:val="14"/>
                <w:b w:val="1"/>
                <w:bCs w:val="1"/>
                <w:color w:val="auto"/>
                <w:w w:val="92"/>
              </w:rPr>
              <w:t>Acceleration Gain $ (2)</w:t>
            </w:r>
          </w:p>
        </w:tc>
        <w:tc>
          <w:tcPr>
            <w:tcW w:w="0" w:type="dxa"/>
            <w:vAlign w:val="bottom"/>
          </w:tcPr>
          <w:p>
            <w:pPr>
              <w:spacing w:after="0"/>
              <w:rPr>
                <w:sz w:val="1"/>
                <w:szCs w:val="1"/>
                <w:color w:val="auto"/>
              </w:rPr>
            </w:pPr>
          </w:p>
        </w:tc>
      </w:tr>
      <w:tr>
        <w:trPr>
          <w:trHeight w:val="229"/>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R.R. Shaller</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2,659,929</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322,309</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A.E. Thornton</w:t>
            </w:r>
          </w:p>
        </w:tc>
        <w:tc>
          <w:tcPr>
            <w:tcW w:w="1660" w:type="dxa"/>
            <w:vAlign w:val="bottom"/>
          </w:tcPr>
          <w:p>
            <w:pPr>
              <w:jc w:val="right"/>
              <w:spacing w:after="0"/>
              <w:rPr>
                <w:sz w:val="20"/>
                <w:szCs w:val="20"/>
                <w:color w:val="auto"/>
              </w:rPr>
            </w:pPr>
            <w:r>
              <w:rPr>
                <w:rFonts w:ascii="Arial" w:cs="Arial" w:eastAsia="Arial" w:hAnsi="Arial"/>
                <w:sz w:val="18"/>
                <w:szCs w:val="18"/>
                <w:color w:val="auto"/>
              </w:rPr>
              <w:t>6,458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333,104</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7,701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 Bojarski</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632,526</w:t>
            </w:r>
          </w:p>
        </w:tc>
        <w:tc>
          <w:tcPr>
            <w:tcW w:w="12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B.N. Curran</w:t>
            </w:r>
          </w:p>
        </w:tc>
        <w:tc>
          <w:tcPr>
            <w:tcW w:w="1660" w:type="dxa"/>
            <w:vAlign w:val="bottom"/>
          </w:tcPr>
          <w:p>
            <w:pPr>
              <w:jc w:val="right"/>
              <w:spacing w:after="0"/>
              <w:rPr>
                <w:sz w:val="20"/>
                <w:szCs w:val="20"/>
                <w:color w:val="auto"/>
              </w:rPr>
            </w:pPr>
            <w:r>
              <w:rPr>
                <w:rFonts w:ascii="Arial" w:cs="Arial" w:eastAsia="Arial" w:hAnsi="Arial"/>
                <w:sz w:val="18"/>
                <w:szCs w:val="18"/>
                <w:color w:val="auto"/>
              </w:rPr>
              <w:t>6,340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327,017</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10,747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74,414</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Gorman</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406,605</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90,629</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660" w:hanging="328"/>
        <w:spacing w:after="0" w:line="255" w:lineRule="auto"/>
        <w:tabs>
          <w:tab w:leader="none" w:pos="6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the closing market price of $51.58 on unvested RSUs and PRSUs awards that would vest due to death or disability. The restricted stock unit acceleration gain for PRSUs is based on the number of shares earned based on actual performance for the fiscal 2021 award and target performance for the fiscal 2022 and 2023 awards.</w:t>
      </w:r>
    </w:p>
    <w:p>
      <w:pPr>
        <w:spacing w:after="0" w:line="2" w:lineRule="exact"/>
        <w:rPr>
          <w:rFonts w:ascii="Arial" w:cs="Arial" w:eastAsia="Arial" w:hAnsi="Arial"/>
          <w:sz w:val="18"/>
          <w:szCs w:val="18"/>
          <w:color w:val="auto"/>
        </w:rPr>
      </w:pPr>
    </w:p>
    <w:p>
      <w:pPr>
        <w:ind w:left="660" w:right="220" w:hanging="328"/>
        <w:spacing w:after="0" w:line="260" w:lineRule="auto"/>
        <w:tabs>
          <w:tab w:leader="none" w:pos="6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the difference between the closing market price of $51.58 and the exercise price on unvested, in-the-money stock options that would vest due to death or disability.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Pay Ratio Disclosure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Summarized below is the ratio of the total compensation of our CEO, Russell R. Shaller, to the total compensation of our median employee.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fiscal 2023:</w:t>
      </w:r>
    </w:p>
    <w:p>
      <w:pPr>
        <w:spacing w:after="0" w:line="171"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of our employees, other than the CEO, was $54,525;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annual total compensation of our CEO was $4,763,503.</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Accordingly, the ratio of the CEO’s annual total compensation to the median of the annual total compensation of all other employees was approximately 87:1.</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For our CEO, we used the total compensation of $3,242,497 for Mr. Shaller as reported in the Summary Compensation Table. However, because Mr. Shaller was appointed CEO on April 1, 2022, we included the amounts awarded to him as part of his appointment in the “Stock Awards” and “Option Awards” columns of the Summary Compensation Table to reflect the amounts he would have earned for fiscal 2023 had he not received awards as part of his appointment. The stock and option award values used in the pay ratio calculation were $1,924,899 and $760,497, respectively, rather than the values reported in the Summary Compensation Table of $1,164,390 and $0, respectively. We did not need to annualize the amounts in the "Salary", "Bonus", "Non-Equity Incentive Plan Compensation" or "All Other Compensation" columns of the Summary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Compensation Table, as the amounts shown in these columns were commensurate with his time as CEO for the entire fiscal year.</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For our median employee, we elected to use the same employee identified as the median employee in fiscal 2021 for calculating the pay ratio in fiscal 2023. There were no material changes in our employee population or employee compensation arrangements that we reasonably believe would result in a significant change in our pay ratio disclosures since we identified the median employee for determination of the CEO pay ratio in fiscal 2021.</w:t>
      </w:r>
    </w:p>
    <w:p>
      <w:pPr>
        <w:spacing w:after="0" w:line="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 identify our median in 2021, as well as to determine the annual total compensation of our median employee in 2023, we used the following methodology and assumptions:</w:t>
      </w:r>
    </w:p>
    <w:p>
      <w:pPr>
        <w:spacing w:after="0" w:line="116" w:lineRule="exact"/>
        <w:rPr>
          <w:sz w:val="20"/>
          <w:szCs w:val="20"/>
          <w:color w:val="auto"/>
        </w:rPr>
      </w:pPr>
    </w:p>
    <w:p>
      <w:pPr>
        <w:jc w:val="both"/>
        <w:ind w:left="660" w:hanging="328"/>
        <w:spacing w:after="0" w:line="255"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measurement date of May 31, 2021 was used to identify our median employee, which is within three months of the Company's fiscal 2021 year end. As of this date, the Company's total employee population, excluding the CEO, consisted of 5,621 individuals, which comprised all full-time and part-time employees.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permitted under the SEC rules, we excluded 139 employees that were acquired subsequent to the measurement date of May 31, 2021. After applying these rules, the employee population consisted of 5,482 individuals, of which 1,496 were in the United States and 3,986 were outside of the United States.</w:t>
      </w:r>
    </w:p>
    <w:p>
      <w:pPr>
        <w:spacing w:after="0" w:line="1" w:lineRule="exact"/>
        <w:rPr>
          <w:rFonts w:ascii="Arial" w:cs="Arial" w:eastAsia="Arial" w:hAnsi="Arial"/>
          <w:sz w:val="18"/>
          <w:szCs w:val="18"/>
          <w:color w:val="auto"/>
        </w:rPr>
      </w:pPr>
    </w:p>
    <w:p>
      <w:pPr>
        <w:jc w:val="both"/>
        <w:ind w:left="660" w:right="20" w:hanging="328"/>
        <w:spacing w:after="0" w:line="250"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used annual total cash compensation earned by our employees, as compiled from our payroll records, as the consistently applied compensation measure by which to determine the median employee. This reflects the principal forms of compensation delivered to all of our employees and is readily available in each country.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annualized the compensation of employees for the full fiscal year and for employees hired during the fiscal year.</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 employees outside of the United States, we used applicable currency exchange rates based on the average exchange rate over the period to convert all compensation data.</w:t>
      </w:r>
    </w:p>
    <w:p>
      <w:pPr>
        <w:ind w:left="660" w:right="20" w:hanging="328"/>
        <w:spacing w:after="0" w:line="260"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median employee's total compensation for 2023 was calculated in the same manner as total compensation for each of the NEOs within the Summary Compensation Table and includes contributions to health and welfare benefits.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 Versus Performance</w:t>
      </w:r>
    </w:p>
    <w:p>
      <w:pPr>
        <w:spacing w:after="0" w:line="17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following Pay Versus Performance table summarizes compensation for our principal executive officers ("PEOs") and the average compensation amounts to all other non-PEO NEOs as reported in the Summary Compensation Table ("SCT") for the past three fiscal years, as well as amounts for Compensation Actually Paid ("CAP") to these groups calculated and reported as required under new SEC disclosure requirements. The below table also includes the Company's Total Shareholder Return ("TSR") results, Peer Group TSR, net income and the Company selected performance measure - Operating Income. We have selected Operating Income as our primary financial measure we consider to be most important in linking performance to compensation actually paid as the Company's overall NEO compensation structure is designed to drive profitable growth leading to long-term shareholder value creation.</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u w:val="single" w:color="auto"/>
          <w:color w:val="auto"/>
        </w:rPr>
        <w:t>Pay Versus Performance Table (1) (2)</w:t>
      </w:r>
    </w:p>
    <w:p>
      <w:pPr>
        <w:sectPr>
          <w:pgSz w:w="11900" w:h="16838" w:orient="portrait"/>
          <w:cols w:equalWidth="0" w:num="1">
            <w:col w:w="11240"/>
          </w:cols>
          <w:pgMar w:left="320" w:top="121" w:right="339" w:bottom="1440" w:gutter="0" w:footer="0" w:header="0"/>
        </w:sectPr>
      </w:pPr>
    </w:p>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Summary Compensation Table</w:t>
            </w: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Compensation Actually Paid</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80" w:type="dxa"/>
            <w:vAlign w:val="bottom"/>
          </w:tcPr>
          <w:p>
            <w:pPr>
              <w:spacing w:after="0"/>
              <w:rPr>
                <w:sz w:val="16"/>
                <w:szCs w:val="16"/>
                <w:color w:val="auto"/>
              </w:rPr>
            </w:pPr>
          </w:p>
        </w:tc>
        <w:tc>
          <w:tcPr>
            <w:tcW w:w="2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Total for PEO ($)</w:t>
            </w:r>
          </w:p>
        </w:tc>
        <w:tc>
          <w:tcPr>
            <w:tcW w:w="1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to PEO ($) (3)</w:t>
            </w:r>
          </w:p>
        </w:tc>
        <w:tc>
          <w:tcPr>
            <w:tcW w:w="1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Avg. Summary</w:t>
            </w:r>
          </w:p>
        </w:tc>
        <w:tc>
          <w:tcPr>
            <w:tcW w:w="1140" w:type="dxa"/>
            <w:vAlign w:val="bottom"/>
          </w:tcPr>
          <w:p>
            <w:pPr>
              <w:jc w:val="center"/>
              <w:ind w:left="88"/>
              <w:spacing w:after="0"/>
              <w:rPr>
                <w:sz w:val="20"/>
                <w:szCs w:val="20"/>
                <w:color w:val="auto"/>
              </w:rPr>
            </w:pPr>
            <w:r>
              <w:rPr>
                <w:rFonts w:ascii="Arial" w:cs="Arial" w:eastAsia="Arial" w:hAnsi="Arial"/>
                <w:sz w:val="14"/>
                <w:szCs w:val="14"/>
                <w:b w:val="1"/>
                <w:bCs w:val="1"/>
                <w:color w:val="auto"/>
                <w:w w:val="85"/>
              </w:rPr>
              <w:t>Avg.</w:t>
            </w:r>
          </w:p>
        </w:tc>
        <w:tc>
          <w:tcPr>
            <w:tcW w:w="0" w:type="dxa"/>
            <w:vAlign w:val="bottom"/>
          </w:tcPr>
          <w:p>
            <w:pPr>
              <w:spacing w:after="0"/>
              <w:rPr>
                <w:sz w:val="1"/>
                <w:szCs w:val="1"/>
                <w:color w:val="auto"/>
              </w:rPr>
            </w:pPr>
          </w:p>
        </w:tc>
      </w:tr>
      <w:tr>
        <w:trPr>
          <w:trHeight w:val="144"/>
        </w:trPr>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tcPr>
          <w:p>
            <w:pPr>
              <w:jc w:val="center"/>
              <w:ind w:left="88"/>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0" w:type="dxa"/>
            <w:vAlign w:val="bottom"/>
          </w:tcPr>
          <w:p>
            <w:pPr>
              <w:spacing w:after="0"/>
              <w:rPr>
                <w:sz w:val="1"/>
                <w:szCs w:val="1"/>
                <w:color w:val="auto"/>
              </w:rPr>
            </w:pPr>
          </w:p>
        </w:tc>
      </w:tr>
      <w:tr>
        <w:trPr>
          <w:trHeight w:val="139"/>
        </w:trPr>
        <w:tc>
          <w:tcPr>
            <w:tcW w:w="4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Russell R.</w:t>
            </w: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J. Michael</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Russell R.</w:t>
            </w: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J. Michael</w:t>
            </w:r>
          </w:p>
        </w:tc>
        <w:tc>
          <w:tcPr>
            <w:tcW w:w="13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5"/>
              </w:rPr>
              <w:t>Table total for</w:t>
            </w:r>
          </w:p>
        </w:tc>
        <w:tc>
          <w:tcPr>
            <w:tcW w:w="1140" w:type="dxa"/>
            <w:vAlign w:val="bottom"/>
          </w:tcPr>
          <w:p>
            <w:pPr>
              <w:jc w:val="center"/>
              <w:ind w:left="88"/>
              <w:spacing w:after="0" w:line="139" w:lineRule="exact"/>
              <w:rPr>
                <w:sz w:val="20"/>
                <w:szCs w:val="20"/>
                <w:color w:val="auto"/>
              </w:rPr>
            </w:pPr>
            <w:r>
              <w:rPr>
                <w:rFonts w:ascii="Arial" w:cs="Arial" w:eastAsia="Arial" w:hAnsi="Arial"/>
                <w:sz w:val="14"/>
                <w:szCs w:val="14"/>
                <w:b w:val="1"/>
                <w:bCs w:val="1"/>
                <w:color w:val="auto"/>
                <w:w w:val="93"/>
              </w:rPr>
              <w:t>Actually Paid to</w:t>
            </w:r>
          </w:p>
        </w:tc>
        <w:tc>
          <w:tcPr>
            <w:tcW w:w="0" w:type="dxa"/>
            <w:vAlign w:val="bottom"/>
          </w:tcPr>
          <w:p>
            <w:pPr>
              <w:spacing w:after="0"/>
              <w:rPr>
                <w:sz w:val="1"/>
                <w:szCs w:val="1"/>
                <w:color w:val="auto"/>
              </w:rPr>
            </w:pPr>
          </w:p>
        </w:tc>
      </w:tr>
      <w:tr>
        <w:trPr>
          <w:trHeight w:val="149"/>
        </w:trPr>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960" w:type="dxa"/>
            <w:vAlign w:val="bottom"/>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non-PEO NEOs</w:t>
            </w:r>
          </w:p>
        </w:tc>
        <w:tc>
          <w:tcPr>
            <w:tcW w:w="114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6"/>
              </w:rPr>
              <w:t>non-PEO NEOs</w:t>
            </w:r>
          </w:p>
        </w:tc>
        <w:tc>
          <w:tcPr>
            <w:tcW w:w="0" w:type="dxa"/>
            <w:vAlign w:val="bottom"/>
          </w:tcPr>
          <w:p>
            <w:pPr>
              <w:spacing w:after="0"/>
              <w:rPr>
                <w:sz w:val="1"/>
                <w:szCs w:val="1"/>
                <w:color w:val="auto"/>
              </w:rPr>
            </w:pPr>
          </w:p>
        </w:tc>
      </w:tr>
      <w:tr>
        <w:trPr>
          <w:trHeight w:val="186"/>
        </w:trPr>
        <w:tc>
          <w:tcPr>
            <w:tcW w:w="48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Shaller</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Nauman</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4"/>
              </w:rPr>
              <w:t>Shaller</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4"/>
              </w:rPr>
              <w:t>Nauman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140" w:type="dxa"/>
            <w:vAlign w:val="bottom"/>
          </w:tcPr>
          <w:p>
            <w:pPr>
              <w:jc w:val="center"/>
              <w:ind w:left="88"/>
              <w:spacing w:after="0"/>
              <w:rPr>
                <w:sz w:val="20"/>
                <w:szCs w:val="20"/>
                <w:color w:val="auto"/>
              </w:rPr>
            </w:pPr>
            <w:r>
              <w:rPr>
                <w:rFonts w:ascii="Arial" w:cs="Arial" w:eastAsia="Arial" w:hAnsi="Arial"/>
                <w:sz w:val="14"/>
                <w:szCs w:val="14"/>
                <w:b w:val="1"/>
                <w:bCs w:val="1"/>
                <w:color w:val="auto"/>
                <w:w w:val="99"/>
              </w:rPr>
              <w:t>($)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jc w:val="center"/>
        <w:ind w:right="2080"/>
        <w:spacing w:after="0"/>
        <w:rPr>
          <w:sz w:val="20"/>
          <w:szCs w:val="20"/>
          <w:color w:val="auto"/>
        </w:rPr>
      </w:pPr>
      <w:r>
        <w:rPr>
          <w:rFonts w:ascii="Arial" w:cs="Arial" w:eastAsia="Arial" w:hAnsi="Arial"/>
          <w:sz w:val="14"/>
          <w:szCs w:val="14"/>
          <w:b w:val="1"/>
          <w:bCs w:val="1"/>
          <w:color w:val="auto"/>
        </w:rPr>
        <w:t>Value of Initial Fixed $100</w:t>
      </w:r>
    </w:p>
    <w:p>
      <w:pPr>
        <w:spacing w:after="0" w:line="4" w:lineRule="exact"/>
        <w:rPr>
          <w:sz w:val="20"/>
          <w:szCs w:val="20"/>
          <w:color w:val="auto"/>
        </w:rPr>
      </w:pPr>
    </w:p>
    <w:p>
      <w:pPr>
        <w:jc w:val="center"/>
        <w:ind w:right="2080"/>
        <w:spacing w:after="0"/>
        <w:rPr>
          <w:sz w:val="20"/>
          <w:szCs w:val="20"/>
          <w:color w:val="auto"/>
        </w:rPr>
      </w:pPr>
      <w:r>
        <w:rPr>
          <w:rFonts w:ascii="Arial" w:cs="Arial" w:eastAsia="Arial" w:hAnsi="Arial"/>
          <w:sz w:val="14"/>
          <w:szCs w:val="14"/>
          <w:b w:val="1"/>
          <w:bCs w:val="1"/>
          <w:color w:val="auto"/>
        </w:rPr>
        <w:t>Investment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13335</wp:posOffset>
            </wp:positionV>
            <wp:extent cx="132016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5"/>
              </w:rPr>
              <w:t>Total</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Peer Group</w:t>
            </w:r>
          </w:p>
        </w:tc>
        <w:tc>
          <w:tcPr>
            <w:tcW w:w="1080" w:type="dxa"/>
            <w:vAlign w:val="bottom"/>
          </w:tcPr>
          <w:p>
            <w:pPr>
              <w:spacing w:after="0"/>
              <w:rPr>
                <w:sz w:val="14"/>
                <w:szCs w:val="14"/>
                <w:color w:val="auto"/>
              </w:rPr>
            </w:pPr>
          </w:p>
        </w:tc>
        <w:tc>
          <w:tcPr>
            <w:tcW w:w="74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44"/>
        </w:trPr>
        <w:tc>
          <w:tcPr>
            <w:tcW w:w="940" w:type="dxa"/>
            <w:vAlign w:val="bottom"/>
            <w:vMerge w:val="continue"/>
          </w:tcPr>
          <w:p>
            <w:pPr>
              <w:spacing w:after="0"/>
              <w:rPr>
                <w:sz w:val="12"/>
                <w:szCs w:val="12"/>
                <w:color w:val="auto"/>
              </w:rPr>
            </w:pPr>
          </w:p>
        </w:tc>
        <w:tc>
          <w:tcPr>
            <w:tcW w:w="10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Total</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Net Income</w:t>
            </w: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2"/>
              </w:rPr>
              <w:t>Shareholder</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Shareholder</w:t>
            </w:r>
          </w:p>
        </w:tc>
        <w:tc>
          <w:tcPr>
            <w:tcW w:w="1080" w:type="dxa"/>
            <w:vAlign w:val="bottom"/>
            <w:vMerge w:val="continue"/>
          </w:tcPr>
          <w:p>
            <w:pPr>
              <w:spacing w:after="0"/>
              <w:rPr>
                <w:sz w:val="12"/>
                <w:szCs w:val="12"/>
                <w:color w:val="auto"/>
              </w:rPr>
            </w:pPr>
          </w:p>
        </w:tc>
        <w:tc>
          <w:tcPr>
            <w:tcW w:w="74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4"/>
              </w:rPr>
              <w:t>Income (in</w:t>
            </w:r>
          </w:p>
        </w:tc>
        <w:tc>
          <w:tcPr>
            <w:tcW w:w="0" w:type="dxa"/>
            <w:vAlign w:val="bottom"/>
          </w:tcPr>
          <w:p>
            <w:pPr>
              <w:spacing w:after="0"/>
              <w:rPr>
                <w:sz w:val="1"/>
                <w:szCs w:val="1"/>
                <w:color w:val="auto"/>
              </w:rPr>
            </w:pPr>
          </w:p>
        </w:tc>
      </w:tr>
      <w:tr>
        <w:trPr>
          <w:trHeight w:val="190"/>
        </w:trPr>
        <w:tc>
          <w:tcPr>
            <w:tcW w:w="94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Return ($) (4)</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Return ($) (4)</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jc w:val="center"/>
              <w:ind w:left="8"/>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980" w:space="300"/>
            <w:col w:w="39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68"/>
        </w:trPr>
        <w:tc>
          <w:tcPr>
            <w:tcW w:w="48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w w:val="96"/>
              </w:rPr>
              <w:t>2023</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3,242,497</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gridSpan w:val="3"/>
            <w:shd w:val="clear" w:color="auto" w:fill="CCEEFF"/>
          </w:tcPr>
          <w:p>
            <w:pPr>
              <w:ind w:left="560"/>
              <w:spacing w:after="0"/>
              <w:rPr>
                <w:sz w:val="20"/>
                <w:szCs w:val="20"/>
                <w:color w:val="auto"/>
              </w:rPr>
            </w:pPr>
            <w:r>
              <w:rPr>
                <w:rFonts w:ascii="Arial" w:cs="Arial" w:eastAsia="Arial" w:hAnsi="Arial"/>
                <w:sz w:val="14"/>
                <w:szCs w:val="14"/>
                <w:color w:val="auto"/>
              </w:rPr>
              <w:t>—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3,538,707</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gridSpan w:val="3"/>
            <w:shd w:val="clear" w:color="auto" w:fill="CCEEFF"/>
          </w:tcPr>
          <w:p>
            <w:pPr>
              <w:ind w:left="540"/>
              <w:spacing w:after="0"/>
              <w:rPr>
                <w:sz w:val="20"/>
                <w:szCs w:val="20"/>
                <w:color w:val="auto"/>
              </w:rPr>
            </w:pPr>
            <w:r>
              <w:rPr>
                <w:rFonts w:ascii="Arial" w:cs="Arial" w:eastAsia="Arial" w:hAnsi="Arial"/>
                <w:sz w:val="14"/>
                <w:szCs w:val="14"/>
                <w:color w:val="auto"/>
              </w:rPr>
              <w:t>—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1,451,355</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1,168,258</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44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174,857</w:t>
            </w:r>
          </w:p>
        </w:tc>
        <w:tc>
          <w:tcPr>
            <w:tcW w:w="2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225,213</w:t>
            </w:r>
          </w:p>
        </w:tc>
      </w:tr>
      <w:tr>
        <w:trPr>
          <w:trHeight w:val="182"/>
        </w:trPr>
        <w:tc>
          <w:tcPr>
            <w:tcW w:w="480" w:type="dxa"/>
            <w:vAlign w:val="bottom"/>
          </w:tcPr>
          <w:p>
            <w:pPr>
              <w:jc w:val="right"/>
              <w:ind w:right="88"/>
              <w:spacing w:after="0"/>
              <w:rPr>
                <w:sz w:val="20"/>
                <w:szCs w:val="20"/>
                <w:color w:val="auto"/>
              </w:rPr>
            </w:pPr>
            <w:r>
              <w:rPr>
                <w:rFonts w:ascii="Arial" w:cs="Arial" w:eastAsia="Arial" w:hAnsi="Arial"/>
                <w:sz w:val="14"/>
                <w:szCs w:val="14"/>
                <w:color w:val="auto"/>
                <w:w w:val="96"/>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3,968,554</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5,196,015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3,495,286</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1,943,107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1,033,900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737,420</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w:t>
            </w:r>
          </w:p>
        </w:tc>
        <w:tc>
          <w:tcPr>
            <w:tcW w:w="4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149,979</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193,012</w:t>
            </w:r>
          </w:p>
        </w:tc>
      </w:tr>
      <w:tr>
        <w:trPr>
          <w:trHeight w:val="20"/>
        </w:trPr>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2"/>
        </w:trPr>
        <w:tc>
          <w:tcPr>
            <w:tcW w:w="4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6"/>
              </w:rPr>
              <w:t>2021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6,006,185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7,053,521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1,454,883</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1,664,845</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129,659</w:t>
            </w: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167,127</w:t>
            </w:r>
          </w:p>
        </w:tc>
      </w:tr>
      <w:tr>
        <w:trPr>
          <w:trHeight w:val="20"/>
        </w:trPr>
        <w:tc>
          <w:tcPr>
            <w:tcW w:w="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bl>
    <w:p>
      <w:pPr>
        <w:spacing w:after="0" w:line="242" w:lineRule="exact"/>
        <w:rPr>
          <w:sz w:val="20"/>
          <w:szCs w:val="20"/>
          <w:color w:val="auto"/>
        </w:rPr>
      </w:pPr>
    </w:p>
    <w:p>
      <w:pPr>
        <w:jc w:val="both"/>
        <w:ind w:left="660" w:hanging="328"/>
        <w:spacing w:after="0" w:line="255" w:lineRule="auto"/>
        <w:tabs>
          <w:tab w:leader="none" w:pos="654"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fiscal 2022, J. Michael Nauman retired as the Company's PEO effective April 1, 2022. Effective that same day, Russell R. Shaller was appointed the Company's new PEO. Compensation information is provided separately for each PEO. Mr. Nauman was also the Company's PEO for fiscal 2021.</w:t>
      </w:r>
    </w:p>
    <w:p>
      <w:pPr>
        <w:spacing w:after="0" w:line="2" w:lineRule="exact"/>
        <w:rPr>
          <w:rFonts w:ascii="Arial" w:cs="Arial" w:eastAsia="Arial" w:hAnsi="Arial"/>
          <w:sz w:val="18"/>
          <w:szCs w:val="18"/>
          <w:color w:val="auto"/>
        </w:rPr>
      </w:pPr>
    </w:p>
    <w:p>
      <w:pPr>
        <w:ind w:left="640" w:hanging="308"/>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Company's non-PEO NEOs for each fiscal year were as follows: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2023: Ann E. Thornton, Olivier Bojarski, Bentley N. Curran, Andrew T. Gorman, Pascal Deman, and Aaron J. Pearce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2022: Aaron J. Pearce, Bentley N. Curran, Pascal Deman, Andrew T. Gorman, and Helena R. Nelligan</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2021: Aaron J. Pearce, Bentley N. Curran, Helena R. Nelligan, and Russell R. Shaller</w:t>
      </w:r>
    </w:p>
    <w:p>
      <w:pPr>
        <w:spacing w:after="0" w:line="9" w:lineRule="exact"/>
        <w:rPr>
          <w:sz w:val="20"/>
          <w:szCs w:val="20"/>
          <w:color w:val="auto"/>
        </w:rPr>
      </w:pPr>
    </w:p>
    <w:p>
      <w:pPr>
        <w:jc w:val="both"/>
        <w:ind w:left="660" w:hanging="328"/>
        <w:spacing w:after="0" w:line="255" w:lineRule="auto"/>
        <w:tabs>
          <w:tab w:leader="none" w:pos="65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amounts shown for CAP have been calculated in accordance with Item 402(v) of Regulation S-K and do not reflect compensation actually realized or received by the Company’s NEOs. These amounts reflect total compensation as set forth in the Summary Compensation Table above for each year, adjusted as described in the reconciliation tables below.</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57" w:lineRule="auto"/>
        <w:tabs>
          <w:tab w:leader="none" w:pos="65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Peer Group TSR set forth in this table utilizes the S&amp;P SmallCap 600 Industrials Index, which we also utilize in the stock performance graph required by Item 201(e) of Regulation S-K included in Item 5. Market for Registrant’s Common Equity, Related Stockholder Matters and Issuer Purchases of Equity Securities above. The comparison assumes $100 was invested for the period starting July 31, 2019, through the end of the listed year in the Company and in the S&amp;P SmallCap 600 Industrials Index, respectively. Historical stock performance is not necessarily indicative of future stock performance.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PEO SCT Total to CAP Reconciliation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4"/>
                <w:szCs w:val="14"/>
                <w:i w:val="1"/>
                <w:iCs w:val="1"/>
                <w:color w:val="auto"/>
                <w:w w:val="89"/>
              </w:rPr>
              <w:t>Less:</w:t>
            </w:r>
          </w:p>
        </w:tc>
        <w:tc>
          <w:tcPr>
            <w:tcW w:w="420" w:type="dxa"/>
            <w:vAlign w:val="bottom"/>
          </w:tcPr>
          <w:p>
            <w:pPr>
              <w:spacing w:after="0"/>
              <w:rPr>
                <w:sz w:val="14"/>
                <w:szCs w:val="14"/>
                <w:color w:val="auto"/>
              </w:rPr>
            </w:pPr>
          </w:p>
        </w:tc>
        <w:tc>
          <w:tcPr>
            <w:tcW w:w="1480" w:type="dxa"/>
            <w:vAlign w:val="bottom"/>
            <w:gridSpan w:val="2"/>
          </w:tcPr>
          <w:p>
            <w:pPr>
              <w:jc w:val="center"/>
              <w:ind w:right="520"/>
              <w:spacing w:after="0"/>
              <w:rPr>
                <w:sz w:val="20"/>
                <w:szCs w:val="20"/>
                <w:color w:val="auto"/>
              </w:rPr>
            </w:pPr>
            <w:r>
              <w:rPr>
                <w:rFonts w:ascii="Arial" w:cs="Arial" w:eastAsia="Arial" w:hAnsi="Arial"/>
                <w:sz w:val="14"/>
                <w:szCs w:val="14"/>
                <w:i w:val="1"/>
                <w:iCs w:val="1"/>
                <w:color w:val="auto"/>
              </w:rPr>
              <w:t>Plus:</w:t>
            </w:r>
          </w:p>
        </w:tc>
        <w:tc>
          <w:tcPr>
            <w:tcW w:w="3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94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Year</w:t>
            </w:r>
          </w:p>
        </w:tc>
        <w:tc>
          <w:tcPr>
            <w:tcW w:w="18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PEO Name</w:t>
            </w:r>
          </w:p>
        </w:tc>
        <w:tc>
          <w:tcPr>
            <w:tcW w:w="320" w:type="dxa"/>
            <w:vAlign w:val="bottom"/>
          </w:tcPr>
          <w:p>
            <w:pPr>
              <w:spacing w:after="0"/>
              <w:rPr>
                <w:sz w:val="12"/>
                <w:szCs w:val="12"/>
                <w:color w:val="auto"/>
              </w:rPr>
            </w:pPr>
          </w:p>
        </w:tc>
        <w:tc>
          <w:tcPr>
            <w:tcW w:w="15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SCT Total</w:t>
            </w:r>
          </w:p>
        </w:tc>
        <w:tc>
          <w:tcPr>
            <w:tcW w:w="80" w:type="dxa"/>
            <w:vAlign w:val="bottom"/>
          </w:tcPr>
          <w:p>
            <w:pPr>
              <w:spacing w:after="0"/>
              <w:rPr>
                <w:sz w:val="12"/>
                <w:szCs w:val="12"/>
                <w:color w:val="auto"/>
              </w:rPr>
            </w:pPr>
          </w:p>
        </w:tc>
        <w:tc>
          <w:tcPr>
            <w:tcW w:w="17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3"/>
              </w:rPr>
              <w:t>Reported Value of Equity</w:t>
            </w:r>
          </w:p>
        </w:tc>
        <w:tc>
          <w:tcPr>
            <w:tcW w:w="190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w w:val="94"/>
              </w:rPr>
              <w:t>Equity Award Adjustments</w:t>
            </w:r>
          </w:p>
        </w:tc>
        <w:tc>
          <w:tcPr>
            <w:tcW w:w="300" w:type="dxa"/>
            <w:vAlign w:val="bottom"/>
          </w:tcPr>
          <w:p>
            <w:pPr>
              <w:spacing w:after="0"/>
              <w:rPr>
                <w:sz w:val="12"/>
                <w:szCs w:val="12"/>
                <w:color w:val="auto"/>
              </w:rPr>
            </w:pPr>
          </w:p>
        </w:tc>
        <w:tc>
          <w:tcPr>
            <w:tcW w:w="148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CAP to PEO</w:t>
            </w:r>
          </w:p>
        </w:tc>
        <w:tc>
          <w:tcPr>
            <w:tcW w:w="0" w:type="dxa"/>
            <w:vAlign w:val="bottom"/>
          </w:tcPr>
          <w:p>
            <w:pPr>
              <w:spacing w:after="0"/>
              <w:rPr>
                <w:sz w:val="1"/>
                <w:szCs w:val="1"/>
                <w:color w:val="auto"/>
              </w:rPr>
            </w:pPr>
          </w:p>
        </w:tc>
      </w:tr>
      <w:tr>
        <w:trPr>
          <w:trHeight w:val="196"/>
        </w:trPr>
        <w:tc>
          <w:tcPr>
            <w:tcW w:w="1940" w:type="dxa"/>
            <w:vAlign w:val="bottom"/>
            <w:gridSpan w:val="2"/>
            <w:vMerge w:val="continue"/>
          </w:tcPr>
          <w:p>
            <w:pPr>
              <w:spacing w:after="0"/>
              <w:rPr>
                <w:sz w:val="17"/>
                <w:szCs w:val="17"/>
                <w:color w:val="auto"/>
              </w:rPr>
            </w:pPr>
          </w:p>
        </w:tc>
        <w:tc>
          <w:tcPr>
            <w:tcW w:w="188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Awards (1)</w:t>
            </w:r>
          </w:p>
        </w:tc>
        <w:tc>
          <w:tcPr>
            <w:tcW w:w="420" w:type="dxa"/>
            <w:vAlign w:val="bottom"/>
          </w:tcPr>
          <w:p>
            <w:pPr>
              <w:spacing w:after="0"/>
              <w:rPr>
                <w:sz w:val="17"/>
                <w:szCs w:val="17"/>
                <w:color w:val="auto"/>
              </w:rPr>
            </w:pPr>
          </w:p>
        </w:tc>
        <w:tc>
          <w:tcPr>
            <w:tcW w:w="1360" w:type="dxa"/>
            <w:vAlign w:val="bottom"/>
          </w:tcPr>
          <w:p>
            <w:pPr>
              <w:jc w:val="center"/>
              <w:ind w:right="328"/>
              <w:spacing w:after="0"/>
              <w:rPr>
                <w:sz w:val="20"/>
                <w:szCs w:val="20"/>
                <w:color w:val="auto"/>
              </w:rPr>
            </w:pPr>
            <w:r>
              <w:rPr>
                <w:rFonts w:ascii="Arial" w:cs="Arial" w:eastAsia="Arial" w:hAnsi="Arial"/>
                <w:sz w:val="14"/>
                <w:szCs w:val="14"/>
                <w:b w:val="1"/>
                <w:bCs w:val="1"/>
                <w:color w:val="auto"/>
                <w:w w:val="93"/>
              </w:rPr>
              <w:t>(2)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40" w:type="dxa"/>
            <w:vAlign w:val="bottom"/>
            <w:tcBorders>
              <w:top w:val="single" w:sz="8" w:color="auto"/>
              <w:bottom w:val="single" w:sz="8" w:color="CCEEFF"/>
            </w:tcBorders>
            <w:shd w:val="clear" w:color="auto" w:fill="CCEEFF"/>
          </w:tcPr>
          <w:p>
            <w:pPr>
              <w:jc w:val="right"/>
              <w:ind w:right="1448"/>
              <w:spacing w:after="0"/>
              <w:rPr>
                <w:sz w:val="20"/>
                <w:szCs w:val="20"/>
                <w:color w:val="auto"/>
              </w:rPr>
            </w:pPr>
            <w:r>
              <w:rPr>
                <w:rFonts w:ascii="Arial" w:cs="Arial" w:eastAsia="Arial" w:hAnsi="Arial"/>
                <w:sz w:val="14"/>
                <w:szCs w:val="14"/>
                <w:color w:val="auto"/>
                <w:w w:val="96"/>
              </w:rPr>
              <w:t>2023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7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Russell R. Shaller</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3,242,497</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1,164,390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1,460,600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CCEEFF"/>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3,538,707</w:t>
            </w:r>
          </w:p>
        </w:tc>
        <w:tc>
          <w:tcPr>
            <w:tcW w:w="0" w:type="dxa"/>
            <w:vAlign w:val="bottom"/>
          </w:tcPr>
          <w:p>
            <w:pPr>
              <w:spacing w:after="0"/>
              <w:rPr>
                <w:sz w:val="1"/>
                <w:szCs w:val="1"/>
                <w:color w:val="auto"/>
              </w:rPr>
            </w:pPr>
          </w:p>
        </w:tc>
      </w:tr>
      <w:tr>
        <w:trPr>
          <w:trHeight w:val="182"/>
        </w:trPr>
        <w:tc>
          <w:tcPr>
            <w:tcW w:w="1840" w:type="dxa"/>
            <w:vAlign w:val="bottom"/>
          </w:tcPr>
          <w:p>
            <w:pPr>
              <w:jc w:val="right"/>
              <w:ind w:right="1448"/>
              <w:spacing w:after="0"/>
              <w:rPr>
                <w:sz w:val="20"/>
                <w:szCs w:val="20"/>
                <w:color w:val="auto"/>
              </w:rPr>
            </w:pPr>
            <w:r>
              <w:rPr>
                <w:rFonts w:ascii="Arial" w:cs="Arial" w:eastAsia="Arial" w:hAnsi="Arial"/>
                <w:sz w:val="14"/>
                <w:szCs w:val="14"/>
                <w:color w:val="auto"/>
                <w:w w:val="96"/>
              </w:rPr>
              <w:t>2022</w:t>
            </w:r>
          </w:p>
        </w:tc>
        <w:tc>
          <w:tcPr>
            <w:tcW w:w="100" w:type="dxa"/>
            <w:vAlign w:val="bottom"/>
          </w:tcPr>
          <w:p>
            <w:pPr>
              <w:spacing w:after="0"/>
              <w:rPr>
                <w:sz w:val="15"/>
                <w:szCs w:val="15"/>
                <w:color w:val="auto"/>
              </w:rPr>
            </w:pPr>
          </w:p>
        </w:tc>
        <w:tc>
          <w:tcPr>
            <w:tcW w:w="1880" w:type="dxa"/>
            <w:vAlign w:val="bottom"/>
            <w:gridSpan w:val="2"/>
          </w:tcPr>
          <w:p>
            <w:pPr>
              <w:ind w:left="20"/>
              <w:spacing w:after="0"/>
              <w:rPr>
                <w:sz w:val="20"/>
                <w:szCs w:val="20"/>
                <w:color w:val="auto"/>
              </w:rPr>
            </w:pPr>
            <w:r>
              <w:rPr>
                <w:rFonts w:ascii="Arial" w:cs="Arial" w:eastAsia="Arial" w:hAnsi="Arial"/>
                <w:sz w:val="14"/>
                <w:szCs w:val="14"/>
                <w:color w:val="auto"/>
              </w:rPr>
              <w:t>Russell R. Shaller</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3,968,554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2,608,892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2,135,624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3,495,286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40" w:type="dxa"/>
            <w:vAlign w:val="bottom"/>
            <w:tcBorders>
              <w:bottom w:val="single" w:sz="8" w:color="CCEEFF"/>
            </w:tcBorders>
            <w:shd w:val="clear" w:color="auto" w:fill="CCEEFF"/>
          </w:tcPr>
          <w:p>
            <w:pPr>
              <w:jc w:val="right"/>
              <w:ind w:right="1448"/>
              <w:spacing w:after="0"/>
              <w:rPr>
                <w:sz w:val="20"/>
                <w:szCs w:val="20"/>
                <w:color w:val="auto"/>
              </w:rPr>
            </w:pPr>
            <w:r>
              <w:rPr>
                <w:rFonts w:ascii="Arial" w:cs="Arial" w:eastAsia="Arial" w:hAnsi="Arial"/>
                <w:sz w:val="14"/>
                <w:szCs w:val="14"/>
                <w:color w:val="auto"/>
                <w:w w:val="96"/>
              </w:rPr>
              <w:t>2022</w:t>
            </w:r>
          </w:p>
        </w:tc>
        <w:tc>
          <w:tcPr>
            <w:tcW w:w="100" w:type="dxa"/>
            <w:vAlign w:val="bottom"/>
            <w:tcBorders>
              <w:bottom w:val="single" w:sz="8" w:color="CCEEFF"/>
            </w:tcBorders>
            <w:shd w:val="clear" w:color="auto" w:fill="CCEEFF"/>
          </w:tcPr>
          <w:p>
            <w:pPr>
              <w:spacing w:after="0"/>
              <w:rPr>
                <w:sz w:val="15"/>
                <w:szCs w:val="15"/>
                <w:color w:val="auto"/>
              </w:rPr>
            </w:pP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 Michael Nauman</w:t>
            </w:r>
          </w:p>
        </w:tc>
        <w:tc>
          <w:tcPr>
            <w:tcW w:w="32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5,196,015</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3,319,962</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67,054</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1,943,107</w:t>
            </w:r>
          </w:p>
        </w:tc>
        <w:tc>
          <w:tcPr>
            <w:tcW w:w="0" w:type="dxa"/>
            <w:vAlign w:val="bottom"/>
          </w:tcPr>
          <w:p>
            <w:pPr>
              <w:spacing w:after="0"/>
              <w:rPr>
                <w:sz w:val="1"/>
                <w:szCs w:val="1"/>
                <w:color w:val="auto"/>
              </w:rPr>
            </w:pPr>
          </w:p>
        </w:tc>
      </w:tr>
      <w:tr>
        <w:trPr>
          <w:trHeight w:val="182"/>
        </w:trPr>
        <w:tc>
          <w:tcPr>
            <w:tcW w:w="1840" w:type="dxa"/>
            <w:vAlign w:val="bottom"/>
          </w:tcPr>
          <w:p>
            <w:pPr>
              <w:jc w:val="right"/>
              <w:ind w:right="1448"/>
              <w:spacing w:after="0"/>
              <w:rPr>
                <w:sz w:val="20"/>
                <w:szCs w:val="20"/>
                <w:color w:val="auto"/>
              </w:rPr>
            </w:pPr>
            <w:r>
              <w:rPr>
                <w:rFonts w:ascii="Arial" w:cs="Arial" w:eastAsia="Arial" w:hAnsi="Arial"/>
                <w:sz w:val="14"/>
                <w:szCs w:val="14"/>
                <w:color w:val="auto"/>
                <w:w w:val="96"/>
              </w:rPr>
              <w:t>2021</w:t>
            </w:r>
          </w:p>
        </w:tc>
        <w:tc>
          <w:tcPr>
            <w:tcW w:w="100" w:type="dxa"/>
            <w:vAlign w:val="bottom"/>
          </w:tcPr>
          <w:p>
            <w:pPr>
              <w:spacing w:after="0"/>
              <w:rPr>
                <w:sz w:val="15"/>
                <w:szCs w:val="15"/>
                <w:color w:val="auto"/>
              </w:rPr>
            </w:pPr>
          </w:p>
        </w:tc>
        <w:tc>
          <w:tcPr>
            <w:tcW w:w="1880" w:type="dxa"/>
            <w:vAlign w:val="bottom"/>
            <w:gridSpan w:val="2"/>
          </w:tcPr>
          <w:p>
            <w:pPr>
              <w:ind w:left="20"/>
              <w:spacing w:after="0"/>
              <w:rPr>
                <w:sz w:val="20"/>
                <w:szCs w:val="20"/>
                <w:color w:val="auto"/>
              </w:rPr>
            </w:pPr>
            <w:r>
              <w:rPr>
                <w:rFonts w:ascii="Arial" w:cs="Arial" w:eastAsia="Arial" w:hAnsi="Arial"/>
                <w:sz w:val="14"/>
                <w:szCs w:val="14"/>
                <w:color w:val="auto"/>
              </w:rPr>
              <w:t>J. Michael Nauman</w:t>
            </w:r>
          </w:p>
        </w:tc>
        <w:tc>
          <w:tcPr>
            <w:tcW w:w="3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6,006,185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3,303,853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4,351,189</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7,053,521</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both"/>
        <w:ind w:left="660" w:hanging="328"/>
        <w:spacing w:after="0" w:line="255" w:lineRule="auto"/>
        <w:tabs>
          <w:tab w:leader="none" w:pos="654"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reported value of equity awards represents the grant date fair value of equity-based awards granted each year. The total of the amounts reported in this column are the totals from the “Stock Awards” and “Option Awards” columns in the Summary Compensation Table for each applicable year.</w:t>
      </w:r>
    </w:p>
    <w:p>
      <w:pPr>
        <w:spacing w:after="0" w:line="2" w:lineRule="exact"/>
        <w:rPr>
          <w:rFonts w:ascii="Arial" w:cs="Arial" w:eastAsia="Arial" w:hAnsi="Arial"/>
          <w:sz w:val="18"/>
          <w:szCs w:val="18"/>
          <w:color w:val="auto"/>
        </w:rPr>
      </w:pPr>
    </w:p>
    <w:p>
      <w:pPr>
        <w:jc w:val="both"/>
        <w:ind w:left="660" w:hanging="328"/>
        <w:spacing w:after="0" w:line="302" w:lineRule="auto"/>
        <w:tabs>
          <w:tab w:leader="none" w:pos="654"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equity award adjustments reflects the value of equity calculated in accordance with the SEC methodology for determining CAP for each year shown. These equity award adjustments are set forth in the PEO Equity Award Adjustments table below. For the equity values included in the below table, the valuation assumptions used to calculate fair values did not materially differ from those disclosed at the time of the grant.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PEO Equity Award Adjustments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Fair Value of</w:t>
            </w:r>
          </w:p>
        </w:tc>
        <w:tc>
          <w:tcPr>
            <w:tcW w:w="100" w:type="dxa"/>
            <w:vAlign w:val="bottom"/>
          </w:tcPr>
          <w:p>
            <w:pPr>
              <w:spacing w:after="0"/>
              <w:rPr>
                <w:sz w:val="14"/>
                <w:szCs w:val="14"/>
                <w:color w:val="auto"/>
              </w:rPr>
            </w:pPr>
          </w:p>
        </w:tc>
        <w:tc>
          <w:tcPr>
            <w:tcW w:w="14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Year over Year</w:t>
            </w:r>
          </w:p>
        </w:tc>
        <w:tc>
          <w:tcPr>
            <w:tcW w:w="12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over Year</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Fair Value of Awards</w:t>
            </w: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Change in Fair Value</w:t>
            </w:r>
          </w:p>
        </w:tc>
        <w:tc>
          <w:tcPr>
            <w:tcW w:w="14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3"/>
            <w:vMerge w:val="restart"/>
          </w:tcPr>
          <w:p>
            <w:pPr>
              <w:jc w:val="center"/>
              <w:ind w:right="348"/>
              <w:spacing w:after="0"/>
              <w:rPr>
                <w:sz w:val="20"/>
                <w:szCs w:val="20"/>
                <w:color w:val="auto"/>
              </w:rPr>
            </w:pPr>
            <w:r>
              <w:rPr>
                <w:rFonts w:ascii="Arial" w:cs="Arial" w:eastAsia="Arial" w:hAnsi="Arial"/>
                <w:sz w:val="14"/>
                <w:szCs w:val="14"/>
                <w:b w:val="1"/>
                <w:bCs w:val="1"/>
                <w:color w:val="auto"/>
                <w:w w:val="97"/>
              </w:rPr>
              <w:t>Incremental Fair</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Outstanding and</w:t>
            </w:r>
          </w:p>
        </w:tc>
        <w:tc>
          <w:tcPr>
            <w:tcW w:w="15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Change in Fair Value</w:t>
            </w: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of Equity Awards</w:t>
            </w:r>
          </w:p>
        </w:tc>
        <w:tc>
          <w:tcPr>
            <w:tcW w:w="120" w:type="dxa"/>
            <w:vAlign w:val="bottom"/>
          </w:tcPr>
          <w:p>
            <w:pPr>
              <w:spacing w:after="0"/>
              <w:rPr>
                <w:sz w:val="11"/>
                <w:szCs w:val="11"/>
                <w:color w:val="auto"/>
              </w:rPr>
            </w:pPr>
          </w:p>
        </w:tc>
        <w:tc>
          <w:tcPr>
            <w:tcW w:w="13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Granted in Prior</w:t>
            </w:r>
          </w:p>
        </w:tc>
        <w:tc>
          <w:tcPr>
            <w:tcW w:w="14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Unvested Equity</w:t>
            </w:r>
          </w:p>
        </w:tc>
        <w:tc>
          <w:tcPr>
            <w:tcW w:w="100" w:type="dxa"/>
            <w:vAlign w:val="bottom"/>
          </w:tcPr>
          <w:p>
            <w:pPr>
              <w:spacing w:after="0"/>
              <w:rPr>
                <w:sz w:val="12"/>
                <w:szCs w:val="12"/>
                <w:color w:val="auto"/>
              </w:rPr>
            </w:pPr>
          </w:p>
        </w:tc>
        <w:tc>
          <w:tcPr>
            <w:tcW w:w="14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of Outstanding and</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Granted in Prior</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Years that were</w:t>
            </w:r>
          </w:p>
        </w:tc>
        <w:tc>
          <w:tcPr>
            <w:tcW w:w="140" w:type="dxa"/>
            <w:vAlign w:val="bottom"/>
          </w:tcPr>
          <w:p>
            <w:pPr>
              <w:spacing w:after="0"/>
              <w:rPr>
                <w:sz w:val="12"/>
                <w:szCs w:val="12"/>
                <w:color w:val="auto"/>
              </w:rPr>
            </w:pPr>
          </w:p>
        </w:tc>
        <w:tc>
          <w:tcPr>
            <w:tcW w:w="1520" w:type="dxa"/>
            <w:vAlign w:val="bottom"/>
            <w:gridSpan w:val="3"/>
          </w:tcPr>
          <w:p>
            <w:pPr>
              <w:jc w:val="center"/>
              <w:ind w:right="348"/>
              <w:spacing w:after="0" w:line="149" w:lineRule="exact"/>
              <w:rPr>
                <w:sz w:val="20"/>
                <w:szCs w:val="20"/>
                <w:color w:val="auto"/>
              </w:rPr>
            </w:pPr>
            <w:r>
              <w:rPr>
                <w:rFonts w:ascii="Arial" w:cs="Arial" w:eastAsia="Arial" w:hAnsi="Arial"/>
                <w:sz w:val="14"/>
                <w:szCs w:val="14"/>
                <w:b w:val="1"/>
                <w:bCs w:val="1"/>
                <w:color w:val="auto"/>
                <w:w w:val="93"/>
              </w:rPr>
              <w:t>Value of Awards</w:t>
            </w:r>
          </w:p>
        </w:tc>
        <w:tc>
          <w:tcPr>
            <w:tcW w:w="12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Equity Award</w:t>
            </w:r>
          </w:p>
        </w:tc>
        <w:tc>
          <w:tcPr>
            <w:tcW w:w="0" w:type="dxa"/>
            <w:vAlign w:val="bottom"/>
          </w:tcPr>
          <w:p>
            <w:pPr>
              <w:spacing w:after="0"/>
              <w:rPr>
                <w:sz w:val="1"/>
                <w:szCs w:val="1"/>
                <w:color w:val="auto"/>
              </w:rPr>
            </w:pPr>
          </w:p>
        </w:tc>
      </w:tr>
      <w:tr>
        <w:trPr>
          <w:trHeight w:val="149"/>
        </w:trPr>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178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PEO Name</w:t>
            </w:r>
          </w:p>
        </w:tc>
        <w:tc>
          <w:tcPr>
            <w:tcW w:w="10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 Granted in</w:t>
            </w:r>
          </w:p>
        </w:tc>
        <w:tc>
          <w:tcPr>
            <w:tcW w:w="10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Unvested Equity</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Years that Vested in</w:t>
            </w: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Forfeited During the</w:t>
            </w:r>
          </w:p>
        </w:tc>
        <w:tc>
          <w:tcPr>
            <w:tcW w:w="1660" w:type="dxa"/>
            <w:vAlign w:val="bottom"/>
            <w:gridSpan w:val="4"/>
          </w:tcPr>
          <w:p>
            <w:pPr>
              <w:jc w:val="right"/>
              <w:ind w:right="268"/>
              <w:spacing w:after="0" w:line="149" w:lineRule="exact"/>
              <w:rPr>
                <w:sz w:val="20"/>
                <w:szCs w:val="20"/>
                <w:color w:val="auto"/>
              </w:rPr>
            </w:pPr>
            <w:r>
              <w:rPr>
                <w:rFonts w:ascii="Arial" w:cs="Arial" w:eastAsia="Arial" w:hAnsi="Arial"/>
                <w:sz w:val="14"/>
                <w:szCs w:val="14"/>
                <w:b w:val="1"/>
                <w:bCs w:val="1"/>
                <w:color w:val="auto"/>
                <w:w w:val="98"/>
              </w:rPr>
              <w:t>Modified During the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0" w:type="dxa"/>
            <w:vAlign w:val="bottom"/>
            <w:gridSpan w:val="2"/>
            <w:vMerge w:val="continue"/>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the Year</w:t>
            </w:r>
          </w:p>
        </w:tc>
        <w:tc>
          <w:tcPr>
            <w:tcW w:w="100" w:type="dxa"/>
            <w:vAlign w:val="bottom"/>
          </w:tcPr>
          <w:p>
            <w:pPr>
              <w:spacing w:after="0"/>
              <w:rPr>
                <w:sz w:val="17"/>
                <w:szCs w:val="17"/>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the Year</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Year</w:t>
            </w:r>
          </w:p>
        </w:tc>
        <w:tc>
          <w:tcPr>
            <w:tcW w:w="140" w:type="dxa"/>
            <w:vAlign w:val="bottom"/>
          </w:tcPr>
          <w:p>
            <w:pPr>
              <w:spacing w:after="0"/>
              <w:rPr>
                <w:sz w:val="17"/>
                <w:szCs w:val="17"/>
                <w:color w:val="auto"/>
              </w:rPr>
            </w:pPr>
          </w:p>
        </w:tc>
        <w:tc>
          <w:tcPr>
            <w:tcW w:w="1520" w:type="dxa"/>
            <w:vAlign w:val="bottom"/>
            <w:gridSpan w:val="3"/>
          </w:tcPr>
          <w:p>
            <w:pPr>
              <w:jc w:val="center"/>
              <w:ind w:right="348"/>
              <w:spacing w:after="0"/>
              <w:rPr>
                <w:sz w:val="20"/>
                <w:szCs w:val="20"/>
                <w:color w:val="auto"/>
              </w:rPr>
            </w:pPr>
            <w:r>
              <w:rPr>
                <w:rFonts w:ascii="Arial" w:cs="Arial" w:eastAsia="Arial" w:hAnsi="Arial"/>
                <w:sz w:val="14"/>
                <w:szCs w:val="14"/>
                <w:b w:val="1"/>
                <w:bCs w:val="1"/>
                <w:color w:val="auto"/>
                <w:w w:val="98"/>
              </w:rPr>
              <w:t>Year</w:t>
            </w:r>
          </w:p>
        </w:tc>
        <w:tc>
          <w:tcPr>
            <w:tcW w:w="1220" w:type="dxa"/>
            <w:vAlign w:val="bottom"/>
          </w:tcPr>
          <w:p>
            <w:pPr>
              <w:jc w:val="right"/>
              <w:ind w:right="228"/>
              <w:spacing w:after="0"/>
              <w:rPr>
                <w:sz w:val="20"/>
                <w:szCs w:val="20"/>
                <w:color w:val="auto"/>
              </w:rPr>
            </w:pPr>
            <w:r>
              <w:rPr>
                <w:rFonts w:ascii="Arial" w:cs="Arial" w:eastAsia="Arial" w:hAnsi="Arial"/>
                <w:sz w:val="14"/>
                <w:szCs w:val="14"/>
                <w:b w:val="1"/>
                <w:bCs w:val="1"/>
                <w:color w:val="auto"/>
              </w:rPr>
              <w:t>Adjustments</w:t>
            </w:r>
          </w:p>
        </w:tc>
        <w:tc>
          <w:tcPr>
            <w:tcW w:w="0" w:type="dxa"/>
            <w:vAlign w:val="bottom"/>
          </w:tcPr>
          <w:p>
            <w:pPr>
              <w:spacing w:after="0"/>
              <w:rPr>
                <w:sz w:val="1"/>
                <w:szCs w:val="1"/>
                <w:color w:val="auto"/>
              </w:rPr>
            </w:pPr>
          </w:p>
        </w:tc>
      </w:tr>
      <w:tr>
        <w:trPr>
          <w:trHeight w:val="183"/>
        </w:trPr>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Russell R. Shaller</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1,097,234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278,966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84,400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CCEEFF"/>
            </w:tcBorders>
            <w:shd w:val="clear" w:color="auto" w:fill="CCEEFF"/>
          </w:tcPr>
          <w:p>
            <w:pPr>
              <w:ind w:left="104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1,460,600</w:t>
            </w:r>
          </w:p>
        </w:tc>
        <w:tc>
          <w:tcPr>
            <w:tcW w:w="0" w:type="dxa"/>
            <w:vAlign w:val="bottom"/>
          </w:tcPr>
          <w:p>
            <w:pPr>
              <w:spacing w:after="0"/>
              <w:rPr>
                <w:sz w:val="1"/>
                <w:szCs w:val="1"/>
                <w:color w:val="auto"/>
              </w:rPr>
            </w:pPr>
          </w:p>
        </w:tc>
      </w:tr>
      <w:tr>
        <w:trPr>
          <w:trHeight w:val="182"/>
        </w:trPr>
        <w:tc>
          <w:tcPr>
            <w:tcW w:w="500" w:type="dxa"/>
            <w:vAlign w:val="bottom"/>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Russell R. Shaller</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2,561,417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(326,071)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(99,722)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520" w:type="dxa"/>
            <w:vAlign w:val="bottom"/>
            <w:gridSpan w:val="3"/>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2,135,624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shd w:val="clear" w:color="auto" w:fill="CCEEFF"/>
          </w:tcPr>
          <w:p>
            <w:pPr>
              <w:spacing w:after="0"/>
              <w:rPr>
                <w:sz w:val="15"/>
                <w:szCs w:val="15"/>
                <w:color w:val="auto"/>
              </w:rPr>
            </w:pPr>
          </w:p>
        </w:tc>
        <w:tc>
          <w:tcPr>
            <w:tcW w:w="1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 Michael Nauman</w:t>
            </w: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1,854,533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(1,058,794)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(385,483)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(343,202)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gridSpan w:val="3"/>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67,054</w:t>
            </w:r>
          </w:p>
        </w:tc>
        <w:tc>
          <w:tcPr>
            <w:tcW w:w="0" w:type="dxa"/>
            <w:vAlign w:val="bottom"/>
          </w:tcPr>
          <w:p>
            <w:pPr>
              <w:spacing w:after="0"/>
              <w:rPr>
                <w:sz w:val="1"/>
                <w:szCs w:val="1"/>
                <w:color w:val="auto"/>
              </w:rPr>
            </w:pPr>
          </w:p>
        </w:tc>
      </w:tr>
      <w:tr>
        <w:trPr>
          <w:trHeight w:val="182"/>
        </w:trPr>
        <w:tc>
          <w:tcPr>
            <w:tcW w:w="500" w:type="dxa"/>
            <w:vAlign w:val="bottom"/>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5"/>
                <w:szCs w:val="15"/>
                <w:color w:val="auto"/>
              </w:rPr>
            </w:pPr>
          </w:p>
        </w:tc>
        <w:tc>
          <w:tcPr>
            <w:tcW w:w="1780" w:type="dxa"/>
            <w:vAlign w:val="bottom"/>
            <w:gridSpan w:val="2"/>
          </w:tcPr>
          <w:p>
            <w:pPr>
              <w:ind w:left="20"/>
              <w:spacing w:after="0"/>
              <w:rPr>
                <w:sz w:val="20"/>
                <w:szCs w:val="20"/>
                <w:color w:val="auto"/>
              </w:rPr>
            </w:pPr>
            <w:r>
              <w:rPr>
                <w:rFonts w:ascii="Arial" w:cs="Arial" w:eastAsia="Arial" w:hAnsi="Arial"/>
                <w:sz w:val="14"/>
                <w:szCs w:val="14"/>
                <w:color w:val="auto"/>
              </w:rPr>
              <w:t>J. Michael Nauman</w:t>
            </w: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4,429,964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286,408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(365,183)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10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520" w:type="dxa"/>
            <w:vAlign w:val="bottom"/>
            <w:gridSpan w:val="3"/>
          </w:tcPr>
          <w:p>
            <w:pPr>
              <w:jc w:val="right"/>
              <w:ind w:right="2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4,351,189</w:t>
            </w:r>
          </w:p>
        </w:tc>
        <w:tc>
          <w:tcPr>
            <w:tcW w:w="0" w:type="dxa"/>
            <w:vAlign w:val="bottom"/>
          </w:tcPr>
          <w:p>
            <w:pPr>
              <w:spacing w:after="0"/>
              <w:rPr>
                <w:sz w:val="1"/>
                <w:szCs w:val="1"/>
                <w:color w:val="auto"/>
              </w:rPr>
            </w:pPr>
          </w:p>
        </w:tc>
      </w:tr>
    </w:tbl>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non-PEO NEOs (average) SCT Total to CAP Reconciliation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60" w:type="dxa"/>
            <w:vAlign w:val="bottom"/>
            <w:gridSpan w:val="2"/>
          </w:tcPr>
          <w:p>
            <w:pPr>
              <w:jc w:val="center"/>
              <w:ind w:right="620"/>
              <w:spacing w:after="0"/>
              <w:rPr>
                <w:sz w:val="20"/>
                <w:szCs w:val="20"/>
                <w:color w:val="auto"/>
              </w:rPr>
            </w:pPr>
            <w:r>
              <w:rPr>
                <w:rFonts w:ascii="Arial" w:cs="Arial" w:eastAsia="Arial" w:hAnsi="Arial"/>
                <w:sz w:val="14"/>
                <w:szCs w:val="14"/>
                <w:i w:val="1"/>
                <w:iCs w:val="1"/>
                <w:color w:val="auto"/>
                <w:w w:val="89"/>
              </w:rPr>
              <w:t>Less:</w:t>
            </w:r>
          </w:p>
        </w:tc>
        <w:tc>
          <w:tcPr>
            <w:tcW w:w="1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40" w:type="dxa"/>
            <w:vAlign w:val="bottom"/>
            <w:gridSpan w:val="2"/>
            <w:vMerge w:val="restart"/>
          </w:tcPr>
          <w:p>
            <w:pPr>
              <w:ind w:left="940"/>
              <w:spacing w:after="0"/>
              <w:rPr>
                <w:sz w:val="20"/>
                <w:szCs w:val="20"/>
                <w:color w:val="auto"/>
              </w:rPr>
            </w:pPr>
            <w:r>
              <w:rPr>
                <w:rFonts w:ascii="Arial" w:cs="Arial" w:eastAsia="Arial" w:hAnsi="Arial"/>
                <w:sz w:val="14"/>
                <w:szCs w:val="14"/>
                <w:b w:val="1"/>
                <w:bCs w:val="1"/>
                <w:color w:val="auto"/>
              </w:rPr>
              <w:t>Year</w:t>
            </w:r>
          </w:p>
        </w:tc>
        <w:tc>
          <w:tcPr>
            <w:tcW w:w="440" w:type="dxa"/>
            <w:vAlign w:val="bottom"/>
          </w:tcPr>
          <w:p>
            <w:pPr>
              <w:spacing w:after="0"/>
              <w:rPr>
                <w:sz w:val="12"/>
                <w:szCs w:val="12"/>
                <w:color w:val="auto"/>
              </w:rPr>
            </w:pPr>
          </w:p>
        </w:tc>
        <w:tc>
          <w:tcPr>
            <w:tcW w:w="18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SCT Total</w:t>
            </w:r>
          </w:p>
        </w:tc>
        <w:tc>
          <w:tcPr>
            <w:tcW w:w="22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Reported Value of Equity Awards</w:t>
            </w:r>
          </w:p>
        </w:tc>
        <w:tc>
          <w:tcPr>
            <w:tcW w:w="120" w:type="dxa"/>
            <w:vAlign w:val="bottom"/>
          </w:tcPr>
          <w:p>
            <w:pPr>
              <w:spacing w:after="0"/>
              <w:rPr>
                <w:sz w:val="12"/>
                <w:szCs w:val="12"/>
                <w:color w:val="auto"/>
              </w:rPr>
            </w:pPr>
          </w:p>
        </w:tc>
        <w:tc>
          <w:tcPr>
            <w:tcW w:w="2160" w:type="dxa"/>
            <w:vAlign w:val="bottom"/>
            <w:gridSpan w:val="2"/>
          </w:tcPr>
          <w:p>
            <w:pPr>
              <w:jc w:val="center"/>
              <w:ind w:right="220"/>
              <w:spacing w:after="0" w:line="149" w:lineRule="exact"/>
              <w:rPr>
                <w:sz w:val="20"/>
                <w:szCs w:val="20"/>
                <w:color w:val="auto"/>
              </w:rPr>
            </w:pPr>
            <w:r>
              <w:rPr>
                <w:rFonts w:ascii="Arial" w:cs="Arial" w:eastAsia="Arial" w:hAnsi="Arial"/>
                <w:sz w:val="14"/>
                <w:szCs w:val="14"/>
                <w:i w:val="1"/>
                <w:iCs w:val="1"/>
                <w:color w:val="auto"/>
                <w:w w:val="96"/>
              </w:rPr>
              <w:t>Plus:</w:t>
            </w:r>
          </w:p>
        </w:tc>
        <w:tc>
          <w:tcPr>
            <w:tcW w:w="240" w:type="dxa"/>
            <w:vAlign w:val="bottom"/>
          </w:tcPr>
          <w:p>
            <w:pPr>
              <w:spacing w:after="0"/>
              <w:rPr>
                <w:sz w:val="12"/>
                <w:szCs w:val="12"/>
                <w:color w:val="auto"/>
              </w:rPr>
            </w:pPr>
          </w:p>
        </w:tc>
        <w:tc>
          <w:tcPr>
            <w:tcW w:w="19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CAP to NEO (average)</w:t>
            </w:r>
          </w:p>
        </w:tc>
        <w:tc>
          <w:tcPr>
            <w:tcW w:w="0" w:type="dxa"/>
            <w:vAlign w:val="bottom"/>
          </w:tcPr>
          <w:p>
            <w:pPr>
              <w:spacing w:after="0"/>
              <w:rPr>
                <w:sz w:val="1"/>
                <w:szCs w:val="1"/>
                <w:color w:val="auto"/>
              </w:rPr>
            </w:pPr>
          </w:p>
        </w:tc>
      </w:tr>
      <w:tr>
        <w:trPr>
          <w:trHeight w:val="192"/>
        </w:trPr>
        <w:tc>
          <w:tcPr>
            <w:tcW w:w="22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tcPr>
          <w:p>
            <w:pPr>
              <w:jc w:val="center"/>
              <w:ind w:right="428"/>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Equity Award Adjustments (2)</w:t>
            </w:r>
          </w:p>
        </w:tc>
        <w:tc>
          <w:tcPr>
            <w:tcW w:w="240" w:type="dxa"/>
            <w:vAlign w:val="bottom"/>
          </w:tcPr>
          <w:p>
            <w:pPr>
              <w:spacing w:after="0"/>
              <w:rPr>
                <w:sz w:val="16"/>
                <w:szCs w:val="16"/>
                <w:color w:val="auto"/>
              </w:rPr>
            </w:pPr>
          </w:p>
        </w:tc>
        <w:tc>
          <w:tcPr>
            <w:tcW w:w="1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40" w:type="dxa"/>
            <w:vAlign w:val="bottom"/>
            <w:tcBorders>
              <w:top w:val="single" w:sz="8" w:color="auto"/>
              <w:bottom w:val="single" w:sz="8" w:color="CCEEFF"/>
            </w:tcBorders>
            <w:shd w:val="clear" w:color="auto" w:fill="CCEEFF"/>
          </w:tcPr>
          <w:p>
            <w:pPr>
              <w:jc w:val="right"/>
              <w:ind w:right="1748"/>
              <w:spacing w:after="0"/>
              <w:rPr>
                <w:sz w:val="20"/>
                <w:szCs w:val="20"/>
                <w:color w:val="auto"/>
              </w:rPr>
            </w:pPr>
            <w:r>
              <w:rPr>
                <w:rFonts w:ascii="Arial" w:cs="Arial" w:eastAsia="Arial" w:hAnsi="Arial"/>
                <w:sz w:val="14"/>
                <w:szCs w:val="14"/>
                <w:color w:val="auto"/>
                <w:w w:val="96"/>
              </w:rPr>
              <w:t>2023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1,451,355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1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660,855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377,758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1,168,258</w:t>
            </w:r>
          </w:p>
        </w:tc>
        <w:tc>
          <w:tcPr>
            <w:tcW w:w="0" w:type="dxa"/>
            <w:vAlign w:val="bottom"/>
          </w:tcPr>
          <w:p>
            <w:pPr>
              <w:spacing w:after="0"/>
              <w:rPr>
                <w:sz w:val="1"/>
                <w:szCs w:val="1"/>
                <w:color w:val="auto"/>
              </w:rPr>
            </w:pPr>
          </w:p>
        </w:tc>
      </w:tr>
      <w:tr>
        <w:trPr>
          <w:trHeight w:val="182"/>
        </w:trPr>
        <w:tc>
          <w:tcPr>
            <w:tcW w:w="2140" w:type="dxa"/>
            <w:vAlign w:val="bottom"/>
          </w:tcPr>
          <w:p>
            <w:pPr>
              <w:jc w:val="right"/>
              <w:ind w:right="1748"/>
              <w:spacing w:after="0"/>
              <w:rPr>
                <w:sz w:val="20"/>
                <w:szCs w:val="20"/>
                <w:color w:val="auto"/>
              </w:rPr>
            </w:pPr>
            <w:r>
              <w:rPr>
                <w:rFonts w:ascii="Arial" w:cs="Arial" w:eastAsia="Arial" w:hAnsi="Arial"/>
                <w:sz w:val="14"/>
                <w:szCs w:val="14"/>
                <w:color w:val="auto"/>
                <w:w w:val="96"/>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1,033,900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381,363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84,883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737,420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40" w:type="dxa"/>
            <w:vAlign w:val="bottom"/>
            <w:shd w:val="clear" w:color="auto" w:fill="CCEEFF"/>
          </w:tcPr>
          <w:p>
            <w:pPr>
              <w:jc w:val="right"/>
              <w:ind w:right="1748"/>
              <w:spacing w:after="0"/>
              <w:rPr>
                <w:sz w:val="20"/>
                <w:szCs w:val="20"/>
                <w:color w:val="auto"/>
              </w:rPr>
            </w:pPr>
            <w:r>
              <w:rPr>
                <w:rFonts w:ascii="Arial" w:cs="Arial" w:eastAsia="Arial" w:hAnsi="Arial"/>
                <w:sz w:val="14"/>
                <w:szCs w:val="14"/>
                <w:color w:val="auto"/>
                <w:w w:val="96"/>
              </w:rPr>
              <w:t>2021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1,454,883</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571,339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781,301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1,664,845</w:t>
            </w:r>
          </w:p>
        </w:tc>
        <w:tc>
          <w:tcPr>
            <w:tcW w:w="0" w:type="dxa"/>
            <w:vAlign w:val="bottom"/>
          </w:tcPr>
          <w:p>
            <w:pPr>
              <w:spacing w:after="0"/>
              <w:rPr>
                <w:sz w:val="1"/>
                <w:szCs w:val="1"/>
                <w:color w:val="auto"/>
              </w:rPr>
            </w:pPr>
          </w:p>
        </w:tc>
      </w:tr>
      <w:tr>
        <w:trPr>
          <w:trHeight w:val="20"/>
        </w:trPr>
        <w:tc>
          <w:tcPr>
            <w:tcW w:w="2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660" w:hanging="328"/>
        <w:spacing w:after="0" w:line="255" w:lineRule="auto"/>
        <w:tabs>
          <w:tab w:leader="none" w:pos="6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reported value of equity awards represents the grant date fair value of equity-based awards granted each year. The total of the amounts reported in this column are the totals from the “Stock Awards” and “Option Awards” columns in the Summary Compensation Table for each applicable year.</w:t>
      </w:r>
    </w:p>
    <w:p>
      <w:pPr>
        <w:spacing w:after="0" w:line="2" w:lineRule="exact"/>
        <w:rPr>
          <w:rFonts w:ascii="Arial" w:cs="Arial" w:eastAsia="Arial" w:hAnsi="Arial"/>
          <w:sz w:val="18"/>
          <w:szCs w:val="18"/>
          <w:color w:val="auto"/>
        </w:rPr>
      </w:pPr>
    </w:p>
    <w:p>
      <w:pPr>
        <w:jc w:val="both"/>
        <w:ind w:left="660" w:hanging="328"/>
        <w:spacing w:after="0" w:line="302" w:lineRule="auto"/>
        <w:tabs>
          <w:tab w:leader="none" w:pos="654"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equity award adjustments reflects the value of equity calculated in accordance with the SEC methodology for determining CAP for each year shown. These equity award adjustments are set forth in the PEO Equity Award Adjustments table below. For the equity values included in the below table, the valuation assumptions used to calculate fair values did not materially differ from those disclosed at the time of the grant.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line="205" w:lineRule="auto"/>
        <w:framePr w:w="1300" w:h="128" w:wrap="auto" w:vAnchor="page" w:hAnchor="page" w:x="8500" w:y="1915"/>
        <w:rPr>
          <w:rFonts w:ascii="Arial" w:cs="Arial" w:eastAsia="Arial" w:hAnsi="Arial"/>
          <w:sz w:val="13"/>
          <w:szCs w:val="13"/>
          <w:b w:val="1"/>
          <w:bCs w:val="1"/>
          <w:color w:val="auto"/>
        </w:rPr>
      </w:pPr>
      <w:r>
        <w:rPr>
          <w:rFonts w:ascii="Arial" w:cs="Arial" w:eastAsia="Arial" w:hAnsi="Arial"/>
          <w:sz w:val="13"/>
          <w:szCs w:val="13"/>
          <w:b w:val="1"/>
          <w:bCs w:val="1"/>
          <w:color w:val="auto"/>
        </w:rPr>
        <w:t>of Awards Modified</w:t>
      </w:r>
    </w:p>
    <w:p>
      <w:pPr>
        <w:spacing w:after="0" w:line="205" w:lineRule="auto"/>
        <w:framePr w:w="1080" w:h="128" w:wrap="auto" w:vAnchor="page" w:hAnchor="page" w:x="8620" w:y="2050"/>
        <w:rPr>
          <w:rFonts w:ascii="Arial" w:cs="Arial" w:eastAsia="Arial" w:hAnsi="Arial"/>
          <w:sz w:val="13"/>
          <w:szCs w:val="13"/>
          <w:b w:val="1"/>
          <w:bCs w:val="1"/>
          <w:color w:val="auto"/>
        </w:rPr>
      </w:pPr>
      <w:r>
        <w:rPr>
          <w:rFonts w:ascii="Arial" w:cs="Arial" w:eastAsia="Arial" w:hAnsi="Arial"/>
          <w:sz w:val="13"/>
          <w:szCs w:val="13"/>
          <w:b w:val="1"/>
          <w:bCs w:val="1"/>
          <w:color w:val="auto"/>
        </w:rPr>
        <w:t>During the Year</w:t>
      </w:r>
    </w:p>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374" w:lineRule="exact"/>
        <w:rPr>
          <w:rFonts w:ascii="Arial" w:cs="Arial" w:eastAsia="Arial" w:hAnsi="Arial"/>
          <w:sz w:val="13"/>
          <w:szCs w:val="13"/>
          <w:b w:val="1"/>
          <w:bCs w:val="1"/>
          <w:color w:val="auto"/>
        </w:rPr>
      </w:pPr>
    </w:p>
    <w:p>
      <w:pPr>
        <w:spacing w:after="0"/>
        <w:rPr>
          <w:sz w:val="20"/>
          <w:szCs w:val="20"/>
          <w:color w:val="auto"/>
        </w:rPr>
      </w:pPr>
      <w:r>
        <w:rPr>
          <w:rFonts w:ascii="Arial" w:cs="Arial" w:eastAsia="Arial" w:hAnsi="Arial"/>
          <w:sz w:val="16"/>
          <w:szCs w:val="16"/>
          <w:i w:val="1"/>
          <w:iCs w:val="1"/>
          <w:color w:val="auto"/>
        </w:rPr>
        <w:t>Non-PEO NEOs (average) Equity Award Adjustments</w:t>
      </w:r>
    </w:p>
    <w:p>
      <w:pPr>
        <w:sectPr>
          <w:pgSz w:w="11900" w:h="16838" w:orient="portrait"/>
          <w:cols w:equalWidth="0" w:num="1">
            <w:col w:w="11240"/>
          </w:cols>
          <w:pgMar w:left="320" w:top="121" w:right="339" w:bottom="1440" w:gutter="0" w:footer="0" w:header="0"/>
        </w:sectPr>
      </w:pPr>
    </w:p>
    <w:p>
      <w:pPr>
        <w:spacing w:after="0" w:line="214" w:lineRule="exact"/>
        <w:rPr>
          <w:rFonts w:ascii="Arial" w:cs="Arial" w:eastAsia="Arial" w:hAnsi="Arial"/>
          <w:sz w:val="13"/>
          <w:szCs w:val="13"/>
          <w:b w:val="1"/>
          <w:bCs w:val="1"/>
          <w:color w:val="auto"/>
        </w:rPr>
      </w:pPr>
    </w:p>
    <w:tbl>
      <w:tblPr>
        <w:tblLayout w:type="fixed"/>
        <w:tblInd w:w="68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900" w:type="dxa"/>
            <w:vAlign w:val="bottom"/>
          </w:tcPr>
          <w:p>
            <w:pPr>
              <w:jc w:val="center"/>
              <w:ind w:left="268"/>
              <w:spacing w:after="0"/>
              <w:rPr>
                <w:sz w:val="20"/>
                <w:szCs w:val="20"/>
                <w:color w:val="auto"/>
              </w:rPr>
            </w:pPr>
            <w:r>
              <w:rPr>
                <w:rFonts w:ascii="Arial" w:cs="Arial" w:eastAsia="Arial" w:hAnsi="Arial"/>
                <w:sz w:val="14"/>
                <w:szCs w:val="14"/>
                <w:b w:val="1"/>
                <w:bCs w:val="1"/>
                <w:color w:val="auto"/>
                <w:w w:val="95"/>
              </w:rPr>
              <w:t>Fair Value of</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Year over Year Change</w:t>
            </w:r>
          </w:p>
        </w:tc>
        <w:tc>
          <w:tcPr>
            <w:tcW w:w="150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Year over Year Change</w:t>
            </w: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1900" w:type="dxa"/>
            <w:vAlign w:val="bottom"/>
          </w:tcPr>
          <w:p>
            <w:pPr>
              <w:jc w:val="center"/>
              <w:ind w:left="268"/>
              <w:spacing w:after="0" w:line="145" w:lineRule="exact"/>
              <w:rPr>
                <w:sz w:val="20"/>
                <w:szCs w:val="20"/>
                <w:color w:val="auto"/>
              </w:rPr>
            </w:pPr>
            <w:r>
              <w:rPr>
                <w:rFonts w:ascii="Arial" w:cs="Arial" w:eastAsia="Arial" w:hAnsi="Arial"/>
                <w:sz w:val="14"/>
                <w:szCs w:val="14"/>
                <w:b w:val="1"/>
                <w:bCs w:val="1"/>
                <w:color w:val="auto"/>
                <w:w w:val="93"/>
              </w:rPr>
              <w:t>Outstanding and</w:t>
            </w:r>
          </w:p>
        </w:tc>
        <w:tc>
          <w:tcPr>
            <w:tcW w:w="1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in Fair Value of</w:t>
            </w:r>
          </w:p>
        </w:tc>
        <w:tc>
          <w:tcPr>
            <w:tcW w:w="1500" w:type="dxa"/>
            <w:vAlign w:val="bottom"/>
          </w:tcPr>
          <w:p>
            <w:pPr>
              <w:jc w:val="center"/>
              <w:ind w:left="8"/>
              <w:spacing w:after="0" w:line="145" w:lineRule="exact"/>
              <w:rPr>
                <w:sz w:val="20"/>
                <w:szCs w:val="20"/>
                <w:color w:val="auto"/>
              </w:rPr>
            </w:pPr>
            <w:r>
              <w:rPr>
                <w:rFonts w:ascii="Arial" w:cs="Arial" w:eastAsia="Arial" w:hAnsi="Arial"/>
                <w:sz w:val="14"/>
                <w:szCs w:val="14"/>
                <w:b w:val="1"/>
                <w:bCs w:val="1"/>
                <w:color w:val="auto"/>
                <w:w w:val="96"/>
              </w:rPr>
              <w:t>in Fair Value of Equity</w:t>
            </w:r>
          </w:p>
        </w:tc>
        <w:tc>
          <w:tcPr>
            <w:tcW w:w="0" w:type="dxa"/>
            <w:vAlign w:val="bottom"/>
          </w:tcPr>
          <w:p>
            <w:pPr>
              <w:spacing w:after="0"/>
              <w:rPr>
                <w:sz w:val="1"/>
                <w:szCs w:val="1"/>
                <w:color w:val="auto"/>
              </w:rPr>
            </w:pPr>
          </w:p>
        </w:tc>
      </w:tr>
      <w:tr>
        <w:trPr>
          <w:trHeight w:val="139"/>
        </w:trPr>
        <w:tc>
          <w:tcPr>
            <w:tcW w:w="700" w:type="dxa"/>
            <w:vAlign w:val="bottom"/>
          </w:tcPr>
          <w:p>
            <w:pPr>
              <w:spacing w:after="0"/>
              <w:rPr>
                <w:sz w:val="12"/>
                <w:szCs w:val="12"/>
                <w:color w:val="auto"/>
              </w:rPr>
            </w:pPr>
          </w:p>
        </w:tc>
        <w:tc>
          <w:tcPr>
            <w:tcW w:w="1900" w:type="dxa"/>
            <w:vAlign w:val="bottom"/>
          </w:tcPr>
          <w:p>
            <w:pPr>
              <w:jc w:val="center"/>
              <w:ind w:left="248"/>
              <w:spacing w:after="0" w:line="139" w:lineRule="exact"/>
              <w:rPr>
                <w:sz w:val="20"/>
                <w:szCs w:val="20"/>
                <w:color w:val="auto"/>
              </w:rPr>
            </w:pPr>
            <w:r>
              <w:rPr>
                <w:rFonts w:ascii="Arial" w:cs="Arial" w:eastAsia="Arial" w:hAnsi="Arial"/>
                <w:sz w:val="14"/>
                <w:szCs w:val="14"/>
                <w:b w:val="1"/>
                <w:bCs w:val="1"/>
                <w:color w:val="auto"/>
                <w:w w:val="92"/>
              </w:rPr>
              <w:t>Unvested Equity</w:t>
            </w:r>
          </w:p>
        </w:tc>
        <w:tc>
          <w:tcPr>
            <w:tcW w:w="16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3"/>
              </w:rPr>
              <w:t>Outstanding and</w:t>
            </w:r>
          </w:p>
        </w:tc>
        <w:tc>
          <w:tcPr>
            <w:tcW w:w="1500" w:type="dxa"/>
            <w:vAlign w:val="bottom"/>
          </w:tcPr>
          <w:p>
            <w:pPr>
              <w:jc w:val="center"/>
              <w:ind w:left="8"/>
              <w:spacing w:after="0" w:line="139" w:lineRule="exact"/>
              <w:rPr>
                <w:sz w:val="20"/>
                <w:szCs w:val="20"/>
                <w:color w:val="auto"/>
              </w:rPr>
            </w:pPr>
            <w:r>
              <w:rPr>
                <w:rFonts w:ascii="Arial" w:cs="Arial" w:eastAsia="Arial" w:hAnsi="Arial"/>
                <w:sz w:val="14"/>
                <w:szCs w:val="14"/>
                <w:b w:val="1"/>
                <w:bCs w:val="1"/>
                <w:color w:val="auto"/>
                <w:w w:val="94"/>
              </w:rPr>
              <w:t>Awards Granted in</w:t>
            </w:r>
          </w:p>
        </w:tc>
        <w:tc>
          <w:tcPr>
            <w:tcW w:w="0" w:type="dxa"/>
            <w:vAlign w:val="bottom"/>
          </w:tcPr>
          <w:p>
            <w:pPr>
              <w:spacing w:after="0"/>
              <w:rPr>
                <w:sz w:val="1"/>
                <w:szCs w:val="1"/>
                <w:color w:val="auto"/>
              </w:rPr>
            </w:pPr>
          </w:p>
        </w:tc>
      </w:tr>
      <w:tr>
        <w:trPr>
          <w:trHeight w:val="148"/>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19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Awards Granted in the</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Unvested Equity</w:t>
            </w:r>
          </w:p>
        </w:tc>
        <w:tc>
          <w:tcPr>
            <w:tcW w:w="1500" w:type="dxa"/>
            <w:vAlign w:val="bottom"/>
          </w:tcPr>
          <w:p>
            <w:pPr>
              <w:jc w:val="center"/>
              <w:ind w:left="8"/>
              <w:spacing w:after="0" w:line="149" w:lineRule="exact"/>
              <w:rPr>
                <w:sz w:val="20"/>
                <w:szCs w:val="20"/>
                <w:color w:val="auto"/>
              </w:rPr>
            </w:pPr>
            <w:r>
              <w:rPr>
                <w:rFonts w:ascii="Arial" w:cs="Arial" w:eastAsia="Arial" w:hAnsi="Arial"/>
                <w:sz w:val="14"/>
                <w:szCs w:val="14"/>
                <w:b w:val="1"/>
                <w:bCs w:val="1"/>
                <w:color w:val="auto"/>
                <w:w w:val="92"/>
              </w:rPr>
              <w:t>Prior Years that Vested</w:t>
            </w:r>
          </w:p>
        </w:tc>
        <w:tc>
          <w:tcPr>
            <w:tcW w:w="0" w:type="dxa"/>
            <w:vAlign w:val="bottom"/>
          </w:tcPr>
          <w:p>
            <w:pPr>
              <w:spacing w:after="0"/>
              <w:rPr>
                <w:sz w:val="1"/>
                <w:szCs w:val="1"/>
                <w:color w:val="auto"/>
              </w:rPr>
            </w:pPr>
          </w:p>
        </w:tc>
      </w:tr>
      <w:tr>
        <w:trPr>
          <w:trHeight w:val="186"/>
        </w:trPr>
        <w:tc>
          <w:tcPr>
            <w:tcW w:w="700" w:type="dxa"/>
            <w:vAlign w:val="bottom"/>
            <w:vMerge w:val="continue"/>
          </w:tcPr>
          <w:p>
            <w:pPr>
              <w:spacing w:after="0"/>
              <w:rPr>
                <w:sz w:val="16"/>
                <w:szCs w:val="16"/>
                <w:color w:val="auto"/>
              </w:rPr>
            </w:pPr>
          </w:p>
        </w:tc>
        <w:tc>
          <w:tcPr>
            <w:tcW w:w="1900" w:type="dxa"/>
            <w:vAlign w:val="bottom"/>
          </w:tcPr>
          <w:p>
            <w:pPr>
              <w:jc w:val="center"/>
              <w:ind w:left="268"/>
              <w:spacing w:after="0"/>
              <w:rPr>
                <w:sz w:val="20"/>
                <w:szCs w:val="20"/>
                <w:color w:val="auto"/>
              </w:rPr>
            </w:pPr>
            <w:r>
              <w:rPr>
                <w:rFonts w:ascii="Arial" w:cs="Arial" w:eastAsia="Arial" w:hAnsi="Arial"/>
                <w:sz w:val="14"/>
                <w:szCs w:val="14"/>
                <w:b w:val="1"/>
                <w:bCs w:val="1"/>
                <w:color w:val="auto"/>
                <w:w w:val="92"/>
              </w:rPr>
              <w:t>Year</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Awards</w:t>
            </w:r>
          </w:p>
        </w:tc>
        <w:tc>
          <w:tcPr>
            <w:tcW w:w="1500" w:type="dxa"/>
            <w:vAlign w:val="bottom"/>
          </w:tcPr>
          <w:p>
            <w:pPr>
              <w:jc w:val="center"/>
              <w:ind w:left="8"/>
              <w:spacing w:after="0"/>
              <w:rPr>
                <w:sz w:val="20"/>
                <w:szCs w:val="20"/>
                <w:color w:val="auto"/>
              </w:rPr>
            </w:pPr>
            <w:r>
              <w:rPr>
                <w:rFonts w:ascii="Arial" w:cs="Arial" w:eastAsia="Arial" w:hAnsi="Arial"/>
                <w:sz w:val="14"/>
                <w:szCs w:val="14"/>
                <w:b w:val="1"/>
                <w:bCs w:val="1"/>
                <w:color w:val="auto"/>
                <w:w w:val="92"/>
              </w:rPr>
              <w:t>in the Year</w:t>
            </w:r>
          </w:p>
        </w:tc>
        <w:tc>
          <w:tcPr>
            <w:tcW w:w="0" w:type="dxa"/>
            <w:vAlign w:val="bottom"/>
          </w:tcPr>
          <w:p>
            <w:pPr>
              <w:spacing w:after="0"/>
              <w:rPr>
                <w:sz w:val="1"/>
                <w:szCs w:val="1"/>
                <w:color w:val="auto"/>
              </w:rPr>
            </w:pPr>
          </w:p>
        </w:tc>
      </w:tr>
    </w:tbl>
    <w:p>
      <w:pPr>
        <w:spacing w:after="0" w:line="20" w:lineRule="exact"/>
        <w:rPr>
          <w:rFonts w:ascii="Arial" w:cs="Arial" w:eastAsia="Arial" w:hAnsi="Arial"/>
          <w:sz w:val="13"/>
          <w:szCs w:val="13"/>
          <w:b w:val="1"/>
          <w:bCs w:val="1"/>
          <w:color w:val="auto"/>
        </w:rPr>
      </w:pPr>
      <w:r>
        <w:rPr>
          <w:rFonts w:ascii="Arial" w:cs="Arial" w:eastAsia="Arial" w:hAnsi="Arial"/>
          <w:sz w:val="13"/>
          <w:szCs w:val="13"/>
          <w:b w:val="1"/>
          <w:bCs w:val="1"/>
          <w:color w:val="auto"/>
        </w:rPr>
        <w:br w:type="column"/>
      </w:r>
    </w:p>
    <w:p>
      <w:pPr>
        <w:spacing w:after="0" w:line="341" w:lineRule="exact"/>
        <w:rPr>
          <w:rFonts w:ascii="Arial" w:cs="Arial" w:eastAsia="Arial" w:hAnsi="Arial"/>
          <w:sz w:val="13"/>
          <w:szCs w:val="13"/>
          <w:b w:val="1"/>
          <w:bCs w:val="1"/>
          <w:color w:val="auto"/>
        </w:rPr>
      </w:pPr>
    </w:p>
    <w:p>
      <w:pPr>
        <w:ind w:left="60"/>
        <w:spacing w:after="0"/>
        <w:rPr>
          <w:sz w:val="20"/>
          <w:szCs w:val="20"/>
          <w:color w:val="auto"/>
        </w:rPr>
      </w:pPr>
      <w:r>
        <w:rPr>
          <w:rFonts w:ascii="Arial" w:cs="Arial" w:eastAsia="Arial" w:hAnsi="Arial"/>
          <w:sz w:val="14"/>
          <w:szCs w:val="14"/>
          <w:b w:val="1"/>
          <w:bCs w:val="1"/>
          <w:color w:val="auto"/>
        </w:rPr>
        <w:t>Fair Value of Awards</w:t>
      </w:r>
    </w:p>
    <w:p>
      <w:pPr>
        <w:spacing w:after="0" w:line="229" w:lineRule="auto"/>
        <w:tabs>
          <w:tab w:leader="none" w:pos="1560" w:val="left"/>
        </w:tabs>
        <w:rPr>
          <w:sz w:val="20"/>
          <w:szCs w:val="20"/>
          <w:color w:val="auto"/>
        </w:rPr>
      </w:pPr>
      <w:r>
        <w:rPr>
          <w:rFonts w:ascii="Arial" w:cs="Arial" w:eastAsia="Arial" w:hAnsi="Arial"/>
          <w:sz w:val="14"/>
          <w:szCs w:val="14"/>
          <w:b w:val="1"/>
          <w:bCs w:val="1"/>
          <w:color w:val="auto"/>
        </w:rPr>
        <w:t>Granted in Prior Years</w:t>
      </w:r>
      <w:r>
        <w:rPr>
          <w:sz w:val="20"/>
          <w:szCs w:val="20"/>
          <w:color w:val="auto"/>
        </w:rPr>
        <w:tab/>
      </w:r>
      <w:r>
        <w:rPr>
          <w:rFonts w:ascii="Arial" w:cs="Arial" w:eastAsia="Arial" w:hAnsi="Arial"/>
          <w:sz w:val="12"/>
          <w:szCs w:val="12"/>
          <w:b w:val="1"/>
          <w:bCs w:val="1"/>
          <w:color w:val="auto"/>
        </w:rPr>
        <w:t>Incremental Fair Value</w:t>
      </w:r>
    </w:p>
    <w:p>
      <w:pPr>
        <w:jc w:val="center"/>
        <w:ind w:right="1600"/>
        <w:spacing w:after="0" w:line="231" w:lineRule="auto"/>
        <w:rPr>
          <w:sz w:val="20"/>
          <w:szCs w:val="20"/>
          <w:color w:val="auto"/>
        </w:rPr>
      </w:pPr>
      <w:r>
        <w:rPr>
          <w:rFonts w:ascii="Arial" w:cs="Arial" w:eastAsia="Arial" w:hAnsi="Arial"/>
          <w:sz w:val="14"/>
          <w:szCs w:val="14"/>
          <w:b w:val="1"/>
          <w:bCs w:val="1"/>
          <w:color w:val="auto"/>
        </w:rPr>
        <w:t>that were Forfeited</w:t>
      </w:r>
    </w:p>
    <w:p>
      <w:pPr>
        <w:jc w:val="center"/>
        <w:ind w:right="1600"/>
        <w:spacing w:after="0"/>
        <w:rPr>
          <w:sz w:val="20"/>
          <w:szCs w:val="20"/>
          <w:color w:val="auto"/>
        </w:rPr>
      </w:pPr>
      <w:r>
        <w:rPr>
          <w:rFonts w:ascii="Arial" w:cs="Arial" w:eastAsia="Arial" w:hAnsi="Arial"/>
          <w:sz w:val="14"/>
          <w:szCs w:val="14"/>
          <w:b w:val="1"/>
          <w:bCs w:val="1"/>
          <w:color w:val="auto"/>
        </w:rPr>
        <w:t>During the Year</w:t>
      </w:r>
    </w:p>
    <w:p>
      <w:pPr>
        <w:spacing w:after="0" w:line="20" w:lineRule="exact"/>
        <w:rPr>
          <w:rFonts w:ascii="Arial" w:cs="Arial" w:eastAsia="Arial" w:hAnsi="Arial"/>
          <w:sz w:val="13"/>
          <w:szCs w:val="13"/>
          <w:b w:val="1"/>
          <w:bCs w:val="1"/>
          <w:color w:val="auto"/>
        </w:rPr>
      </w:pPr>
      <w:r>
        <w:rPr>
          <w:rFonts w:ascii="Arial" w:cs="Arial" w:eastAsia="Arial" w:hAnsi="Arial"/>
          <w:sz w:val="13"/>
          <w:szCs w:val="13"/>
          <w:b w:val="1"/>
          <w:bCs w:val="1"/>
          <w:color w:val="auto"/>
        </w:rPr>
        <w:br w:type="column"/>
      </w: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38" w:lineRule="exact"/>
        <w:rPr>
          <w:rFonts w:ascii="Arial" w:cs="Arial" w:eastAsia="Arial" w:hAnsi="Arial"/>
          <w:sz w:val="13"/>
          <w:szCs w:val="13"/>
          <w:b w:val="1"/>
          <w:bCs w:val="1"/>
          <w:color w:val="auto"/>
        </w:rPr>
      </w:pPr>
    </w:p>
    <w:p>
      <w:pPr>
        <w:ind w:right="380" w:hanging="39"/>
        <w:spacing w:after="0" w:line="284" w:lineRule="auto"/>
        <w:rPr>
          <w:sz w:val="20"/>
          <w:szCs w:val="20"/>
          <w:color w:val="auto"/>
        </w:rPr>
      </w:pPr>
      <w:r>
        <w:rPr>
          <w:rFonts w:ascii="Arial" w:cs="Arial" w:eastAsia="Arial" w:hAnsi="Arial"/>
          <w:sz w:val="13"/>
          <w:szCs w:val="13"/>
          <w:b w:val="1"/>
          <w:bCs w:val="1"/>
          <w:color w:val="auto"/>
        </w:rPr>
        <w:t>Equity Award Adjustments</w:t>
      </w:r>
    </w:p>
    <w:p>
      <w:pPr>
        <w:spacing w:after="0" w:line="1" w:lineRule="exact"/>
        <w:rPr>
          <w:rFonts w:ascii="Arial" w:cs="Arial" w:eastAsia="Arial" w:hAnsi="Arial"/>
          <w:sz w:val="13"/>
          <w:szCs w:val="13"/>
          <w:b w:val="1"/>
          <w:bCs w:val="1"/>
          <w:color w:val="auto"/>
        </w:rPr>
      </w:pPr>
    </w:p>
    <w:p>
      <w:pPr>
        <w:sectPr>
          <w:pgSz w:w="11900" w:h="16838" w:orient="portrait"/>
          <w:cols w:equalWidth="0" w:num="3">
            <w:col w:w="6380" w:space="160"/>
            <w:col w:w="3020" w:space="480"/>
            <w:col w:w="1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1660" w:type="dxa"/>
            <w:vAlign w:val="bottom"/>
            <w:tcBorders>
              <w:top w:val="single" w:sz="8" w:color="auto"/>
              <w:bottom w:val="single" w:sz="8" w:color="CCEEFF"/>
            </w:tcBorders>
            <w:shd w:val="clear" w:color="auto" w:fill="CCEEFF"/>
          </w:tcPr>
          <w:p>
            <w:pPr>
              <w:jc w:val="right"/>
              <w:ind w:right="1268"/>
              <w:spacing w:after="0"/>
              <w:rPr>
                <w:sz w:val="20"/>
                <w:szCs w:val="20"/>
                <w:color w:val="auto"/>
              </w:rPr>
            </w:pPr>
            <w:r>
              <w:rPr>
                <w:rFonts w:ascii="Arial" w:cs="Arial" w:eastAsia="Arial" w:hAnsi="Arial"/>
                <w:sz w:val="14"/>
                <w:szCs w:val="14"/>
                <w:color w:val="auto"/>
                <w:w w:val="96"/>
              </w:rPr>
              <w:t>2023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217,810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00" w:type="dxa"/>
            <w:vAlign w:val="bottom"/>
            <w:tcBorders>
              <w:top w:val="single" w:sz="8" w:color="auto"/>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12,409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(8,435)</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CCEEFF"/>
            </w:tcBorders>
            <w:shd w:val="clear" w:color="auto" w:fill="CCEEFF"/>
          </w:tcPr>
          <w:p>
            <w:pPr>
              <w:jc w:val="right"/>
              <w:ind w:right="32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(108,981)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264,955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CCEEFF"/>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377,758</w:t>
            </w:r>
          </w:p>
        </w:tc>
      </w:tr>
      <w:tr>
        <w:trPr>
          <w:trHeight w:val="182"/>
        </w:trPr>
        <w:tc>
          <w:tcPr>
            <w:tcW w:w="1660" w:type="dxa"/>
            <w:vAlign w:val="bottom"/>
          </w:tcPr>
          <w:p>
            <w:pPr>
              <w:jc w:val="right"/>
              <w:ind w:right="1268"/>
              <w:spacing w:after="0"/>
              <w:rPr>
                <w:sz w:val="20"/>
                <w:szCs w:val="20"/>
                <w:color w:val="auto"/>
              </w:rPr>
            </w:pPr>
            <w:r>
              <w:rPr>
                <w:rFonts w:ascii="Arial" w:cs="Arial" w:eastAsia="Arial" w:hAnsi="Arial"/>
                <w:sz w:val="14"/>
                <w:szCs w:val="14"/>
                <w:color w:val="auto"/>
                <w:w w:val="96"/>
              </w:rPr>
              <w:t>2022</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307,242</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(128,663)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(50,433)</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(43,263)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84,883</w:t>
            </w:r>
          </w:p>
        </w:tc>
      </w:tr>
      <w:tr>
        <w:trPr>
          <w:trHeight w:val="20"/>
        </w:trPr>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2"/>
        </w:trPr>
        <w:tc>
          <w:tcPr>
            <w:tcW w:w="1660" w:type="dxa"/>
            <w:vAlign w:val="bottom"/>
            <w:shd w:val="clear" w:color="auto" w:fill="CCEEFF"/>
          </w:tcPr>
          <w:p>
            <w:pPr>
              <w:jc w:val="right"/>
              <w:ind w:right="1268"/>
              <w:spacing w:after="0"/>
              <w:rPr>
                <w:sz w:val="20"/>
                <w:szCs w:val="20"/>
                <w:color w:val="auto"/>
              </w:rPr>
            </w:pPr>
            <w:r>
              <w:rPr>
                <w:rFonts w:ascii="Arial" w:cs="Arial" w:eastAsia="Arial" w:hAnsi="Arial"/>
                <w:sz w:val="14"/>
                <w:szCs w:val="14"/>
                <w:color w:val="auto"/>
                <w:w w:val="96"/>
              </w:rPr>
              <w:t>2021</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766,068</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86,768</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(71,535)</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781,301</w:t>
            </w:r>
          </w:p>
        </w:tc>
      </w:tr>
      <w:tr>
        <w:trPr>
          <w:trHeight w:val="20"/>
        </w:trPr>
        <w:tc>
          <w:tcPr>
            <w:tcW w:w="16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r>
    </w:tbl>
    <w:p>
      <w:pPr>
        <w:spacing w:after="0" w:line="242" w:lineRule="exact"/>
        <w:rPr>
          <w:rFonts w:ascii="Arial" w:cs="Arial" w:eastAsia="Arial" w:hAnsi="Arial"/>
          <w:sz w:val="13"/>
          <w:szCs w:val="13"/>
          <w:b w:val="1"/>
          <w:bCs w:val="1"/>
          <w:color w:val="auto"/>
        </w:rPr>
      </w:pPr>
    </w:p>
    <w:p>
      <w:pPr>
        <w:spacing w:after="0"/>
        <w:rPr>
          <w:sz w:val="20"/>
          <w:szCs w:val="20"/>
          <w:color w:val="auto"/>
        </w:rPr>
      </w:pPr>
      <w:r>
        <w:rPr>
          <w:rFonts w:ascii="Arial" w:cs="Arial" w:eastAsia="Arial" w:hAnsi="Arial"/>
          <w:sz w:val="18"/>
          <w:szCs w:val="18"/>
          <w:i w:val="1"/>
          <w:iCs w:val="1"/>
          <w:color w:val="auto"/>
        </w:rPr>
        <w:t>Description of Relationship Between NEO CAP and Company TSR</w:t>
      </w:r>
    </w:p>
    <w:p>
      <w:pPr>
        <w:spacing w:after="0" w:line="171" w:lineRule="exact"/>
        <w:rPr>
          <w:rFonts w:ascii="Arial" w:cs="Arial" w:eastAsia="Arial" w:hAnsi="Arial"/>
          <w:sz w:val="13"/>
          <w:szCs w:val="13"/>
          <w:b w:val="1"/>
          <w:bCs w:val="1"/>
          <w:color w:val="auto"/>
        </w:rPr>
      </w:pPr>
    </w:p>
    <w:p>
      <w:pPr>
        <w:ind w:firstLine="324"/>
        <w:spacing w:after="0" w:line="277" w:lineRule="auto"/>
        <w:rPr>
          <w:sz w:val="20"/>
          <w:szCs w:val="20"/>
          <w:color w:val="auto"/>
        </w:rPr>
      </w:pPr>
      <w:r>
        <w:rPr>
          <w:rFonts w:ascii="Arial" w:cs="Arial" w:eastAsia="Arial" w:hAnsi="Arial"/>
          <w:sz w:val="18"/>
          <w:szCs w:val="18"/>
          <w:color w:val="auto"/>
        </w:rPr>
        <w:t>The following chart sets forth the relationship between CAP to our PEO, the average of CAP to our other NEOs, and the Company’s cumulative TSR over the three-year period from fiscal 2021 through fiscal 2023.</w:t>
      </w:r>
    </w:p>
    <w:p>
      <w:pPr>
        <w:spacing w:after="0" w:line="20" w:lineRule="exact"/>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column">
              <wp:posOffset>1308100</wp:posOffset>
            </wp:positionH>
            <wp:positionV relativeFrom="paragraph">
              <wp:posOffset>82550</wp:posOffset>
            </wp:positionV>
            <wp:extent cx="4526280" cy="29057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26280" cy="2905760"/>
                    </a:xfrm>
                    <a:prstGeom prst="rect">
                      <a:avLst/>
                    </a:prstGeom>
                    <a:noFill/>
                  </pic:spPr>
                </pic:pic>
              </a:graphicData>
            </a:graphic>
          </wp:anchor>
        </w:drawing>
      </w: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307" w:lineRule="exact"/>
        <w:rPr>
          <w:rFonts w:ascii="Arial" w:cs="Arial" w:eastAsia="Arial" w:hAnsi="Arial"/>
          <w:sz w:val="13"/>
          <w:szCs w:val="13"/>
          <w:b w:val="1"/>
          <w:bCs w:val="1"/>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rFonts w:ascii="Arial" w:cs="Arial" w:eastAsia="Arial" w:hAnsi="Arial"/>
          <w:sz w:val="13"/>
          <w:szCs w:val="13"/>
          <w:b w:val="1"/>
          <w:bCs w:val="1"/>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Relationship Between NEO CAP and Net Income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chart sets forth the relationship between CAP to our PEO, the average of CAP to our other NEOs, and our net income during fiscal 2021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82550</wp:posOffset>
            </wp:positionV>
            <wp:extent cx="4526280" cy="29063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26280"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Relationship Between NEO CAP and Operating Income</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chart sets forth the relationship between CAP to our PEO, the average of CAP to our other NEOs, and our operating income during fiscal 2021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83185</wp:posOffset>
            </wp:positionV>
            <wp:extent cx="4526280" cy="29057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52628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Description of Relationship Between Company TSR and Peer Group TSR</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chart compares our cumulative TSR over the three-year period from 2020 through 2022 to that of the S&amp;P SmallCap 600 Industrials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83185</wp:posOffset>
            </wp:positionV>
            <wp:extent cx="4526280" cy="29063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526280"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2023 Tabular List of Most Important Financial Performance Measures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financial performance measures that the Company considers to have been the most important in linking Compensation Actually Paid to our PEO and other NEOs in fiscal 2023 to Company performance. The measures in this table are not ranked.</w:t>
      </w:r>
    </w:p>
    <w:p>
      <w:pPr>
        <w:spacing w:after="0" w:line="15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u w:val="single" w:color="auto"/>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17145</wp:posOffset>
            </wp:positionV>
            <wp:extent cx="4166235" cy="145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166235" cy="145415"/>
                    </a:xfrm>
                    <a:prstGeom prst="rect">
                      <a:avLst/>
                    </a:prstGeom>
                    <a:noFill/>
                  </pic:spPr>
                </pic:pic>
              </a:graphicData>
            </a:graphic>
          </wp:anchor>
        </w:drawing>
      </w:r>
    </w:p>
    <w:p>
      <w:pPr>
        <w:spacing w:after="0" w:line="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Operating Income</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Organic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14605</wp:posOffset>
            </wp:positionV>
            <wp:extent cx="4166235"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166235" cy="146050"/>
                    </a:xfrm>
                    <a:prstGeom prst="rect">
                      <a:avLst/>
                    </a:prstGeom>
                    <a:noFill/>
                  </pic:spPr>
                </pic:pic>
              </a:graphicData>
            </a:graphic>
          </wp:anchor>
        </w:drawing>
      </w:r>
    </w:p>
    <w:p>
      <w:pPr>
        <w:spacing w:after="0" w:line="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Total Shareholder Return</w:t>
      </w:r>
    </w:p>
    <w:p>
      <w:pPr>
        <w:spacing w:after="0" w:line="23"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Earnings Per Share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Compensation</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ensure competitive compensation for the Board of Directors, compensation is reviewed annually and market surveys prepared by various consulting firms and the National Association of Corporate Directors are reviewed by the Corporate Governance Committee and the Management Development and Compensation Committee, and they confer with the Board’s independent compensation consultant, Pay Governance LLC, in making recommendations to the Board of Directors regarding director compensation. Directors who are employees of the Company receive no additional compensation for service on the Board or on any committee of the Board.</w:t>
      </w:r>
    </w:p>
    <w:p>
      <w:pPr>
        <w:spacing w:after="0" w:line="13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fiscal 2023, the annual cash retainer paid to non-management directors was $67,500. Each member of the Audit Committee received an annual retainer of $15,000, and an additional annual retainer of $15,000 was paid to the Chair of the Audit Committee; each member of the Management Development and Compensation Committee received an annual retainer of $12,000, and an additional annual retainer of $12,000 was paid to the Chair; and each member of the Corporate Governance, Finance and Technology Committees received an annual retainer of $10,000, and an additional annual retainer of $10,000 was paid to each committee chair. The ESG Liaison received an annual retainer of $15,000. Non-management directors do not receive meeting fees. The annual cash retainers were pro-rated in situations where there are changes to committee members or committee chairs that take place during the fiscal year. Non-management directors are eligible to receive compensation of up to $1,000 per day for special assignments required by management or the Board of Directors, so long as the compensation does not impair independence and is approved by the Board as required. No such special assignment fees were paid in fiscal year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2023.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fiscal 2023, the Chair of the Board, Bradley C. Richardson, was paid an annual fee of $80,000.</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Board has established stock ownership requirements for directors. The ownership requirement for each director is five times the annual Board retainer. Directors have five years to achieve their stock ownership requirements. All directors, except Ms. Collins Smee and Mr. Nargolwala, who were each elected to the Board in February 2022, have met their stock ownership requirements.</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Under the terms of the Brady Corporation 2017 Omnibus Incentive Stock Plan, 5,000,000 shares of the Company's Class A Common Stock have been authorized for issuance to directors and employees. The Board has full and final authority to designate the non-management directors to whom awards will be granted, the date on which awards will be granted and the number of shares of stock covered by each grant.</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30, 2022, the Board approved an annual stock-based compensation award of $116,500 fair value of unrestricted shares of Class A Common Stock with a grant date fair value of $43.50 per share, for each non-management director, effective September 19, 2022.</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Directors are also eligible to defer portions of their fees into the Brady Corporation Director Deferred Compensation Plan (“Director Deferred Compensation Plan”), the value of which is measured by the fair value of the underlying investments. The assets of the Director Deferred Compensation Plan are held in a Rabbi Trust and are invested by the trustee as directed by the participant in several investment funds as permitted by the Director Deferred Compensation Plan. The investment funds available include Brady Corporation Class A Nonvoting Common Stock and various mutual funds that are offered in the employee Matched 401(k) Plan. Directors may elect whether to receive their account balance following termination in a single lump sum payment or by means of distribution under an annual installment method. Distributions of the Company Class A Nonvoting Common Stock are made in-kind; distributions of mutual funds are made in cash.</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 — Fiscal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Fees Earned or Paid</w:t>
            </w: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Option Awards ($)</w:t>
            </w:r>
          </w:p>
        </w:tc>
        <w:tc>
          <w:tcPr>
            <w:tcW w:w="14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Stock Awards ($) (2)</w:t>
            </w:r>
          </w:p>
        </w:tc>
        <w:tc>
          <w:tcPr>
            <w:tcW w:w="260" w:type="dxa"/>
            <w:vAlign w:val="bottom"/>
          </w:tcPr>
          <w:p>
            <w:pPr>
              <w:spacing w:after="0"/>
              <w:rPr>
                <w:sz w:val="14"/>
                <w:szCs w:val="14"/>
                <w:color w:val="auto"/>
              </w:rPr>
            </w:pPr>
          </w:p>
        </w:tc>
        <w:tc>
          <w:tcPr>
            <w:tcW w:w="108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92"/>
        </w:trPr>
        <w:tc>
          <w:tcPr>
            <w:tcW w:w="55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 Cash ($)</w:t>
            </w:r>
          </w:p>
        </w:tc>
        <w:tc>
          <w:tcPr>
            <w:tcW w:w="360" w:type="dxa"/>
            <w:vAlign w:val="bottom"/>
          </w:tcPr>
          <w:p>
            <w:pPr>
              <w:spacing w:after="0"/>
              <w:rPr>
                <w:sz w:val="16"/>
                <w:szCs w:val="16"/>
                <w:color w:val="auto"/>
              </w:rPr>
            </w:pPr>
          </w:p>
        </w:tc>
        <w:tc>
          <w:tcPr>
            <w:tcW w:w="980" w:type="dxa"/>
            <w:vAlign w:val="bottom"/>
          </w:tcPr>
          <w:p>
            <w:pPr>
              <w:ind w:left="22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Patrick W. Allender</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113,750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116,537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230,287</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David S. Bem</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105,750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116,537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222,287</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Elizabeth P. Bruno</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225,287</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Joanne Collins Smee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89,283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116,537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205,820</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Nancy L. Gioia</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219,287</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Frank W. Harris (3)</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116,537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140,787</w:t>
            </w:r>
          </w:p>
        </w:tc>
        <w:tc>
          <w:tcPr>
            <w:tcW w:w="0" w:type="dxa"/>
            <w:vAlign w:val="bottom"/>
          </w:tcPr>
          <w:p>
            <w:pPr>
              <w:spacing w:after="0"/>
              <w:rPr>
                <w:sz w:val="1"/>
                <w:szCs w:val="1"/>
                <w:color w:val="auto"/>
              </w:rPr>
            </w:pPr>
          </w:p>
        </w:tc>
      </w:tr>
      <w:tr>
        <w:trPr>
          <w:trHeight w:val="230"/>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Vineet Nargolwala</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205,287</w:t>
            </w:r>
          </w:p>
        </w:tc>
        <w:tc>
          <w:tcPr>
            <w:tcW w:w="0" w:type="dxa"/>
            <w:vAlign w:val="bottom"/>
          </w:tcPr>
          <w:p>
            <w:pPr>
              <w:spacing w:after="0"/>
              <w:rPr>
                <w:sz w:val="1"/>
                <w:szCs w:val="1"/>
                <w:color w:val="auto"/>
              </w:rPr>
            </w:pPr>
          </w:p>
        </w:tc>
      </w:tr>
      <w:tr>
        <w:trPr>
          <w:trHeight w:val="230"/>
        </w:trPr>
        <w:tc>
          <w:tcPr>
            <w:tcW w:w="5580" w:type="dxa"/>
            <w:vAlign w:val="bottom"/>
            <w:gridSpan w:val="2"/>
          </w:tcPr>
          <w:p>
            <w:pPr>
              <w:ind w:left="20"/>
              <w:spacing w:after="0"/>
              <w:rPr>
                <w:sz w:val="20"/>
                <w:szCs w:val="20"/>
                <w:color w:val="auto"/>
              </w:rPr>
            </w:pPr>
            <w:r>
              <w:rPr>
                <w:rFonts w:ascii="Arial" w:cs="Arial" w:eastAsia="Arial" w:hAnsi="Arial"/>
                <w:sz w:val="18"/>
                <w:szCs w:val="18"/>
                <w:color w:val="auto"/>
              </w:rPr>
              <w:t>Bradley C. Richardson</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214,083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116,537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330,620</w:t>
            </w:r>
          </w:p>
        </w:tc>
        <w:tc>
          <w:tcPr>
            <w:tcW w:w="0" w:type="dxa"/>
            <w:vAlign w:val="bottom"/>
          </w:tcPr>
          <w:p>
            <w:pPr>
              <w:spacing w:after="0"/>
              <w:rPr>
                <w:sz w:val="1"/>
                <w:szCs w:val="1"/>
                <w:color w:val="auto"/>
              </w:rPr>
            </w:pPr>
          </w:p>
        </w:tc>
      </w:tr>
      <w:tr>
        <w:trPr>
          <w:trHeight w:val="229"/>
        </w:trPr>
        <w:tc>
          <w:tcPr>
            <w:tcW w:w="5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Michelle E. Williams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239,231</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660" w:hanging="328"/>
        <w:spacing w:after="0" w:line="254" w:lineRule="auto"/>
        <w:tabs>
          <w:tab w:leader="none" w:pos="654"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stock options were awarded to non-management directors in fiscal 2023. Outstanding option awards at July 31, 2023, for each individual who served as director in fiscal 2023 include the following: Mr. Allender, 8,500; Ms. Gioia, 8,500; and Mr. Harris, 3,250. The actual value, if any, which an option holder will realize upon the exercise of an option will depend on the excess of the market value of the Company's common stock over the exercise price on the date the option is exercised.</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the fair value of shares of Brady Corporation Class A Non-Voting Common Stock granted in fiscal 2023 as compensation for their services. The shares of unrestricted stock granted to the non-management directors were valued at the average of the high and low market price of $43.50 on September 19, 2022, for those non-management directors on the board as of that grant date.</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Mr. Harris retired from the Board on November 16, 2022.</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5" w:lineRule="exact"/>
        <w:rPr>
          <w:sz w:val="20"/>
          <w:szCs w:val="20"/>
          <w:color w:val="auto"/>
        </w:rPr>
      </w:pPr>
    </w:p>
    <w:p>
      <w:pPr>
        <w:ind w:left="260" w:hanging="252"/>
        <w:spacing w:after="0"/>
        <w:tabs>
          <w:tab w:leader="none" w:pos="2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Certain Beneficial Owners</w:t>
      </w:r>
    </w:p>
    <w:p>
      <w:pPr>
        <w:spacing w:after="0" w:line="171"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following table sets forth the current beneficial ownership of shareholders who are known by the Company to own more than five percent (5%) of any class of the Company’s voting shares on July 31, 2023. As of that date, nearly all of the voting stock of the Company was held by two trusts controlled by direct descendants of the Company’s founder, William H. Brady,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Title of Class</w:t>
            </w:r>
          </w:p>
        </w:tc>
        <w:tc>
          <w:tcPr>
            <w:tcW w:w="434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Name and Address of Beneficial Owner</w:t>
            </w:r>
          </w:p>
        </w:tc>
        <w:tc>
          <w:tcPr>
            <w:tcW w:w="1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Amount of Beneficial</w:t>
            </w:r>
          </w:p>
        </w:tc>
        <w:tc>
          <w:tcPr>
            <w:tcW w:w="1980" w:type="dxa"/>
            <w:vAlign w:val="bottom"/>
          </w:tcPr>
          <w:p>
            <w:pPr>
              <w:jc w:val="right"/>
              <w:ind w:right="599"/>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92"/>
        </w:trPr>
        <w:tc>
          <w:tcPr>
            <w:tcW w:w="2920" w:type="dxa"/>
            <w:vAlign w:val="bottom"/>
            <w:gridSpan w:val="2"/>
            <w:vMerge w:val="continue"/>
          </w:tcPr>
          <w:p>
            <w:pPr>
              <w:spacing w:after="0"/>
              <w:rPr>
                <w:sz w:val="16"/>
                <w:szCs w:val="16"/>
                <w:color w:val="auto"/>
              </w:rPr>
            </w:pPr>
          </w:p>
        </w:tc>
        <w:tc>
          <w:tcPr>
            <w:tcW w:w="4340" w:type="dxa"/>
            <w:vAlign w:val="bottom"/>
            <w:gridSpan w:val="2"/>
            <w:vMerge w:val="continue"/>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Ownership</w:t>
            </w:r>
          </w:p>
        </w:tc>
        <w:tc>
          <w:tcPr>
            <w:tcW w:w="1980" w:type="dxa"/>
            <w:vAlign w:val="bottom"/>
          </w:tcPr>
          <w:p>
            <w:pPr>
              <w:jc w:val="right"/>
              <w:ind w:right="459"/>
              <w:spacing w:after="0"/>
              <w:rPr>
                <w:sz w:val="20"/>
                <w:szCs w:val="20"/>
                <w:color w:val="auto"/>
              </w:rPr>
            </w:pPr>
            <w:r>
              <w:rPr>
                <w:rFonts w:ascii="Arial" w:cs="Arial" w:eastAsia="Arial" w:hAnsi="Arial"/>
                <w:sz w:val="14"/>
                <w:szCs w:val="14"/>
                <w:b w:val="1"/>
                <w:bCs w:val="1"/>
                <w:color w:val="auto"/>
              </w:rPr>
              <w:t>Ownership (2)</w:t>
            </w:r>
          </w:p>
        </w:tc>
        <w:tc>
          <w:tcPr>
            <w:tcW w:w="0" w:type="dxa"/>
            <w:vAlign w:val="bottom"/>
          </w:tcPr>
          <w:p>
            <w:pPr>
              <w:spacing w:after="0"/>
              <w:rPr>
                <w:sz w:val="1"/>
                <w:szCs w:val="1"/>
                <w:color w:val="auto"/>
              </w:rPr>
            </w:pPr>
          </w:p>
        </w:tc>
      </w:tr>
      <w:tr>
        <w:trPr>
          <w:trHeight w:val="175"/>
        </w:trPr>
        <w:tc>
          <w:tcPr>
            <w:tcW w:w="280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Class B Common Stock</w:t>
            </w:r>
          </w:p>
        </w:tc>
        <w:tc>
          <w:tcPr>
            <w:tcW w:w="120" w:type="dxa"/>
            <w:vAlign w:val="bottom"/>
            <w:tcBorders>
              <w:top w:val="single" w:sz="8" w:color="CCEEFF"/>
            </w:tcBorders>
            <w:shd w:val="clear" w:color="auto" w:fill="CCEEFF"/>
          </w:tcPr>
          <w:p>
            <w:pPr>
              <w:spacing w:after="0"/>
              <w:rPr>
                <w:sz w:val="15"/>
                <w:szCs w:val="15"/>
                <w:color w:val="auto"/>
              </w:rPr>
            </w:pPr>
          </w:p>
        </w:tc>
        <w:tc>
          <w:tcPr>
            <w:tcW w:w="422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w w:val="93"/>
              </w:rPr>
              <w:t>EBL GST Non-Exempt Stock B Trust (1) c/o Elizabeth P.</w:t>
            </w:r>
          </w:p>
        </w:tc>
        <w:tc>
          <w:tcPr>
            <w:tcW w:w="120" w:type="dxa"/>
            <w:vAlign w:val="bottom"/>
            <w:tcBorders>
              <w:top w:val="single" w:sz="8" w:color="CCEEFF"/>
            </w:tcBorders>
            <w:shd w:val="clear" w:color="auto" w:fill="CCEEFF"/>
          </w:tcPr>
          <w:p>
            <w:pPr>
              <w:spacing w:after="0"/>
              <w:rPr>
                <w:sz w:val="15"/>
                <w:szCs w:val="15"/>
                <w:color w:val="auto"/>
              </w:rPr>
            </w:pPr>
          </w:p>
        </w:tc>
        <w:tc>
          <w:tcPr>
            <w:tcW w:w="184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1,769,304</w:t>
            </w:r>
          </w:p>
        </w:tc>
        <w:tc>
          <w:tcPr>
            <w:tcW w:w="10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Bruno 2002 S. Hawick Ct. Chapel Hill, NC 27516</w:t>
            </w: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340" w:type="dxa"/>
            <w:vAlign w:val="bottom"/>
            <w:gridSpan w:val="2"/>
          </w:tcPr>
          <w:p>
            <w:pPr>
              <w:spacing w:after="0" w:line="176" w:lineRule="exact"/>
              <w:rPr>
                <w:sz w:val="20"/>
                <w:szCs w:val="20"/>
                <w:color w:val="auto"/>
              </w:rPr>
            </w:pPr>
            <w:r>
              <w:rPr>
                <w:rFonts w:ascii="Arial" w:cs="Arial" w:eastAsia="Arial" w:hAnsi="Arial"/>
                <w:sz w:val="18"/>
                <w:szCs w:val="18"/>
                <w:color w:val="auto"/>
              </w:rPr>
              <w:t>William H. Brady III Living Trust dated November 1,</w:t>
            </w:r>
          </w:p>
        </w:tc>
        <w:tc>
          <w:tcPr>
            <w:tcW w:w="1840" w:type="dxa"/>
            <w:vAlign w:val="bottom"/>
          </w:tcPr>
          <w:p>
            <w:pPr>
              <w:jc w:val="right"/>
              <w:spacing w:after="0" w:line="176" w:lineRule="exact"/>
              <w:rPr>
                <w:sz w:val="20"/>
                <w:szCs w:val="20"/>
                <w:color w:val="auto"/>
              </w:rPr>
            </w:pPr>
            <w:r>
              <w:rPr>
                <w:rFonts w:ascii="Arial" w:cs="Arial" w:eastAsia="Arial" w:hAnsi="Arial"/>
                <w:sz w:val="18"/>
                <w:szCs w:val="18"/>
                <w:color w:val="auto"/>
              </w:rPr>
              <w:t>1,769,304</w:t>
            </w:r>
          </w:p>
        </w:tc>
        <w:tc>
          <w:tcPr>
            <w:tcW w:w="100" w:type="dxa"/>
            <w:vAlign w:val="bottom"/>
          </w:tcPr>
          <w:p>
            <w:pPr>
              <w:spacing w:after="0"/>
              <w:rPr>
                <w:sz w:val="15"/>
                <w:szCs w:val="15"/>
                <w:color w:val="auto"/>
              </w:rPr>
            </w:pPr>
          </w:p>
        </w:tc>
        <w:tc>
          <w:tcPr>
            <w:tcW w:w="1980" w:type="dxa"/>
            <w:vAlign w:val="bottom"/>
          </w:tcPr>
          <w:p>
            <w:pPr>
              <w:jc w:val="right"/>
              <w:spacing w:after="0" w:line="176"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2013 (3)</w:t>
            </w:r>
          </w:p>
        </w:tc>
        <w:tc>
          <w:tcPr>
            <w:tcW w:w="1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gridSpan w:val="2"/>
          </w:tcPr>
          <w:p>
            <w:pPr>
              <w:spacing w:after="0" w:line="189" w:lineRule="exact"/>
              <w:rPr>
                <w:sz w:val="20"/>
                <w:szCs w:val="20"/>
                <w:color w:val="auto"/>
              </w:rPr>
            </w:pPr>
            <w:r>
              <w:rPr>
                <w:rFonts w:ascii="Arial" w:cs="Arial" w:eastAsia="Arial" w:hAnsi="Arial"/>
                <w:sz w:val="18"/>
                <w:szCs w:val="18"/>
                <w:color w:val="auto"/>
              </w:rPr>
              <w:t>c/o William H. Brady III</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340" w:type="dxa"/>
            <w:vAlign w:val="bottom"/>
            <w:gridSpan w:val="2"/>
          </w:tcPr>
          <w:p>
            <w:pPr>
              <w:spacing w:after="0" w:line="189" w:lineRule="exact"/>
              <w:rPr>
                <w:sz w:val="20"/>
                <w:szCs w:val="20"/>
                <w:color w:val="auto"/>
              </w:rPr>
            </w:pPr>
            <w:r>
              <w:rPr>
                <w:rFonts w:ascii="Arial" w:cs="Arial" w:eastAsia="Arial" w:hAnsi="Arial"/>
                <w:sz w:val="18"/>
                <w:szCs w:val="18"/>
                <w:color w:val="auto"/>
              </w:rPr>
              <w:t>249 Rosemont Ave.</w:t>
            </w:r>
          </w:p>
        </w:tc>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Pasadena, CA 91103</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hanging="328"/>
        <w:spacing w:after="0" w:line="258" w:lineRule="auto"/>
        <w:tabs>
          <w:tab w:leader="none" w:pos="654"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trustee is Elizabeth P. Bruno, who has sole voting and dispositive power and who is the remainder beneficiary. Elizabeth Bruno is the great-granddaughter of William H. Brady and currently serves on the Company’s Board of Directors.</w:t>
      </w:r>
    </w:p>
    <w:p>
      <w:pPr>
        <w:spacing w:after="0" w:line="1" w:lineRule="exact"/>
        <w:rPr>
          <w:rFonts w:ascii="Arial" w:cs="Arial" w:eastAsia="Arial" w:hAnsi="Arial"/>
          <w:sz w:val="18"/>
          <w:szCs w:val="18"/>
          <w:color w:val="auto"/>
        </w:rPr>
      </w:pPr>
    </w:p>
    <w:p>
      <w:pPr>
        <w:ind w:left="640" w:hanging="308"/>
        <w:spacing w:after="0"/>
        <w:tabs>
          <w:tab w:leader="none" w:pos="6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 additional 20 shares are owned by a third trust with different trustees.</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4" w:val="left"/>
        </w:tabs>
        <w:numPr>
          <w:ilvl w:val="1"/>
          <w:numId w:val="66"/>
        </w:numPr>
        <w:rPr>
          <w:rFonts w:ascii="Arial" w:cs="Arial" w:eastAsia="Arial" w:hAnsi="Arial"/>
          <w:sz w:val="18"/>
          <w:szCs w:val="18"/>
          <w:color w:val="auto"/>
        </w:rPr>
      </w:pPr>
      <w:r>
        <w:rPr>
          <w:rFonts w:ascii="Arial" w:cs="Arial" w:eastAsia="Arial" w:hAnsi="Arial"/>
          <w:sz w:val="18"/>
          <w:szCs w:val="18"/>
          <w:color w:val="auto"/>
        </w:rPr>
        <w:t>William H. Brady III is grantor of this revocable trust and shares voting and dispositive powers with respect to these shares with his co-trustee. William H. Brady III is the grandson of William H. Brady.</w:t>
      </w:r>
    </w:p>
    <w:p>
      <w:pPr>
        <w:spacing w:after="0" w:line="131" w:lineRule="exact"/>
        <w:rPr>
          <w:rFonts w:ascii="Arial" w:cs="Arial" w:eastAsia="Arial" w:hAnsi="Arial"/>
          <w:sz w:val="18"/>
          <w:szCs w:val="18"/>
          <w:color w:val="auto"/>
        </w:rPr>
      </w:pPr>
    </w:p>
    <w:p>
      <w:pPr>
        <w:ind w:left="280" w:hanging="272"/>
        <w:spacing w:after="0"/>
        <w:tabs>
          <w:tab w:leader="none" w:pos="28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Security Ownership of Management</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The following table sets forth the current beneficial ownership of each class of equity securities of the Company by each director and NEO individually and by all directors and Officers of the Company as a group as of July 31, 2023. Unless otherwise noted, the address for each of the listed persons is c/o Brady Corporation, 6555 West Good Hope Road, Milwaukee, Wisconsin 53223. Except as otherwise indicated, all shares are owned directly.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Title of Class</w:t>
            </w:r>
          </w:p>
        </w:tc>
        <w:tc>
          <w:tcPr>
            <w:tcW w:w="48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Name of Beneficial Owner &amp; Nature of Beneficial Ownership</w:t>
            </w:r>
          </w:p>
        </w:tc>
        <w:tc>
          <w:tcPr>
            <w:tcW w:w="1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Amount of Beneficial</w:t>
            </w:r>
          </w:p>
        </w:tc>
        <w:tc>
          <w:tcPr>
            <w:tcW w:w="19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Percent of Ownership</w:t>
            </w:r>
          </w:p>
        </w:tc>
        <w:tc>
          <w:tcPr>
            <w:tcW w:w="0" w:type="dxa"/>
            <w:vAlign w:val="bottom"/>
          </w:tcPr>
          <w:p>
            <w:pPr>
              <w:spacing w:after="0"/>
              <w:rPr>
                <w:sz w:val="1"/>
                <w:szCs w:val="1"/>
                <w:color w:val="auto"/>
              </w:rPr>
            </w:pPr>
          </w:p>
        </w:tc>
      </w:tr>
      <w:tr>
        <w:trPr>
          <w:trHeight w:val="192"/>
        </w:trPr>
        <w:tc>
          <w:tcPr>
            <w:tcW w:w="2520" w:type="dxa"/>
            <w:vAlign w:val="bottom"/>
            <w:gridSpan w:val="2"/>
            <w:vMerge w:val="continue"/>
          </w:tcPr>
          <w:p>
            <w:pPr>
              <w:spacing w:after="0"/>
              <w:rPr>
                <w:sz w:val="16"/>
                <w:szCs w:val="16"/>
                <w:color w:val="auto"/>
              </w:rPr>
            </w:pPr>
          </w:p>
        </w:tc>
        <w:tc>
          <w:tcPr>
            <w:tcW w:w="4800" w:type="dxa"/>
            <w:vAlign w:val="bottom"/>
            <w:gridSpan w:val="2"/>
            <w:vMerge w:val="continue"/>
          </w:tcPr>
          <w:p>
            <w:pPr>
              <w:spacing w:after="0"/>
              <w:rPr>
                <w:sz w:val="16"/>
                <w:szCs w:val="16"/>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Ownership (4)(5)(6)</w:t>
            </w:r>
          </w:p>
        </w:tc>
        <w:tc>
          <w:tcPr>
            <w:tcW w:w="1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10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Elizabeth P. Bruno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978,385</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Aaron J. Pearce </w:t>
            </w:r>
            <w:r>
              <w:rPr>
                <w:rFonts w:ascii="Arial" w:cs="Arial" w:eastAsia="Arial" w:hAnsi="Arial"/>
                <w:sz w:val="23"/>
                <w:szCs w:val="23"/>
                <w:color w:val="auto"/>
                <w:vertAlign w:val="superscript"/>
              </w:rPr>
              <w:t>(2)</w:t>
            </w:r>
          </w:p>
        </w:tc>
        <w:tc>
          <w:tcPr>
            <w:tcW w:w="1800" w:type="dxa"/>
            <w:vAlign w:val="bottom"/>
          </w:tcPr>
          <w:p>
            <w:pPr>
              <w:jc w:val="right"/>
              <w:spacing w:after="0"/>
              <w:rPr>
                <w:sz w:val="20"/>
                <w:szCs w:val="20"/>
                <w:color w:val="auto"/>
              </w:rPr>
            </w:pPr>
            <w:r>
              <w:rPr>
                <w:rFonts w:ascii="Arial" w:cs="Arial" w:eastAsia="Arial" w:hAnsi="Arial"/>
                <w:sz w:val="18"/>
                <w:szCs w:val="18"/>
                <w:color w:val="auto"/>
              </w:rPr>
              <w:t>334,245</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Russell R. Shaller</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208,041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Patrick W. Allender </w:t>
            </w:r>
            <w:r>
              <w:rPr>
                <w:rFonts w:ascii="Arial" w:cs="Arial" w:eastAsia="Arial" w:hAnsi="Arial"/>
                <w:sz w:val="23"/>
                <w:szCs w:val="23"/>
                <w:color w:val="auto"/>
                <w:vertAlign w:val="superscript"/>
              </w:rPr>
              <w:t>(3)</w:t>
            </w:r>
          </w:p>
        </w:tc>
        <w:tc>
          <w:tcPr>
            <w:tcW w:w="1800" w:type="dxa"/>
            <w:vAlign w:val="bottom"/>
          </w:tcPr>
          <w:p>
            <w:pPr>
              <w:jc w:val="right"/>
              <w:spacing w:after="0"/>
              <w:rPr>
                <w:sz w:val="20"/>
                <w:szCs w:val="20"/>
                <w:color w:val="auto"/>
              </w:rPr>
            </w:pPr>
            <w:r>
              <w:rPr>
                <w:rFonts w:ascii="Arial" w:cs="Arial" w:eastAsia="Arial" w:hAnsi="Arial"/>
                <w:sz w:val="18"/>
                <w:szCs w:val="18"/>
                <w:color w:val="auto"/>
              </w:rPr>
              <w:t>128,440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Bradley C. Richardson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73,115</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Bentley N. Curran</w:t>
            </w:r>
          </w:p>
        </w:tc>
        <w:tc>
          <w:tcPr>
            <w:tcW w:w="1800" w:type="dxa"/>
            <w:vAlign w:val="bottom"/>
          </w:tcPr>
          <w:p>
            <w:pPr>
              <w:jc w:val="right"/>
              <w:spacing w:after="0"/>
              <w:rPr>
                <w:sz w:val="20"/>
                <w:szCs w:val="20"/>
                <w:color w:val="auto"/>
              </w:rPr>
            </w:pPr>
            <w:r>
              <w:rPr>
                <w:rFonts w:ascii="Arial" w:cs="Arial" w:eastAsia="Arial" w:hAnsi="Arial"/>
                <w:sz w:val="18"/>
                <w:szCs w:val="18"/>
                <w:color w:val="auto"/>
              </w:rPr>
              <w:t>36,846</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Nancy L. Gioia</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35,491</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Ann E. Thornton</w:t>
            </w:r>
          </w:p>
        </w:tc>
        <w:tc>
          <w:tcPr>
            <w:tcW w:w="1800" w:type="dxa"/>
            <w:vAlign w:val="bottom"/>
          </w:tcPr>
          <w:p>
            <w:pPr>
              <w:jc w:val="right"/>
              <w:spacing w:after="0"/>
              <w:rPr>
                <w:sz w:val="20"/>
                <w:szCs w:val="20"/>
                <w:color w:val="auto"/>
              </w:rPr>
            </w:pPr>
            <w:r>
              <w:rPr>
                <w:rFonts w:ascii="Arial" w:cs="Arial" w:eastAsia="Arial" w:hAnsi="Arial"/>
                <w:sz w:val="18"/>
                <w:szCs w:val="18"/>
                <w:color w:val="auto"/>
              </w:rPr>
              <w:t>32,610</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Andrew T. Gorman</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17,567</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Michelle E. Williams</w:t>
            </w:r>
          </w:p>
        </w:tc>
        <w:tc>
          <w:tcPr>
            <w:tcW w:w="1800" w:type="dxa"/>
            <w:vAlign w:val="bottom"/>
          </w:tcPr>
          <w:p>
            <w:pPr>
              <w:jc w:val="right"/>
              <w:spacing w:after="0"/>
              <w:rPr>
                <w:sz w:val="20"/>
                <w:szCs w:val="20"/>
                <w:color w:val="auto"/>
              </w:rPr>
            </w:pPr>
            <w:r>
              <w:rPr>
                <w:rFonts w:ascii="Arial" w:cs="Arial" w:eastAsia="Arial" w:hAnsi="Arial"/>
                <w:sz w:val="18"/>
                <w:szCs w:val="18"/>
                <w:color w:val="auto"/>
              </w:rPr>
              <w:t>17,398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David S. Bem</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11,958</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Joanne Collins Smee</w:t>
            </w:r>
          </w:p>
        </w:tc>
        <w:tc>
          <w:tcPr>
            <w:tcW w:w="1800" w:type="dxa"/>
            <w:vAlign w:val="bottom"/>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Vineet Nargolwala</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Olivier Bojarski</w:t>
            </w:r>
          </w:p>
        </w:tc>
        <w:tc>
          <w:tcPr>
            <w:tcW w:w="1800" w:type="dxa"/>
            <w:vAlign w:val="bottom"/>
          </w:tcPr>
          <w:p>
            <w:pPr>
              <w:jc w:val="right"/>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Officers and Directors as a Group (14 persons)</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1,888,474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Class B Common Stock</w:t>
            </w:r>
          </w:p>
        </w:tc>
        <w:tc>
          <w:tcPr>
            <w:tcW w:w="48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Elizabeth P. Bruno </w:t>
            </w:r>
            <w:r>
              <w:rPr>
                <w:rFonts w:ascii="Arial" w:cs="Arial" w:eastAsia="Arial" w:hAnsi="Arial"/>
                <w:sz w:val="23"/>
                <w:szCs w:val="23"/>
                <w:color w:val="auto"/>
                <w:vertAlign w:val="superscript"/>
              </w:rPr>
              <w:t>(1)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1,769,304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680" w:hanging="411"/>
        <w:spacing w:after="0"/>
        <w:tabs>
          <w:tab w:leader="none" w:pos="6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Indicates less than one-tenth of one percent.</w:t>
      </w:r>
    </w:p>
    <w:p>
      <w:pPr>
        <w:spacing w:after="0" w:line="265" w:lineRule="exact"/>
        <w:rPr>
          <w:rFonts w:ascii="Arial" w:cs="Arial" w:eastAsia="Arial" w:hAnsi="Arial"/>
          <w:sz w:val="18"/>
          <w:szCs w:val="18"/>
          <w:color w:val="auto"/>
        </w:rPr>
      </w:pPr>
    </w:p>
    <w:p>
      <w:pPr>
        <w:ind w:left="660" w:hanging="328"/>
        <w:spacing w:after="0" w:line="277" w:lineRule="auto"/>
        <w:tabs>
          <w:tab w:leader="none" w:pos="654" w:val="left"/>
        </w:tabs>
        <w:numPr>
          <w:ilvl w:val="1"/>
          <w:numId w:val="68"/>
        </w:numPr>
        <w:rPr>
          <w:rFonts w:ascii="Arial" w:cs="Arial" w:eastAsia="Arial" w:hAnsi="Arial"/>
          <w:sz w:val="18"/>
          <w:szCs w:val="18"/>
          <w:color w:val="auto"/>
        </w:rPr>
      </w:pPr>
      <w:r>
        <w:rPr>
          <w:rFonts w:ascii="Arial" w:cs="Arial" w:eastAsia="Arial" w:hAnsi="Arial"/>
          <w:sz w:val="18"/>
          <w:szCs w:val="18"/>
          <w:color w:val="auto"/>
        </w:rPr>
        <w:t>Ms. Bruno’s holdings of Class A Common Stock include 600,000 shares owned by a trust for which she is a trustee and has sole dispositive and voting authority and 16,530 shares owned by trusts in which she is a co-trustee.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60"/>
        <w:spacing w:after="0" w:line="258" w:lineRule="auto"/>
        <w:rPr>
          <w:sz w:val="20"/>
          <w:szCs w:val="20"/>
          <w:color w:val="auto"/>
        </w:rPr>
      </w:pPr>
      <w:r>
        <w:rPr>
          <w:rFonts w:ascii="Arial" w:cs="Arial" w:eastAsia="Arial" w:hAnsi="Arial"/>
          <w:sz w:val="18"/>
          <w:szCs w:val="18"/>
          <w:color w:val="auto"/>
        </w:rPr>
        <w:t>Ms. Bruno’s holdings of Class B Common Stock include 1,769,304 shares owned by a trust over which she has sole dispositive and voting authority.</w:t>
      </w:r>
    </w:p>
    <w:p>
      <w:pPr>
        <w:spacing w:after="0" w:line="1" w:lineRule="exact"/>
        <w:rPr>
          <w:sz w:val="20"/>
          <w:szCs w:val="20"/>
          <w:color w:val="auto"/>
        </w:rPr>
      </w:pPr>
    </w:p>
    <w:p>
      <w:pPr>
        <w:ind w:left="660" w:hanging="328"/>
        <w:spacing w:after="0" w:line="250" w:lineRule="auto"/>
        <w:tabs>
          <w:tab w:leader="none" w:pos="654" w:val="left"/>
        </w:tabs>
        <w:numPr>
          <w:ilvl w:val="1"/>
          <w:numId w:val="69"/>
        </w:numPr>
        <w:rPr>
          <w:rFonts w:ascii="Arial" w:cs="Arial" w:eastAsia="Arial" w:hAnsi="Arial"/>
          <w:sz w:val="18"/>
          <w:szCs w:val="18"/>
          <w:color w:val="auto"/>
        </w:rPr>
      </w:pPr>
      <w:r>
        <w:rPr>
          <w:rFonts w:ascii="Arial" w:cs="Arial" w:eastAsia="Arial" w:hAnsi="Arial"/>
          <w:sz w:val="18"/>
          <w:szCs w:val="18"/>
          <w:color w:val="auto"/>
        </w:rPr>
        <w:t>Effective April 14, 2023, Mr. Pearce resigned from his position as Chief Financial Officer and Treasurer of the Company. As such, he was no longer serving as an officer of the Company as of July 31, 2023.</w:t>
      </w:r>
    </w:p>
    <w:p>
      <w:pPr>
        <w:ind w:left="640" w:hanging="308"/>
        <w:spacing w:after="0"/>
        <w:tabs>
          <w:tab w:leader="none" w:pos="640" w:val="left"/>
        </w:tabs>
        <w:numPr>
          <w:ilvl w:val="1"/>
          <w:numId w:val="69"/>
        </w:numPr>
        <w:rPr>
          <w:rFonts w:ascii="Arial" w:cs="Arial" w:eastAsia="Arial" w:hAnsi="Arial"/>
          <w:sz w:val="17"/>
          <w:szCs w:val="17"/>
          <w:color w:val="auto"/>
        </w:rPr>
      </w:pPr>
      <w:r>
        <w:rPr>
          <w:rFonts w:ascii="Arial" w:cs="Arial" w:eastAsia="Arial" w:hAnsi="Arial"/>
          <w:sz w:val="17"/>
          <w:szCs w:val="17"/>
          <w:color w:val="auto"/>
        </w:rPr>
        <w:t>Mr. Allender's holdings of Class A Common Stock include 32,672 shares owned by the Patrick and Deborah Allender Irrevocable Trust.</w:t>
      </w:r>
    </w:p>
    <w:p>
      <w:pPr>
        <w:spacing w:after="0" w:line="20" w:lineRule="exact"/>
        <w:rPr>
          <w:rFonts w:ascii="Arial" w:cs="Arial" w:eastAsia="Arial" w:hAnsi="Arial"/>
          <w:sz w:val="17"/>
          <w:szCs w:val="17"/>
          <w:color w:val="auto"/>
        </w:rPr>
      </w:pPr>
    </w:p>
    <w:p>
      <w:pPr>
        <w:jc w:val="both"/>
        <w:ind w:left="660" w:hanging="328"/>
        <w:spacing w:after="0" w:line="250" w:lineRule="auto"/>
        <w:tabs>
          <w:tab w:leader="none" w:pos="654"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(14 persons) includes options to acquire a total of 450,396 shares of Class A Common Stock, which are currently exercisable or will be exercisable within 60 days of July 31, 2023, including the following: Mr. Pearce, 240,030 shares; Mr. Shaller, 138,085 shares; Mr. Allender, 8,500 shares; Mr. Curran, 22,485 shares; Ms. Gioia, 8,500 shares; Ms. Thornton, 20,639 shares; and Mr. Gorman, 12,157 shares. It does not include other options for Class A Common Stock which have been granted at later dates and are not exercisable within 60 days of July 31, 2023.</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(14 persons) includes unvested restricted stock units to acquire 14,781 shares of Class A Common stock, which will vest within 60 days of July 31, 2023, including the following: Mr. Shaller, 7,008 units; Mr. Curran, 1,366 units; Ms. Thornton, 652 units; Mr. Gorman, 1,667 units, and Mr. Bojarski, 4,088 units; It does not include unvested restricted stock awards or restricted stock units to acquire Class A Common Stock which have been granted at later dates and will not vest within 60 days of July 31, 2023.</w:t>
      </w:r>
    </w:p>
    <w:p>
      <w:pPr>
        <w:spacing w:after="0" w:line="1" w:lineRule="exact"/>
        <w:rPr>
          <w:rFonts w:ascii="Arial" w:cs="Arial" w:eastAsia="Arial" w:hAnsi="Arial"/>
          <w:sz w:val="18"/>
          <w:szCs w:val="18"/>
          <w:color w:val="auto"/>
        </w:rPr>
      </w:pPr>
    </w:p>
    <w:p>
      <w:pPr>
        <w:jc w:val="both"/>
        <w:ind w:left="660" w:hanging="328"/>
        <w:spacing w:after="0" w:line="253" w:lineRule="auto"/>
        <w:tabs>
          <w:tab w:leader="none" w:pos="654"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amount shown for all officers and directors individually and as a group (14 persons) includes Class A Common Stock owned in deferred compensation plans totaling 208,373 shares of Class A Common Stock, including the following: Ms. Bruno, 2,836 shares; Mr. Pearce, 3,977 shares; Mr. Allender, 87,178 shares; Mr. Richardson, 73,115 shares; Mr. Curran, 137 shares; Ms. Gioia, 15,586 shares; Dr. Williams, 15,255 shares; Ms. Collins Smee, 5,145 shares; and Mr. Nargolwala, 5,145 shares.</w:t>
      </w:r>
    </w:p>
    <w:p>
      <w:pPr>
        <w:spacing w:after="0" w:line="138" w:lineRule="exact"/>
        <w:rPr>
          <w:rFonts w:ascii="Arial" w:cs="Arial" w:eastAsia="Arial" w:hAnsi="Arial"/>
          <w:sz w:val="18"/>
          <w:szCs w:val="18"/>
          <w:color w:val="auto"/>
        </w:rPr>
      </w:pPr>
    </w:p>
    <w:p>
      <w:pPr>
        <w:ind w:left="260" w:hanging="252"/>
        <w:spacing w:after="0"/>
        <w:tabs>
          <w:tab w:leader="none" w:pos="26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Changes in Control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arrangements are known to the Company, which may, at a subsequent date, result in a change in control of the Company.</w:t>
      </w:r>
    </w:p>
    <w:p>
      <w:pPr>
        <w:spacing w:after="0" w:line="171" w:lineRule="exact"/>
        <w:rPr>
          <w:sz w:val="20"/>
          <w:szCs w:val="20"/>
          <w:color w:val="auto"/>
        </w:rPr>
      </w:pPr>
    </w:p>
    <w:p>
      <w:pPr>
        <w:ind w:left="280" w:hanging="272"/>
        <w:spacing w:after="0"/>
        <w:tabs>
          <w:tab w:leader="none" w:pos="28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 Compensation Plan Information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As of July 31, 2023</w:t>
            </w:r>
          </w:p>
        </w:tc>
        <w:tc>
          <w:tcPr>
            <w:tcW w:w="2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320" w:type="dxa"/>
            <w:vAlign w:val="bottom"/>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4"/>
        </w:trPr>
        <w:tc>
          <w:tcPr>
            <w:tcW w:w="3320" w:type="dxa"/>
            <w:vAlign w:val="bottom"/>
          </w:tcPr>
          <w:p>
            <w:pPr>
              <w:spacing w:after="0"/>
              <w:rPr>
                <w:sz w:val="12"/>
                <w:szCs w:val="12"/>
                <w:color w:val="auto"/>
              </w:rPr>
            </w:pPr>
          </w:p>
        </w:tc>
        <w:tc>
          <w:tcPr>
            <w:tcW w:w="2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Number of securities to be issued upon</w:t>
            </w:r>
          </w:p>
        </w:tc>
        <w:tc>
          <w:tcPr>
            <w:tcW w:w="160" w:type="dxa"/>
            <w:vAlign w:val="bottom"/>
          </w:tcPr>
          <w:p>
            <w:pPr>
              <w:spacing w:after="0"/>
              <w:rPr>
                <w:sz w:val="12"/>
                <w:szCs w:val="12"/>
                <w:color w:val="auto"/>
              </w:rPr>
            </w:pPr>
          </w:p>
        </w:tc>
        <w:tc>
          <w:tcPr>
            <w:tcW w:w="25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Weighted-average exercise price of</w:t>
            </w:r>
          </w:p>
        </w:tc>
        <w:tc>
          <w:tcPr>
            <w:tcW w:w="2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remaining available for future issuance</w:t>
            </w:r>
          </w:p>
        </w:tc>
        <w:tc>
          <w:tcPr>
            <w:tcW w:w="0" w:type="dxa"/>
            <w:vAlign w:val="bottom"/>
          </w:tcPr>
          <w:p>
            <w:pPr>
              <w:spacing w:after="0"/>
              <w:rPr>
                <w:sz w:val="1"/>
                <w:szCs w:val="1"/>
                <w:color w:val="auto"/>
              </w:rPr>
            </w:pPr>
          </w:p>
        </w:tc>
      </w:tr>
      <w:tr>
        <w:trPr>
          <w:trHeight w:val="139"/>
        </w:trPr>
        <w:tc>
          <w:tcPr>
            <w:tcW w:w="3320" w:type="dxa"/>
            <w:vAlign w:val="bottom"/>
          </w:tcPr>
          <w:p>
            <w:pPr>
              <w:spacing w:after="0"/>
              <w:rPr>
                <w:sz w:val="12"/>
                <w:szCs w:val="12"/>
                <w:color w:val="auto"/>
              </w:rPr>
            </w:pPr>
          </w:p>
        </w:tc>
        <w:tc>
          <w:tcPr>
            <w:tcW w:w="2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500" w:type="dxa"/>
            <w:vAlign w:val="bottom"/>
            <w:gridSpan w:val="2"/>
            <w:vMerge w:val="continue"/>
          </w:tcPr>
          <w:p>
            <w:pPr>
              <w:spacing w:after="0"/>
              <w:rPr>
                <w:sz w:val="12"/>
                <w:szCs w:val="12"/>
                <w:color w:val="auto"/>
              </w:rPr>
            </w:pPr>
          </w:p>
        </w:tc>
        <w:tc>
          <w:tcPr>
            <w:tcW w:w="25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under equity compensation plans</w:t>
            </w:r>
          </w:p>
        </w:tc>
        <w:tc>
          <w:tcPr>
            <w:tcW w:w="0" w:type="dxa"/>
            <w:vAlign w:val="bottom"/>
          </w:tcPr>
          <w:p>
            <w:pPr>
              <w:spacing w:after="0"/>
              <w:rPr>
                <w:sz w:val="1"/>
                <w:szCs w:val="1"/>
                <w:color w:val="auto"/>
              </w:rPr>
            </w:pPr>
          </w:p>
        </w:tc>
      </w:tr>
      <w:tr>
        <w:trPr>
          <w:trHeight w:val="144"/>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26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9"/>
              </w:rPr>
              <w:t>exercise of outstanding options,</w:t>
            </w:r>
          </w:p>
        </w:tc>
        <w:tc>
          <w:tcPr>
            <w:tcW w:w="266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1"/>
              </w:rPr>
              <w:t>outstanding options, warrants and rights</w:t>
            </w:r>
          </w:p>
        </w:tc>
        <w:tc>
          <w:tcPr>
            <w:tcW w:w="25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(excluding securities reflected in column</w:t>
            </w:r>
          </w:p>
        </w:tc>
        <w:tc>
          <w:tcPr>
            <w:tcW w:w="0" w:type="dxa"/>
            <w:vAlign w:val="bottom"/>
          </w:tcPr>
          <w:p>
            <w:pPr>
              <w:spacing w:after="0"/>
              <w:rPr>
                <w:sz w:val="1"/>
                <w:szCs w:val="1"/>
                <w:color w:val="auto"/>
              </w:rPr>
            </w:pPr>
          </w:p>
        </w:tc>
      </w:tr>
      <w:tr>
        <w:trPr>
          <w:trHeight w:val="196"/>
        </w:trPr>
        <w:tc>
          <w:tcPr>
            <w:tcW w:w="3320" w:type="dxa"/>
            <w:vAlign w:val="bottom"/>
            <w:vMerge w:val="continue"/>
          </w:tcPr>
          <w:p>
            <w:pPr>
              <w:spacing w:after="0"/>
              <w:rPr>
                <w:sz w:val="17"/>
                <w:szCs w:val="17"/>
                <w:color w:val="auto"/>
              </w:rPr>
            </w:pPr>
          </w:p>
        </w:tc>
        <w:tc>
          <w:tcPr>
            <w:tcW w:w="2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warrants and rights (a)</w:t>
            </w:r>
          </w:p>
        </w:tc>
        <w:tc>
          <w:tcPr>
            <w:tcW w:w="160" w:type="dxa"/>
            <w:vAlign w:val="bottom"/>
          </w:tcPr>
          <w:p>
            <w:pPr>
              <w:spacing w:after="0"/>
              <w:rPr>
                <w:sz w:val="17"/>
                <w:szCs w:val="17"/>
                <w:color w:val="auto"/>
              </w:rPr>
            </w:pPr>
          </w:p>
        </w:tc>
        <w:tc>
          <w:tcPr>
            <w:tcW w:w="2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(b)</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3"/>
              </w:rPr>
              <w:t>(a)) (c)</w:t>
            </w:r>
          </w:p>
        </w:tc>
        <w:tc>
          <w:tcPr>
            <w:tcW w:w="0" w:type="dxa"/>
            <w:vAlign w:val="bottom"/>
          </w:tcPr>
          <w:p>
            <w:pPr>
              <w:spacing w:after="0"/>
              <w:rPr>
                <w:sz w:val="1"/>
                <w:szCs w:val="1"/>
                <w:color w:val="auto"/>
              </w:rPr>
            </w:pPr>
          </w:p>
        </w:tc>
      </w:tr>
      <w:tr>
        <w:trPr>
          <w:trHeight w:val="162"/>
        </w:trPr>
        <w:tc>
          <w:tcPr>
            <w:tcW w:w="332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Equity compensation plans approved by</w:t>
            </w:r>
          </w:p>
        </w:tc>
        <w:tc>
          <w:tcPr>
            <w:tcW w:w="25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24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5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security holders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1,744,099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2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42.99</w:t>
            </w:r>
          </w:p>
        </w:tc>
        <w:tc>
          <w:tcPr>
            <w:tcW w:w="100" w:type="dxa"/>
            <w:vAlign w:val="bottom"/>
            <w:shd w:val="clear" w:color="auto" w:fill="CCEEFF"/>
          </w:tcPr>
          <w:p>
            <w:pPr>
              <w:spacing w:after="0"/>
              <w:rPr>
                <w:sz w:val="21"/>
                <w:szCs w:val="21"/>
                <w:color w:val="auto"/>
              </w:rPr>
            </w:pPr>
          </w:p>
        </w:tc>
        <w:tc>
          <w:tcPr>
            <w:tcW w:w="25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2,477,505</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Arial" w:cs="Arial" w:eastAsia="Arial" w:hAnsi="Arial"/>
                <w:sz w:val="18"/>
                <w:szCs w:val="18"/>
                <w:color w:val="auto"/>
                <w:w w:val="93"/>
              </w:rPr>
              <w:t>Equity compensation plans not approved by</w:t>
            </w:r>
          </w:p>
        </w:tc>
        <w:tc>
          <w:tcPr>
            <w:tcW w:w="2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security holders</w:t>
            </w:r>
          </w:p>
        </w:tc>
        <w:tc>
          <w:tcPr>
            <w:tcW w:w="2660" w:type="dxa"/>
            <w:vAlign w:val="bottom"/>
            <w:gridSpan w:val="2"/>
          </w:tcPr>
          <w:p>
            <w:pPr>
              <w:ind w:left="2160"/>
              <w:spacing w:after="0"/>
              <w:rPr>
                <w:sz w:val="20"/>
                <w:szCs w:val="20"/>
                <w:color w:val="auto"/>
              </w:rPr>
            </w:pPr>
            <w:r>
              <w:rPr>
                <w:rFonts w:ascii="Arial" w:cs="Arial" w:eastAsia="Arial" w:hAnsi="Arial"/>
                <w:sz w:val="18"/>
                <w:szCs w:val="18"/>
                <w:color w:val="auto"/>
              </w:rPr>
              <w:t>None</w:t>
            </w:r>
          </w:p>
        </w:tc>
        <w:tc>
          <w:tcPr>
            <w:tcW w:w="160" w:type="dxa"/>
            <w:vAlign w:val="bottom"/>
          </w:tcPr>
          <w:p>
            <w:pPr>
              <w:spacing w:after="0"/>
              <w:rPr>
                <w:sz w:val="21"/>
                <w:szCs w:val="21"/>
                <w:color w:val="auto"/>
              </w:rPr>
            </w:pPr>
          </w:p>
        </w:tc>
        <w:tc>
          <w:tcPr>
            <w:tcW w:w="2500" w:type="dxa"/>
            <w:vAlign w:val="bottom"/>
            <w:gridSpan w:val="2"/>
          </w:tcPr>
          <w:p>
            <w:pPr>
              <w:ind w:left="2000"/>
              <w:spacing w:after="0"/>
              <w:rPr>
                <w:sz w:val="20"/>
                <w:szCs w:val="20"/>
                <w:color w:val="auto"/>
              </w:rPr>
            </w:pPr>
            <w:r>
              <w:rPr>
                <w:rFonts w:ascii="Arial" w:cs="Arial" w:eastAsia="Arial" w:hAnsi="Arial"/>
                <w:sz w:val="18"/>
                <w:szCs w:val="18"/>
                <w:color w:val="auto"/>
              </w:rPr>
              <w:t>None</w:t>
            </w:r>
          </w:p>
        </w:tc>
        <w:tc>
          <w:tcPr>
            <w:tcW w:w="256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1,744,099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42.99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5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2,477,505</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equity compensation plan allows the granting of stock options, restricted stock, RSUs, and unrestricted stock to various officers, directors and other employees of the Company at prices equal to fair market value at the date of grant. The Company has reserved 5,000,000 shares of Class A Nonvoting Common Stock for issuance under the Brady Corporation 2017 Omnibus Incentive Stock Plan. Generally, options will not be exercisable until one year after the date of grant, and will be exercisable thereafter, to the extent of one-third per year and have a maximum term of ten years. Generally, RSUs vest one-third per year for the first three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Related Transactions, and Director Independence</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annually solicits information from its directors in order to ensure there are no conflicts of interest. The information gathered annually is reviewed by the Company and if any transactions are not in accordance with the rules of the NYSE or are potentially in violation of the Company’s Corporate Governance Principles, the transactions are referred to the Corporate Governance Committee for approval or other action. Further, potential affiliated party transactions would be reported as a part of the Company’s quarterly disclosure process. In addition, pursuant to its charter, the Company’s Audit Committee periodically reviews reports and disclosures of insider and affiliated party transaction with the Company, if any. Furthermore, the Company’s directors are expected to be mindful of their fiduciary obligations to the Company and to report any potential conflicts to the Corporate Governance Committee for review. Based on the Company’s consideration of all relevant facts and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circumstances, the Corporate Governance Committee will decide whether or not to approve such transactions and will approve only those transactions that are in the best interest of the Company. Additionally, the Company has processes in place to educate executives and employees about affiliated transactions. The Company maintains an anonymous hotline by which employees may report potential conflicts of interest such as affiliated party transactions.</w:t>
      </w:r>
    </w:p>
    <w:p>
      <w:pPr>
        <w:spacing w:after="0" w:line="9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undertaking its review of potential related party transactions, the Board considered the commercial relationships of the Company, if any, with those entities that have employed the Company’s directors. The commercial relationships, which involved the purchase and sale of products on customary terms, did not exceed the maximum amounts proscribed by the director independence rules of the NYSE. Furthermore, the compensation paid to the Company’s directors by their employers, was not linked in any way to the commercial relationships their employers had with the Company in fiscal 2023. After consideration of these factors, the Board concluded that none of the directors whose employers had a commercial relationship with the Company had a material interest in the transactions and the commercial relationships were not material to the Company. Based on these factors, the Company has determined that it does not have material related party transactions that affect the results of operations, cash flow or financial condition. The Company has also determined that no transactions occurred in fiscal 2023, or are currently proposed, that would require disclosure under Item 404 (a) of Regulation S-K.</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10 above for a discussion of director independence.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presents the aggregate fees incurred for professional services by Deloitte &amp; Touche LLP and Deloitte Tax LLP during the years ended July 31, 2023 and 2022. Other than as set forth below, no professional services were rendered or fees billed by Deloitte &amp; Touche LLP or Deloitte Tax LLP during the years ended July 31,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2023</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600" w:type="dxa"/>
            <w:vAlign w:val="bottom"/>
            <w:tcBorders>
              <w:bottom w:val="single" w:sz="8" w:color="auto"/>
            </w:tcBorders>
          </w:tcPr>
          <w:p>
            <w:pPr>
              <w:spacing w:after="0"/>
              <w:rPr>
                <w:sz w:val="20"/>
                <w:szCs w:val="20"/>
                <w:color w:val="auto"/>
              </w:rPr>
            </w:pPr>
          </w:p>
        </w:tc>
      </w:tr>
      <w:tr>
        <w:trPr>
          <w:trHeight w:val="223"/>
        </w:trPr>
        <w:tc>
          <w:tcPr>
            <w:tcW w:w="7520" w:type="dxa"/>
            <w:vAlign w:val="bottom"/>
          </w:tcPr>
          <w:p>
            <w:pPr>
              <w:spacing w:after="0"/>
              <w:rPr>
                <w:sz w:val="19"/>
                <w:szCs w:val="19"/>
                <w:color w:val="auto"/>
              </w:rPr>
            </w:pPr>
          </w:p>
        </w:tc>
        <w:tc>
          <w:tcPr>
            <w:tcW w:w="30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(Dollars in thousands)</w:t>
            </w:r>
          </w:p>
        </w:tc>
        <w:tc>
          <w:tcPr>
            <w:tcW w:w="600" w:type="dxa"/>
            <w:vAlign w:val="bottom"/>
          </w:tcPr>
          <w:p>
            <w:pPr>
              <w:spacing w:after="0"/>
              <w:rPr>
                <w:sz w:val="19"/>
                <w:szCs w:val="19"/>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Audit, audit-related and tax compliance:</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52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(1)</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9"/>
                <w:szCs w:val="19"/>
                <w:color w:val="auto"/>
              </w:rPr>
            </w:pP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1,162</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fees — compliance</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23"/>
        </w:trPr>
        <w:tc>
          <w:tcPr>
            <w:tcW w:w="7520" w:type="dxa"/>
            <w:vAlign w:val="bottom"/>
          </w:tcPr>
          <w:p>
            <w:pPr>
              <w:ind w:left="680"/>
              <w:spacing w:after="0"/>
              <w:rPr>
                <w:sz w:val="20"/>
                <w:szCs w:val="20"/>
                <w:color w:val="auto"/>
              </w:rPr>
            </w:pPr>
            <w:r>
              <w:rPr>
                <w:rFonts w:ascii="Arial" w:cs="Arial" w:eastAsia="Arial" w:hAnsi="Arial"/>
                <w:sz w:val="18"/>
                <w:szCs w:val="18"/>
                <w:i w:val="1"/>
                <w:iCs w:val="1"/>
                <w:color w:val="auto"/>
              </w:rPr>
              <w:t>Subtotal audit, audit-related and tax compliance fees</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1,697</w:t>
            </w: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Non-audit related:</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7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Tax fees — planning and advice</w:t>
            </w: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r>
      <w:tr>
        <w:trPr>
          <w:trHeight w:val="223"/>
        </w:trPr>
        <w:tc>
          <w:tcPr>
            <w:tcW w:w="752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Subtotal non-audit related fees</w:t>
            </w:r>
          </w:p>
        </w:tc>
        <w:tc>
          <w:tcPr>
            <w:tcW w:w="1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w:t>
            </w: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Total fees</w:t>
            </w:r>
          </w:p>
        </w:tc>
        <w:tc>
          <w:tcPr>
            <w:tcW w:w="120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1180" w:type="dxa"/>
            <w:vAlign w:val="bottom"/>
            <w:tcBorders>
              <w:bottom w:val="single" w:sz="8" w:color="auto"/>
            </w:tcBorders>
          </w:tcPr>
          <w:p>
            <w:pPr>
              <w:jc w:val="right"/>
              <w:ind w:right="99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w:t>
            </w:r>
          </w:p>
        </w:tc>
      </w:tr>
      <w:tr>
        <w:trPr>
          <w:trHeight w:val="20"/>
        </w:trPr>
        <w:tc>
          <w:tcPr>
            <w:tcW w:w="75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-1379855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76" w:lineRule="exact"/>
        <w:rPr>
          <w:sz w:val="20"/>
          <w:szCs w:val="20"/>
          <w:color w:val="auto"/>
        </w:rPr>
      </w:pPr>
    </w:p>
    <w:p>
      <w:pPr>
        <w:ind w:left="660" w:hanging="328"/>
        <w:spacing w:after="0" w:line="271" w:lineRule="auto"/>
        <w:tabs>
          <w:tab w:leader="none" w:pos="654" w:val="left"/>
        </w:tabs>
        <w:numPr>
          <w:ilvl w:val="0"/>
          <w:numId w:val="72"/>
        </w:numPr>
        <w:rPr>
          <w:rFonts w:ascii="Arial" w:cs="Arial" w:eastAsia="Arial" w:hAnsi="Arial"/>
          <w:sz w:val="18"/>
          <w:szCs w:val="18"/>
          <w:color w:val="auto"/>
        </w:rPr>
      </w:pPr>
      <w:r>
        <w:rPr>
          <w:rFonts w:ascii="Arial" w:cs="Arial" w:eastAsia="Arial" w:hAnsi="Arial"/>
          <w:sz w:val="18"/>
          <w:szCs w:val="18"/>
          <w:color w:val="auto"/>
        </w:rPr>
        <w:t>Audit fees consist of professional services rendered for the audit of the Company’s annual financial statements, attestation of management’s assessment of internal control, reviews of the quarterly financial statements and statutory reporting compliance.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Tax Planning and Advice Fees to Audit Fees, Audit-Related Fees and Tax Compliance Fees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to 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to 1</w:t>
            </w:r>
          </w:p>
        </w:tc>
      </w:tr>
    </w:tbl>
    <w:p>
      <w:pPr>
        <w:spacing w:after="0" w:line="31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i w:val="1"/>
          <w:iCs w:val="1"/>
          <w:color w:val="auto"/>
        </w:rPr>
        <w:t xml:space="preserve">Pre-Approval Policy — </w:t>
      </w:r>
      <w:r>
        <w:rPr>
          <w:rFonts w:ascii="Arial" w:cs="Arial" w:eastAsia="Arial" w:hAnsi="Arial"/>
          <w:sz w:val="16"/>
          <w:szCs w:val="16"/>
          <w:color w:val="auto"/>
        </w:rPr>
        <w:t>The services performed by the Independent Registered Public Accounting Firm (“Independent Auditors”) in fiscal 2023 were</w:t>
      </w:r>
      <w:r>
        <w:rPr>
          <w:rFonts w:ascii="Arial" w:cs="Arial" w:eastAsia="Arial" w:hAnsi="Arial"/>
          <w:sz w:val="16"/>
          <w:szCs w:val="16"/>
          <w:i w:val="1"/>
          <w:iCs w:val="1"/>
          <w:color w:val="auto"/>
        </w:rPr>
        <w:t xml:space="preserve"> </w:t>
      </w:r>
      <w:r>
        <w:rPr>
          <w:rFonts w:ascii="Arial" w:cs="Arial" w:eastAsia="Arial" w:hAnsi="Arial"/>
          <w:sz w:val="16"/>
          <w:szCs w:val="16"/>
          <w:color w:val="auto"/>
        </w:rPr>
        <w:t>pre-approved in accordance with the pre-approval policy and procedures adopted by the Audit Committee. The policy requires the Audit Committee to pre-approve the audit and non-audit services performed by the Independent Auditors in order to assure that the provision of such services does not impair the auditor’s independence. All services performed for the Company by the Independent Auditor must be approved in advance by the Audit Committee. Any proposed services exceeding pre-approved cost levels also require specific pre-approval by the Audit Committee.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Item 15 (a) — The following documents are filed as part of this report:</w:t>
      </w:r>
    </w:p>
    <w:p>
      <w:pPr>
        <w:spacing w:after="0" w:line="104" w:lineRule="exact"/>
        <w:rPr>
          <w:sz w:val="20"/>
          <w:szCs w:val="20"/>
          <w:color w:val="auto"/>
        </w:rPr>
      </w:pPr>
    </w:p>
    <w:p>
      <w:pPr>
        <w:ind w:left="980" w:right="6760" w:hanging="324"/>
        <w:spacing w:after="0" w:line="493" w:lineRule="auto"/>
        <w:tabs>
          <w:tab w:leader="none" w:pos="851" w:val="left"/>
        </w:tabs>
        <w:numPr>
          <w:ilvl w:val="0"/>
          <w:numId w:val="73"/>
        </w:numPr>
        <w:rPr>
          <w:rFonts w:ascii="Arial" w:cs="Arial" w:eastAsia="Arial" w:hAnsi="Arial"/>
          <w:sz w:val="16"/>
          <w:szCs w:val="16"/>
          <w:color w:val="auto"/>
        </w:rPr>
      </w:pPr>
      <w:r>
        <w:rPr>
          <w:rFonts w:ascii="Arial" w:cs="Arial" w:eastAsia="Arial" w:hAnsi="Arial"/>
          <w:sz w:val="16"/>
          <w:szCs w:val="16"/>
          <w:color w:val="auto"/>
        </w:rPr>
        <w:t>&amp; 2) Consolidated Financial Statement Schedule - Schedule II Valuation and Qualifying Accounts</w:t>
      </w:r>
    </w:p>
    <w:p>
      <w:pPr>
        <w:ind w:left="980"/>
        <w:spacing w:after="0" w:line="277" w:lineRule="auto"/>
        <w:rPr>
          <w:sz w:val="20"/>
          <w:szCs w:val="20"/>
          <w:color w:val="auto"/>
        </w:rPr>
      </w:pPr>
      <w:r>
        <w:rPr>
          <w:rFonts w:ascii="Arial" w:cs="Arial" w:eastAsia="Arial" w:hAnsi="Arial"/>
          <w:sz w:val="18"/>
          <w:szCs w:val="18"/>
          <w:color w:val="auto"/>
        </w:rPr>
        <w:t>All other schedules are omitted as they are not required, or the required information is shown in the consolidated financial statements or notes thereto.</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Exhibits — See Exhibit Index at page 101 of this Form 10-K.</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00"/>
          </w:cols>
          <w:pgMar w:left="320" w:top="121" w:right="379" w:bottom="1440" w:gutter="0" w:footer="0" w:header="0"/>
        </w:sectPr>
      </w:pPr>
    </w:p>
    <w:p>
      <w:pPr>
        <w:spacing w:after="0" w:line="28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740"/>
        <w:spacing w:after="0"/>
        <w:rPr>
          <w:sz w:val="20"/>
          <w:szCs w:val="20"/>
          <w:color w:val="auto"/>
        </w:rPr>
      </w:pPr>
      <w:r>
        <w:rPr>
          <w:rFonts w:ascii="Arial" w:cs="Arial" w:eastAsia="Arial" w:hAnsi="Arial"/>
          <w:sz w:val="13"/>
          <w:szCs w:val="13"/>
          <w:b w:val="1"/>
          <w:bCs w:val="1"/>
          <w:color w:val="auto"/>
        </w:rPr>
        <w:t>Number</w:t>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125095</wp:posOffset>
            </wp:positionV>
            <wp:extent cx="7106285" cy="274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06285" cy="27432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5500" w:space="720"/>
            <w:col w:w="4980"/>
          </w:cols>
          <w:pgMar w:left="320" w:top="121" w:right="379" w:bottom="1440" w:gutter="0" w:footer="0" w:header="0"/>
          <w:type w:val="continuous"/>
        </w:sectPr>
      </w:pPr>
    </w:p>
    <w:p>
      <w:pPr>
        <w:ind w:left="1960" w:hanging="314"/>
        <w:spacing w:after="0" w:line="235" w:lineRule="auto"/>
        <w:rPr>
          <w:rFonts w:ascii="Arial" w:cs="Arial" w:eastAsia="Arial" w:hAnsi="Arial"/>
          <w:sz w:val="18"/>
          <w:szCs w:val="18"/>
          <w:color w:val="0000FF"/>
        </w:rPr>
      </w:pPr>
      <w:r>
        <w:rPr>
          <w:rFonts w:ascii="Arial" w:cs="Arial" w:eastAsia="Arial" w:hAnsi="Arial"/>
          <w:sz w:val="18"/>
          <w:szCs w:val="18"/>
          <w:color w:val="auto"/>
        </w:rPr>
        <w:t xml:space="preserve">2.1 </w:t>
      </w:r>
      <w:hyperlink r:id="rId178">
        <w:r>
          <w:rPr>
            <w:rFonts w:ascii="Arial" w:cs="Arial" w:eastAsia="Arial" w:hAnsi="Arial"/>
            <w:sz w:val="18"/>
            <w:szCs w:val="18"/>
            <w:color w:val="0000FF"/>
          </w:rPr>
          <w:t>Agreement and Plan of Merger, dated as of December 28, 2012, by and among Brady Corporation, BC I Merger Sub</w:t>
        </w:r>
      </w:hyperlink>
      <w:r>
        <w:rPr>
          <w:rFonts w:ascii="Arial" w:cs="Arial" w:eastAsia="Arial" w:hAnsi="Arial"/>
          <w:sz w:val="18"/>
          <w:szCs w:val="18"/>
          <w:color w:val="auto"/>
        </w:rPr>
        <w:t xml:space="preserve"> </w:t>
      </w:r>
      <w:hyperlink r:id="rId178">
        <w:r>
          <w:rPr>
            <w:rFonts w:ascii="Arial" w:cs="Arial" w:eastAsia="Arial" w:hAnsi="Arial"/>
            <w:sz w:val="18"/>
            <w:szCs w:val="18"/>
            <w:color w:val="0000FF"/>
          </w:rPr>
          <w:t>Corporation, Precision Dynamics Corporation, and Precision Dynamics Holding LLC (29)</w:t>
        </w:r>
      </w:hyperlink>
    </w:p>
    <w:p>
      <w:pPr>
        <w:spacing w:after="0" w:line="13" w:lineRule="exact"/>
        <w:rPr>
          <w:sz w:val="20"/>
          <w:szCs w:val="20"/>
          <w:color w:val="auto"/>
        </w:rPr>
      </w:pPr>
    </w:p>
    <w:p>
      <w:pPr>
        <w:ind w:left="1960" w:hanging="314"/>
        <w:spacing w:after="0" w:line="235" w:lineRule="auto"/>
        <w:rPr>
          <w:rFonts w:ascii="Arial" w:cs="Arial" w:eastAsia="Arial" w:hAnsi="Arial"/>
          <w:sz w:val="18"/>
          <w:szCs w:val="18"/>
          <w:color w:val="0000FF"/>
        </w:rPr>
      </w:pPr>
      <w:r>
        <w:rPr>
          <w:rFonts w:ascii="Arial" w:cs="Arial" w:eastAsia="Arial" w:hAnsi="Arial"/>
          <w:sz w:val="18"/>
          <w:szCs w:val="18"/>
          <w:color w:val="auto"/>
        </w:rPr>
        <w:t xml:space="preserve">2.2 </w:t>
      </w:r>
      <w:hyperlink r:id="rId179">
        <w:r>
          <w:rPr>
            <w:rFonts w:ascii="Arial" w:cs="Arial" w:eastAsia="Arial" w:hAnsi="Arial"/>
            <w:sz w:val="18"/>
            <w:szCs w:val="18"/>
            <w:color w:val="0000FF"/>
          </w:rPr>
          <w:t>Share and Asset Purchase Agreement, dated as of February 24, 2014, by and among Brady Corporation, LTI Flexible Products,</w:t>
        </w:r>
      </w:hyperlink>
      <w:r>
        <w:rPr>
          <w:rFonts w:ascii="Arial" w:cs="Arial" w:eastAsia="Arial" w:hAnsi="Arial"/>
          <w:sz w:val="18"/>
          <w:szCs w:val="18"/>
          <w:color w:val="auto"/>
        </w:rPr>
        <w:t xml:space="preserve"> </w:t>
      </w:r>
      <w:hyperlink r:id="rId179">
        <w:r>
          <w:rPr>
            <w:rFonts w:ascii="Arial" w:cs="Arial" w:eastAsia="Arial" w:hAnsi="Arial"/>
            <w:sz w:val="18"/>
            <w:szCs w:val="18"/>
            <w:color w:val="0000FF"/>
          </w:rPr>
          <w:t>Inc. (d/b/a Boyd Corporation), and LTI Holdings Inc. (6)</w:t>
        </w:r>
      </w:hyperlink>
    </w:p>
    <w:p>
      <w:pPr>
        <w:spacing w:after="0" w:line="13" w:lineRule="exact"/>
        <w:rPr>
          <w:sz w:val="20"/>
          <w:szCs w:val="20"/>
          <w:color w:val="auto"/>
        </w:rPr>
      </w:pPr>
    </w:p>
    <w:p>
      <w:pPr>
        <w:ind w:left="1640"/>
        <w:spacing w:after="0"/>
        <w:rPr>
          <w:rFonts w:ascii="Arial" w:cs="Arial" w:eastAsia="Arial" w:hAnsi="Arial"/>
          <w:sz w:val="18"/>
          <w:szCs w:val="18"/>
          <w:color w:val="auto"/>
        </w:rPr>
      </w:pPr>
      <w:r>
        <w:rPr>
          <w:rFonts w:ascii="Arial" w:cs="Arial" w:eastAsia="Arial" w:hAnsi="Arial"/>
          <w:sz w:val="18"/>
          <w:szCs w:val="18"/>
          <w:color w:val="auto"/>
        </w:rPr>
        <w:t xml:space="preserve">2.3 </w:t>
      </w:r>
      <w:hyperlink r:id="rId180">
        <w:r>
          <w:rPr>
            <w:rFonts w:ascii="Arial" w:cs="Arial" w:eastAsia="Arial" w:hAnsi="Arial"/>
            <w:sz w:val="18"/>
            <w:szCs w:val="18"/>
            <w:color w:val="0000FF"/>
          </w:rPr>
          <w:t>Combination Agreement, dated as of April 15, 2021, by and between Brady S.a.r.l and Nordic ID Oyj (30)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960" w:hanging="314"/>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2.4 </w:t>
      </w:r>
      <w:hyperlink r:id="rId182">
        <w:r>
          <w:rPr>
            <w:rFonts w:ascii="Arial" w:cs="Arial" w:eastAsia="Arial" w:hAnsi="Arial"/>
            <w:sz w:val="18"/>
            <w:szCs w:val="18"/>
            <w:color w:val="0000FF"/>
          </w:rPr>
          <w:t>Purchase Agreement, dated as of May 21, 2021, by and among Brady Corporation, LDC Limited, and the other institutional and</w:t>
        </w:r>
      </w:hyperlink>
      <w:r>
        <w:rPr>
          <w:rFonts w:ascii="Arial" w:cs="Arial" w:eastAsia="Arial" w:hAnsi="Arial"/>
          <w:sz w:val="18"/>
          <w:szCs w:val="18"/>
          <w:color w:val="auto"/>
        </w:rPr>
        <w:t xml:space="preserve"> </w:t>
      </w:r>
      <w:hyperlink r:id="rId182">
        <w:r>
          <w:rPr>
            <w:rFonts w:ascii="Arial" w:cs="Arial" w:eastAsia="Arial" w:hAnsi="Arial"/>
            <w:sz w:val="18"/>
            <w:szCs w:val="18"/>
            <w:color w:val="0000FF"/>
          </w:rPr>
          <w:t>individual holders of outstanding shares of Magicard Holdings Limited (36)</w:t>
        </w:r>
      </w:hyperlink>
    </w:p>
    <w:p>
      <w:pPr>
        <w:spacing w:after="0" w:line="14" w:lineRule="exact"/>
        <w:rPr>
          <w:sz w:val="20"/>
          <w:szCs w:val="20"/>
          <w:color w:val="auto"/>
        </w:rPr>
      </w:pPr>
    </w:p>
    <w:p>
      <w:pPr>
        <w:ind w:left="1960" w:hanging="314"/>
        <w:spacing w:after="0" w:line="256" w:lineRule="auto"/>
        <w:rPr>
          <w:rFonts w:ascii="Arial" w:cs="Arial" w:eastAsia="Arial" w:hAnsi="Arial"/>
          <w:sz w:val="17"/>
          <w:szCs w:val="17"/>
          <w:color w:val="0000FF"/>
        </w:rPr>
      </w:pPr>
      <w:r>
        <w:rPr>
          <w:rFonts w:ascii="Arial" w:cs="Arial" w:eastAsia="Arial" w:hAnsi="Arial"/>
          <w:sz w:val="17"/>
          <w:szCs w:val="17"/>
          <w:color w:val="auto"/>
        </w:rPr>
        <w:t xml:space="preserve">2.5 </w:t>
      </w:r>
      <w:hyperlink r:id="rId183">
        <w:r>
          <w:rPr>
            <w:rFonts w:ascii="Arial" w:cs="Arial" w:eastAsia="Arial" w:hAnsi="Arial"/>
            <w:sz w:val="17"/>
            <w:szCs w:val="17"/>
            <w:color w:val="0000FF"/>
          </w:rPr>
          <w:t>Purchase Agreement, dated as of June 16, 2021, by and among Brady Worldwide, Inc., BW Acquisition Corp., The Code</w:t>
        </w:r>
      </w:hyperlink>
      <w:r>
        <w:rPr>
          <w:rFonts w:ascii="Arial" w:cs="Arial" w:eastAsia="Arial" w:hAnsi="Arial"/>
          <w:sz w:val="17"/>
          <w:szCs w:val="17"/>
          <w:color w:val="auto"/>
        </w:rPr>
        <w:t xml:space="preserve"> </w:t>
      </w:r>
      <w:hyperlink r:id="rId183">
        <w:r>
          <w:rPr>
            <w:rFonts w:ascii="Arial" w:cs="Arial" w:eastAsia="Arial" w:hAnsi="Arial"/>
            <w:sz w:val="17"/>
            <w:szCs w:val="17"/>
            <w:color w:val="0000FF"/>
          </w:rPr>
          <w:t>Corporation, Certain Stockholders of the Code Corporation, and Shareholder Representative Services LLC (24)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-263525</wp:posOffset>
            </wp:positionV>
            <wp:extent cx="7106285" cy="2654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640"/>
        <w:spacing w:after="0"/>
        <w:rPr>
          <w:sz w:val="20"/>
          <w:szCs w:val="20"/>
          <w:color w:val="auto"/>
        </w:rPr>
      </w:pPr>
      <w:r>
        <w:rPr>
          <w:rFonts w:ascii="Arial" w:cs="Arial" w:eastAsia="Arial" w:hAnsi="Arial"/>
          <w:sz w:val="18"/>
          <w:szCs w:val="18"/>
          <w:color w:val="auto"/>
        </w:rPr>
        <w:t>3.1 Restated Articles of Incorporation of Brady Corporation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640"/>
        <w:spacing w:after="0"/>
        <w:rPr>
          <w:rFonts w:ascii="Arial" w:cs="Arial" w:eastAsia="Arial" w:hAnsi="Arial"/>
          <w:sz w:val="18"/>
          <w:szCs w:val="18"/>
          <w:color w:val="auto"/>
        </w:rPr>
      </w:pPr>
      <w:r>
        <w:rPr>
          <w:rFonts w:ascii="Arial" w:cs="Arial" w:eastAsia="Arial" w:hAnsi="Arial"/>
          <w:sz w:val="18"/>
          <w:szCs w:val="18"/>
          <w:color w:val="auto"/>
        </w:rPr>
        <w:t xml:space="preserve">3.2 </w:t>
      </w:r>
      <w:hyperlink r:id="rId186">
        <w:r>
          <w:rPr>
            <w:rFonts w:ascii="Arial" w:cs="Arial" w:eastAsia="Arial" w:hAnsi="Arial"/>
            <w:sz w:val="18"/>
            <w:szCs w:val="18"/>
            <w:color w:val="0000FF"/>
          </w:rPr>
          <w:t>By-Laws of Brady Corporation, as amended September 14, 2020 (23)</w:t>
        </w:r>
      </w:hyperlink>
    </w:p>
    <w:p>
      <w:pPr>
        <w:spacing w:after="0" w:line="23" w:lineRule="exact"/>
        <w:rPr>
          <w:sz w:val="20"/>
          <w:szCs w:val="20"/>
          <w:color w:val="auto"/>
        </w:rPr>
      </w:pPr>
    </w:p>
    <w:p>
      <w:pPr>
        <w:ind w:left="1640"/>
        <w:spacing w:after="0"/>
        <w:rPr>
          <w:rFonts w:ascii="Arial" w:cs="Arial" w:eastAsia="Arial" w:hAnsi="Arial"/>
          <w:sz w:val="18"/>
          <w:szCs w:val="18"/>
          <w:color w:val="auto"/>
        </w:rPr>
      </w:pPr>
      <w:r>
        <w:rPr>
          <w:rFonts w:ascii="Arial" w:cs="Arial" w:eastAsia="Arial" w:hAnsi="Arial"/>
          <w:sz w:val="18"/>
          <w:szCs w:val="18"/>
          <w:color w:val="auto"/>
        </w:rPr>
        <w:t xml:space="preserve">4.1 </w:t>
      </w:r>
      <w:hyperlink r:id="rId187">
        <w:r>
          <w:rPr>
            <w:rFonts w:ascii="Arial" w:cs="Arial" w:eastAsia="Arial" w:hAnsi="Arial"/>
            <w:sz w:val="18"/>
            <w:szCs w:val="18"/>
            <w:color w:val="0000FF"/>
          </w:rPr>
          <w:t>Description of Brady Corporation Securities (3)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640"/>
        <w:spacing w:after="0"/>
        <w:rPr>
          <w:sz w:val="20"/>
          <w:szCs w:val="20"/>
          <w:color w:val="auto"/>
        </w:rPr>
      </w:pPr>
      <w:r>
        <w:rPr>
          <w:rFonts w:ascii="Arial" w:cs="Arial" w:eastAsia="Arial" w:hAnsi="Arial"/>
          <w:sz w:val="18"/>
          <w:szCs w:val="18"/>
          <w:color w:val="auto"/>
        </w:rPr>
        <w:t>4.2 Form of Indenture (1)</w:t>
      </w:r>
    </w:p>
    <w:p>
      <w:pPr>
        <w:spacing w:after="0" w:line="23" w:lineRule="exact"/>
        <w:rPr>
          <w:sz w:val="20"/>
          <w:szCs w:val="20"/>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 xml:space="preserve">*10.1 </w:t>
      </w:r>
      <w:hyperlink r:id="rId189">
        <w:r>
          <w:rPr>
            <w:rFonts w:ascii="Arial" w:cs="Arial" w:eastAsia="Arial" w:hAnsi="Arial"/>
            <w:sz w:val="18"/>
            <w:szCs w:val="18"/>
            <w:color w:val="0000FF"/>
          </w:rPr>
          <w:t>Change of Control Agreement, dated as of January 7, 2020, with Pascal Deman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*10.2 Brady Corporation BradyGold Plan, as amended (2)</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*10.3 Executive Additional Compensation Plan, as amended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 xml:space="preserve">*10.4 </w:t>
      </w:r>
      <w:hyperlink r:id="rId192">
        <w:r>
          <w:rPr>
            <w:rFonts w:ascii="Arial" w:cs="Arial" w:eastAsia="Arial" w:hAnsi="Arial"/>
            <w:sz w:val="18"/>
            <w:szCs w:val="18"/>
            <w:color w:val="0000FF"/>
          </w:rPr>
          <w:t>Executive Deferred Compensation Plan, as amended (37)</w:t>
        </w:r>
      </w:hyperlink>
    </w:p>
    <w:p>
      <w:pPr>
        <w:spacing w:after="0" w:line="23" w:lineRule="exact"/>
        <w:rPr>
          <w:sz w:val="20"/>
          <w:szCs w:val="20"/>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 xml:space="preserve">*10.5 </w:t>
      </w:r>
      <w:hyperlink r:id="rId193">
        <w:r>
          <w:rPr>
            <w:rFonts w:ascii="Arial" w:cs="Arial" w:eastAsia="Arial" w:hAnsi="Arial"/>
            <w:sz w:val="18"/>
            <w:szCs w:val="18"/>
            <w:color w:val="0000FF"/>
          </w:rPr>
          <w:t>Directors’ Deferred Compensation Plan, as amended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 xml:space="preserve">*10.6 </w:t>
      </w:r>
      <w:hyperlink r:id="rId195">
        <w:r>
          <w:rPr>
            <w:rFonts w:ascii="Arial" w:cs="Arial" w:eastAsia="Arial" w:hAnsi="Arial"/>
            <w:sz w:val="18"/>
            <w:szCs w:val="18"/>
            <w:color w:val="0000FF"/>
          </w:rPr>
          <w:t>Change of Control Agreement, dated as of April 6, 2020, with Andrew T. Gorman</w:t>
        </w:r>
      </w:hyperlink>
    </w:p>
    <w:p>
      <w:pPr>
        <w:spacing w:after="0" w:line="23" w:lineRule="exact"/>
        <w:rPr>
          <w:sz w:val="20"/>
          <w:szCs w:val="20"/>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 xml:space="preserve">*10.7 </w:t>
      </w:r>
      <w:hyperlink r:id="rId196">
        <w:r>
          <w:rPr>
            <w:rFonts w:ascii="Arial" w:cs="Arial" w:eastAsia="Arial" w:hAnsi="Arial"/>
            <w:sz w:val="18"/>
            <w:szCs w:val="18"/>
            <w:color w:val="0000FF"/>
          </w:rPr>
          <w:t>Brady Corporation 2017 Omnibus Incentive Plan (27)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65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3" w:lineRule="exact"/>
        <w:rPr>
          <w:sz w:val="20"/>
          <w:szCs w:val="20"/>
          <w:color w:val="auto"/>
        </w:rPr>
      </w:pPr>
    </w:p>
    <w:p>
      <w:pPr>
        <w:ind w:left="1960" w:hanging="44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*10.8 </w:t>
      </w:r>
      <w:hyperlink r:id="rId198">
        <w:r>
          <w:rPr>
            <w:rFonts w:ascii="Arial" w:cs="Arial" w:eastAsia="Arial" w:hAnsi="Arial"/>
            <w:sz w:val="18"/>
            <w:szCs w:val="18"/>
            <w:color w:val="0000FF"/>
          </w:rPr>
          <w:t>Form of Nonqualified Stock Option Agreement under the Brady Corporation 2017 Omnibus Incentive Plan for awards granted</w:t>
        </w:r>
      </w:hyperlink>
      <w:r>
        <w:rPr>
          <w:rFonts w:ascii="Arial" w:cs="Arial" w:eastAsia="Arial" w:hAnsi="Arial"/>
          <w:sz w:val="18"/>
          <w:szCs w:val="18"/>
          <w:color w:val="auto"/>
        </w:rPr>
        <w:t xml:space="preserve"> </w:t>
      </w:r>
      <w:hyperlink r:id="rId198">
        <w:r>
          <w:rPr>
            <w:rFonts w:ascii="Arial" w:cs="Arial" w:eastAsia="Arial" w:hAnsi="Arial"/>
            <w:sz w:val="18"/>
            <w:szCs w:val="18"/>
            <w:color w:val="0000FF"/>
          </w:rPr>
          <w:t>prior to Fiscal 2019 (33)</w:t>
        </w:r>
      </w:hyperlink>
    </w:p>
    <w:p>
      <w:pPr>
        <w:spacing w:after="0" w:line="14"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10.9 Brady Corporation Automatic Dividend Reinvestment Plan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*10.10 </w:t>
      </w:r>
      <w:hyperlink r:id="rId200">
        <w:r>
          <w:rPr>
            <w:rFonts w:ascii="Arial" w:cs="Arial" w:eastAsia="Arial" w:hAnsi="Arial"/>
            <w:sz w:val="18"/>
            <w:szCs w:val="18"/>
            <w:color w:val="0000FF"/>
          </w:rPr>
          <w:t>Settlement Agreement between Brady Corporation and Pascal Deman dated as of October 10, 2022 (14)</w:t>
        </w:r>
      </w:hyperlink>
    </w:p>
    <w:p>
      <w:pPr>
        <w:spacing w:after="0" w:line="23" w:lineRule="exact"/>
        <w:rPr>
          <w:sz w:val="20"/>
          <w:szCs w:val="20"/>
          <w:color w:val="auto"/>
        </w:rPr>
      </w:pPr>
    </w:p>
    <w:p>
      <w:pPr>
        <w:ind w:left="1960" w:hanging="523"/>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*10.11 </w:t>
      </w:r>
      <w:hyperlink r:id="rId201">
        <w:r>
          <w:rPr>
            <w:rFonts w:ascii="Arial" w:cs="Arial" w:eastAsia="Arial" w:hAnsi="Arial"/>
            <w:sz w:val="18"/>
            <w:szCs w:val="18"/>
            <w:color w:val="0000FF"/>
          </w:rPr>
          <w:t>Form of Fiscal 2021 Performance-Based Restricted Stock Unit Agreement under the Brady Corporation 2017 Omnibus</w:t>
        </w:r>
      </w:hyperlink>
      <w:r>
        <w:rPr>
          <w:rFonts w:ascii="Arial" w:cs="Arial" w:eastAsia="Arial" w:hAnsi="Arial"/>
          <w:sz w:val="18"/>
          <w:szCs w:val="18"/>
          <w:color w:val="auto"/>
        </w:rPr>
        <w:t xml:space="preserve"> </w:t>
      </w:r>
      <w:hyperlink r:id="rId201">
        <w:r>
          <w:rPr>
            <w:rFonts w:ascii="Arial" w:cs="Arial" w:eastAsia="Arial" w:hAnsi="Arial"/>
            <w:sz w:val="18"/>
            <w:szCs w:val="18"/>
            <w:color w:val="0000FF"/>
          </w:rPr>
          <w:t>Incentive Plan (18)</w:t>
        </w:r>
      </w:hyperlink>
    </w:p>
    <w:p>
      <w:pPr>
        <w:spacing w:after="0" w:line="14"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*10.12 </w:t>
      </w:r>
      <w:hyperlink r:id="rId202">
        <w:r>
          <w:rPr>
            <w:rFonts w:ascii="Arial" w:cs="Arial" w:eastAsia="Arial" w:hAnsi="Arial"/>
            <w:sz w:val="18"/>
            <w:szCs w:val="18"/>
            <w:color w:val="0000FF"/>
          </w:rPr>
          <w:t>Original Employment Contract between Brady Corporation and Brett Wilms effective June 1, 2018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46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96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*10.13 </w:t>
      </w:r>
      <w:hyperlink r:id="rId204">
        <w:r>
          <w:rPr>
            <w:rFonts w:ascii="Arial" w:cs="Arial" w:eastAsia="Arial" w:hAnsi="Arial"/>
            <w:sz w:val="18"/>
            <w:szCs w:val="18"/>
            <w:color w:val="0000FF"/>
          </w:rPr>
          <w:t>Form of Fiscal 2020 and Fiscal 2021 Nonqualified Employee Stock Option Agreement under the Brady Corporation 2017</w:t>
        </w:r>
      </w:hyperlink>
      <w:r>
        <w:rPr>
          <w:rFonts w:ascii="Arial" w:cs="Arial" w:eastAsia="Arial" w:hAnsi="Arial"/>
          <w:sz w:val="18"/>
          <w:szCs w:val="18"/>
          <w:color w:val="auto"/>
        </w:rPr>
        <w:t xml:space="preserve"> </w:t>
      </w:r>
      <w:hyperlink r:id="rId204">
        <w:r>
          <w:rPr>
            <w:rFonts w:ascii="Arial" w:cs="Arial" w:eastAsia="Arial" w:hAnsi="Arial"/>
            <w:sz w:val="18"/>
            <w:szCs w:val="18"/>
            <w:color w:val="0000FF"/>
          </w:rPr>
          <w:t>Omnibus Incentive Plan (3)</w:t>
        </w:r>
      </w:hyperlink>
    </w:p>
    <w:p>
      <w:pPr>
        <w:spacing w:after="0" w:line="14" w:lineRule="exact"/>
        <w:rPr>
          <w:sz w:val="20"/>
          <w:szCs w:val="20"/>
          <w:color w:val="auto"/>
        </w:rPr>
      </w:pPr>
    </w:p>
    <w:p>
      <w:pPr>
        <w:ind w:left="1960" w:hanging="530"/>
        <w:spacing w:after="0" w:line="235" w:lineRule="auto"/>
        <w:rPr>
          <w:rFonts w:ascii="Arial" w:cs="Arial" w:eastAsia="Arial" w:hAnsi="Arial"/>
          <w:sz w:val="18"/>
          <w:szCs w:val="18"/>
          <w:color w:val="0000FF"/>
        </w:rPr>
      </w:pPr>
      <w:r>
        <w:rPr>
          <w:rFonts w:ascii="Arial" w:cs="Arial" w:eastAsia="Arial" w:hAnsi="Arial"/>
          <w:sz w:val="18"/>
          <w:szCs w:val="18"/>
          <w:color w:val="auto"/>
        </w:rPr>
        <w:t xml:space="preserve">*10.14 </w:t>
      </w:r>
      <w:hyperlink r:id="rId205">
        <w:r>
          <w:rPr>
            <w:rFonts w:ascii="Arial" w:cs="Arial" w:eastAsia="Arial" w:hAnsi="Arial"/>
            <w:sz w:val="18"/>
            <w:szCs w:val="18"/>
            <w:color w:val="0000FF"/>
          </w:rPr>
          <w:t>Form of Fiscal 2019 and Fiscal 2020 Performance-Based Restricted Stock Unit Agreement under the Brady Corporation 2017</w:t>
        </w:r>
      </w:hyperlink>
      <w:r>
        <w:rPr>
          <w:rFonts w:ascii="Arial" w:cs="Arial" w:eastAsia="Arial" w:hAnsi="Arial"/>
          <w:sz w:val="18"/>
          <w:szCs w:val="18"/>
          <w:color w:val="auto"/>
        </w:rPr>
        <w:t xml:space="preserve"> </w:t>
      </w:r>
      <w:hyperlink r:id="rId205">
        <w:r>
          <w:rPr>
            <w:rFonts w:ascii="Arial" w:cs="Arial" w:eastAsia="Arial" w:hAnsi="Arial"/>
            <w:sz w:val="18"/>
            <w:szCs w:val="18"/>
            <w:color w:val="0000FF"/>
          </w:rPr>
          <w:t>Omnibus Incentive Plan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-256540</wp:posOffset>
            </wp:positionV>
            <wp:extent cx="7106285" cy="2660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6">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1960" w:hanging="530"/>
        <w:spacing w:after="0" w:line="235" w:lineRule="auto"/>
        <w:rPr>
          <w:rFonts w:ascii="Arial" w:cs="Arial" w:eastAsia="Arial" w:hAnsi="Arial"/>
          <w:sz w:val="18"/>
          <w:szCs w:val="18"/>
          <w:color w:val="0000FF"/>
        </w:rPr>
      </w:pPr>
      <w:r>
        <w:rPr>
          <w:rFonts w:ascii="Arial" w:cs="Arial" w:eastAsia="Arial" w:hAnsi="Arial"/>
          <w:sz w:val="18"/>
          <w:szCs w:val="18"/>
          <w:color w:val="auto"/>
        </w:rPr>
        <w:t xml:space="preserve">*10.15 </w:t>
      </w:r>
      <w:hyperlink r:id="rId207">
        <w:r>
          <w:rPr>
            <w:rFonts w:ascii="Arial" w:cs="Arial" w:eastAsia="Arial" w:hAnsi="Arial"/>
            <w:sz w:val="18"/>
            <w:szCs w:val="18"/>
            <w:color w:val="0000FF"/>
          </w:rPr>
          <w:t>Complete and Permanent Release and Resignation Agreement between Brady Corporation and Aaron J. Pearce dated as of</w:t>
        </w:r>
      </w:hyperlink>
      <w:r>
        <w:rPr>
          <w:rFonts w:ascii="Arial" w:cs="Arial" w:eastAsia="Arial" w:hAnsi="Arial"/>
          <w:sz w:val="18"/>
          <w:szCs w:val="18"/>
          <w:color w:val="auto"/>
        </w:rPr>
        <w:t xml:space="preserve"> </w:t>
      </w:r>
      <w:hyperlink r:id="rId207">
        <w:r>
          <w:rPr>
            <w:rFonts w:ascii="Arial" w:cs="Arial" w:eastAsia="Arial" w:hAnsi="Arial"/>
            <w:sz w:val="18"/>
            <w:szCs w:val="18"/>
            <w:color w:val="0000FF"/>
          </w:rPr>
          <w:t>April 13, 2023 (16)</w:t>
        </w:r>
      </w:hyperlink>
    </w:p>
    <w:p>
      <w:pPr>
        <w:spacing w:after="0" w:line="13" w:lineRule="exact"/>
        <w:rPr>
          <w:sz w:val="20"/>
          <w:szCs w:val="20"/>
          <w:color w:val="auto"/>
        </w:rPr>
      </w:pPr>
    </w:p>
    <w:p>
      <w:pPr>
        <w:ind w:left="1960" w:hanging="530"/>
        <w:spacing w:after="0" w:line="235" w:lineRule="auto"/>
        <w:rPr>
          <w:rFonts w:ascii="Arial" w:cs="Arial" w:eastAsia="Arial" w:hAnsi="Arial"/>
          <w:sz w:val="18"/>
          <w:szCs w:val="18"/>
          <w:color w:val="0000FF"/>
        </w:rPr>
      </w:pPr>
      <w:r>
        <w:rPr>
          <w:rFonts w:ascii="Arial" w:cs="Arial" w:eastAsia="Arial" w:hAnsi="Arial"/>
          <w:sz w:val="18"/>
          <w:szCs w:val="18"/>
          <w:color w:val="auto"/>
        </w:rPr>
        <w:t xml:space="preserve">*10.16 </w:t>
      </w:r>
      <w:hyperlink r:id="rId208">
        <w:r>
          <w:rPr>
            <w:rFonts w:ascii="Arial" w:cs="Arial" w:eastAsia="Arial" w:hAnsi="Arial"/>
            <w:sz w:val="18"/>
            <w:szCs w:val="18"/>
            <w:color w:val="0000FF"/>
          </w:rPr>
          <w:t>Form of Fiscal 2020 and Fiscal 2021 Restricted Stock Unit Agreement under the Brady Corporation 2017 Omnibus Incentive</w:t>
        </w:r>
      </w:hyperlink>
      <w:r>
        <w:rPr>
          <w:rFonts w:ascii="Arial" w:cs="Arial" w:eastAsia="Arial" w:hAnsi="Arial"/>
          <w:sz w:val="18"/>
          <w:szCs w:val="18"/>
          <w:color w:val="auto"/>
        </w:rPr>
        <w:t xml:space="preserve"> </w:t>
      </w:r>
      <w:hyperlink r:id="rId208">
        <w:r>
          <w:rPr>
            <w:rFonts w:ascii="Arial" w:cs="Arial" w:eastAsia="Arial" w:hAnsi="Arial"/>
            <w:sz w:val="18"/>
            <w:szCs w:val="18"/>
            <w:color w:val="0000FF"/>
          </w:rPr>
          <w:t>Plan (3)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-256540</wp:posOffset>
            </wp:positionV>
            <wp:extent cx="7106285" cy="2654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*10.17 </w:t>
      </w:r>
      <w:hyperlink r:id="rId210">
        <w:r>
          <w:rPr>
            <w:rFonts w:ascii="Arial" w:cs="Arial" w:eastAsia="Arial" w:hAnsi="Arial"/>
            <w:sz w:val="18"/>
            <w:szCs w:val="18"/>
            <w:color w:val="0000FF"/>
          </w:rPr>
          <w:t>Employment Offer Letter, dated as of March 11, 2022, with Russell R. Shaller (15)</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*10.18 </w:t>
      </w:r>
      <w:hyperlink r:id="rId212">
        <w:r>
          <w:rPr>
            <w:rFonts w:ascii="Arial" w:cs="Arial" w:eastAsia="Arial" w:hAnsi="Arial"/>
            <w:sz w:val="18"/>
            <w:szCs w:val="18"/>
            <w:color w:val="0000FF"/>
          </w:rPr>
          <w:t>Change of Control Agreement, dated as of September 11, 2015, with Aaron J. Pearce (21)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45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3">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96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*10.19 </w:t>
      </w:r>
      <w:hyperlink r:id="rId214">
        <w:r>
          <w:rPr>
            <w:rFonts w:ascii="Arial" w:cs="Arial" w:eastAsia="Arial" w:hAnsi="Arial"/>
            <w:sz w:val="18"/>
            <w:szCs w:val="18"/>
            <w:color w:val="0000FF"/>
          </w:rPr>
          <w:t>Form of Fiscal 2019 Nonqualified Employee Stock Option Agreement under the Brady Corporation 2017 Omnibus Incentive</w:t>
        </w:r>
      </w:hyperlink>
      <w:r>
        <w:rPr>
          <w:rFonts w:ascii="Arial" w:cs="Arial" w:eastAsia="Arial" w:hAnsi="Arial"/>
          <w:sz w:val="18"/>
          <w:szCs w:val="18"/>
          <w:color w:val="auto"/>
        </w:rPr>
        <w:t xml:space="preserve"> </w:t>
      </w:r>
      <w:hyperlink r:id="rId214">
        <w:r>
          <w:rPr>
            <w:rFonts w:ascii="Arial" w:cs="Arial" w:eastAsia="Arial" w:hAnsi="Arial"/>
            <w:sz w:val="18"/>
            <w:szCs w:val="18"/>
            <w:color w:val="0000FF"/>
          </w:rPr>
          <w:t>Plan (37)</w:t>
        </w:r>
      </w:hyperlink>
    </w:p>
    <w:p>
      <w:pPr>
        <w:spacing w:after="0" w:line="14"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*10.20 </w:t>
      </w:r>
      <w:hyperlink r:id="rId215">
        <w:r>
          <w:rPr>
            <w:rFonts w:ascii="Arial" w:cs="Arial" w:eastAsia="Arial" w:hAnsi="Arial"/>
            <w:sz w:val="18"/>
            <w:szCs w:val="18"/>
            <w:color w:val="0000FF"/>
          </w:rPr>
          <w:t>Restricted Stock Unit Agreement, dated as of April 1, 2022, with Russell R. Shaller (15)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45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*10.21 </w:t>
      </w:r>
      <w:hyperlink r:id="rId217">
        <w:r>
          <w:rPr>
            <w:rFonts w:ascii="Arial" w:cs="Arial" w:eastAsia="Arial" w:hAnsi="Arial"/>
            <w:sz w:val="18"/>
            <w:szCs w:val="18"/>
            <w:color w:val="0000FF"/>
          </w:rPr>
          <w:t>Restated Brady Corporation Restoration Plan, as amended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*10.22 </w:t>
      </w:r>
      <w:hyperlink r:id="rId219">
        <w:r>
          <w:rPr>
            <w:rFonts w:ascii="Arial" w:cs="Arial" w:eastAsia="Arial" w:hAnsi="Arial"/>
            <w:sz w:val="18"/>
            <w:szCs w:val="18"/>
            <w:color w:val="0000FF"/>
          </w:rPr>
          <w:t>Change of Control Agreement, dated as of April 1, 2022, with Russell R. Shaller (15)</w:t>
        </w:r>
      </w:hyperlink>
    </w:p>
    <w:p>
      <w:pPr>
        <w:spacing w:after="0" w:line="2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*10.23 </w:t>
      </w:r>
      <w:hyperlink r:id="rId220">
        <w:r>
          <w:rPr>
            <w:rFonts w:ascii="Arial" w:cs="Arial" w:eastAsia="Arial" w:hAnsi="Arial"/>
            <w:sz w:val="18"/>
            <w:szCs w:val="18"/>
            <w:color w:val="0000FF"/>
          </w:rPr>
          <w:t>Employment Offer Letter, dated as of February 19, 2020, with Andrew T. Gorman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65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3" w:lineRule="exact"/>
        <w:rPr>
          <w:sz w:val="20"/>
          <w:szCs w:val="20"/>
          <w:color w:val="auto"/>
        </w:rPr>
      </w:pPr>
    </w:p>
    <w:p>
      <w:pPr>
        <w:ind w:left="196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*10.24 </w:t>
      </w:r>
      <w:hyperlink r:id="rId222">
        <w:r>
          <w:rPr>
            <w:rFonts w:ascii="Arial" w:cs="Arial" w:eastAsia="Arial" w:hAnsi="Arial"/>
            <w:sz w:val="18"/>
            <w:szCs w:val="18"/>
            <w:color w:val="0000FF"/>
          </w:rPr>
          <w:t>Form of Fiscal 2023 Performance-Based Restricted Stock Unit Agreement under the Brady Corporation 2017 Omnibus</w:t>
        </w:r>
      </w:hyperlink>
      <w:r>
        <w:rPr>
          <w:rFonts w:ascii="Arial" w:cs="Arial" w:eastAsia="Arial" w:hAnsi="Arial"/>
          <w:sz w:val="18"/>
          <w:szCs w:val="18"/>
          <w:color w:val="auto"/>
        </w:rPr>
        <w:t xml:space="preserve"> </w:t>
      </w:r>
      <w:hyperlink r:id="rId222">
        <w:r>
          <w:rPr>
            <w:rFonts w:ascii="Arial" w:cs="Arial" w:eastAsia="Arial" w:hAnsi="Arial"/>
            <w:sz w:val="18"/>
            <w:szCs w:val="18"/>
            <w:color w:val="0000FF"/>
          </w:rPr>
          <w:t>Incentive Plan</w:t>
        </w:r>
      </w:hyperlink>
    </w:p>
    <w:p>
      <w:pPr>
        <w:spacing w:after="0" w:line="14" w:lineRule="exact"/>
        <w:rPr>
          <w:sz w:val="20"/>
          <w:szCs w:val="20"/>
          <w:color w:val="auto"/>
        </w:rPr>
      </w:pPr>
    </w:p>
    <w:p>
      <w:pPr>
        <w:ind w:left="1440"/>
        <w:spacing w:after="0"/>
        <w:rPr>
          <w:rFonts w:ascii="Arial" w:cs="Arial" w:eastAsia="Arial" w:hAnsi="Arial"/>
          <w:sz w:val="17"/>
          <w:szCs w:val="17"/>
          <w:color w:val="auto"/>
        </w:rPr>
      </w:pPr>
      <w:r>
        <w:rPr>
          <w:rFonts w:ascii="Arial" w:cs="Arial" w:eastAsia="Arial" w:hAnsi="Arial"/>
          <w:sz w:val="17"/>
          <w:szCs w:val="17"/>
          <w:color w:val="auto"/>
        </w:rPr>
        <w:t xml:space="preserve">*10.25 </w:t>
      </w:r>
      <w:hyperlink r:id="rId223">
        <w:r>
          <w:rPr>
            <w:rFonts w:ascii="Arial" w:cs="Arial" w:eastAsia="Arial" w:hAnsi="Arial"/>
            <w:sz w:val="17"/>
            <w:szCs w:val="17"/>
            <w:color w:val="0000FF"/>
          </w:rPr>
          <w:t>Form of Fiscal 2022 Restricted Stock Unit Agreement under the Brady Corporation 2017 Omnibus Incentive Plan (34)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22225</wp:posOffset>
            </wp:positionV>
            <wp:extent cx="7106285"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5"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*10.26 </w:t>
      </w:r>
      <w:hyperlink r:id="rId225">
        <w:r>
          <w:rPr>
            <w:rFonts w:ascii="Arial" w:cs="Arial" w:eastAsia="Arial" w:hAnsi="Arial"/>
            <w:sz w:val="18"/>
            <w:szCs w:val="18"/>
            <w:color w:val="0000FF"/>
          </w:rPr>
          <w:t>Employment Offer Letter, dated as of August 3, 2022, with Oliver Bojarski (12)</w:t>
        </w:r>
      </w:hyperlink>
    </w:p>
    <w:p>
      <w:pPr>
        <w:spacing w:after="0" w:line="23" w:lineRule="exact"/>
        <w:rPr>
          <w:sz w:val="20"/>
          <w:szCs w:val="20"/>
          <w:color w:val="auto"/>
        </w:rPr>
      </w:pPr>
    </w:p>
    <w:p>
      <w:pPr>
        <w:ind w:left="1440"/>
        <w:spacing w:after="0"/>
        <w:rPr>
          <w:rFonts w:ascii="Arial" w:cs="Arial" w:eastAsia="Arial" w:hAnsi="Arial"/>
          <w:sz w:val="17"/>
          <w:szCs w:val="17"/>
          <w:color w:val="auto"/>
        </w:rPr>
      </w:pPr>
      <w:r>
        <w:rPr>
          <w:rFonts w:ascii="Arial" w:cs="Arial" w:eastAsia="Arial" w:hAnsi="Arial"/>
          <w:sz w:val="17"/>
          <w:szCs w:val="17"/>
          <w:color w:val="auto"/>
        </w:rPr>
        <w:t xml:space="preserve">*10.27 </w:t>
      </w:r>
      <w:hyperlink r:id="rId226">
        <w:r>
          <w:rPr>
            <w:rFonts w:ascii="Arial" w:cs="Arial" w:eastAsia="Arial" w:hAnsi="Arial"/>
            <w:sz w:val="17"/>
            <w:szCs w:val="17"/>
            <w:color w:val="0000FF"/>
          </w:rPr>
          <w:t>Form of Fiscal 2019 Restricted Stock Unit Agreement under the Brady Corporation 2017 Omnibus Incentive Plan (37)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21590</wp:posOffset>
            </wp:positionV>
            <wp:extent cx="7106285" cy="2654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14" w:lineRule="exact"/>
        <w:rPr>
          <w:sz w:val="20"/>
          <w:szCs w:val="20"/>
          <w:color w:val="auto"/>
        </w:rPr>
      </w:pPr>
    </w:p>
    <w:p>
      <w:pPr>
        <w:ind w:left="196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*10.28 </w:t>
      </w:r>
      <w:hyperlink r:id="rId228">
        <w:r>
          <w:rPr>
            <w:rFonts w:ascii="Arial" w:cs="Arial" w:eastAsia="Arial" w:hAnsi="Arial"/>
            <w:sz w:val="18"/>
            <w:szCs w:val="18"/>
            <w:color w:val="0000FF"/>
          </w:rPr>
          <w:t>Employee Non-Compete and Non-Disclosure Agreement, dated as of August 3, 2022, between Brady Corporation and Oliver</w:t>
        </w:r>
      </w:hyperlink>
      <w:r>
        <w:rPr>
          <w:rFonts w:ascii="Arial" w:cs="Arial" w:eastAsia="Arial" w:hAnsi="Arial"/>
          <w:sz w:val="18"/>
          <w:szCs w:val="18"/>
          <w:color w:val="auto"/>
        </w:rPr>
        <w:t xml:space="preserve"> </w:t>
      </w:r>
      <w:hyperlink r:id="rId228">
        <w:r>
          <w:rPr>
            <w:rFonts w:ascii="Arial" w:cs="Arial" w:eastAsia="Arial" w:hAnsi="Arial"/>
            <w:sz w:val="18"/>
            <w:szCs w:val="18"/>
            <w:color w:val="0000FF"/>
          </w:rPr>
          <w:t>Bojarski (12)</w:t>
        </w:r>
      </w:hyperlink>
    </w:p>
    <w:p>
      <w:pPr>
        <w:spacing w:after="0" w:line="14" w:lineRule="exact"/>
        <w:rPr>
          <w:sz w:val="20"/>
          <w:szCs w:val="20"/>
          <w:color w:val="auto"/>
        </w:rPr>
      </w:pPr>
    </w:p>
    <w:p>
      <w:pPr>
        <w:ind w:left="1960" w:hanging="494"/>
        <w:spacing w:after="0" w:line="235" w:lineRule="auto"/>
        <w:rPr>
          <w:rFonts w:ascii="Arial" w:cs="Arial" w:eastAsia="Arial" w:hAnsi="Arial"/>
          <w:sz w:val="18"/>
          <w:szCs w:val="18"/>
          <w:color w:val="0000FF"/>
        </w:rPr>
      </w:pPr>
      <w:r>
        <w:rPr>
          <w:rFonts w:ascii="Arial" w:cs="Arial" w:eastAsia="Arial" w:hAnsi="Arial"/>
          <w:sz w:val="18"/>
          <w:szCs w:val="18"/>
          <w:color w:val="auto"/>
        </w:rPr>
        <w:t xml:space="preserve">10.29 </w:t>
      </w:r>
      <w:hyperlink r:id="rId229">
        <w:r>
          <w:rPr>
            <w:rFonts w:ascii="Arial" w:cs="Arial" w:eastAsia="Arial" w:hAnsi="Arial"/>
            <w:sz w:val="18"/>
            <w:szCs w:val="18"/>
            <w:color w:val="0000FF"/>
          </w:rPr>
          <w:t>First Amendment to Credit Agreement, dated as of December 21, 2021, by and among Brady Corporation and certain of its</w:t>
        </w:r>
      </w:hyperlink>
      <w:r>
        <w:rPr>
          <w:rFonts w:ascii="Arial" w:cs="Arial" w:eastAsia="Arial" w:hAnsi="Arial"/>
          <w:sz w:val="18"/>
          <w:szCs w:val="18"/>
          <w:color w:val="auto"/>
        </w:rPr>
        <w:t xml:space="preserve"> </w:t>
      </w:r>
      <w:hyperlink r:id="rId229">
        <w:r>
          <w:rPr>
            <w:rFonts w:ascii="Arial" w:cs="Arial" w:eastAsia="Arial" w:hAnsi="Arial"/>
            <w:sz w:val="18"/>
            <w:szCs w:val="18"/>
            <w:color w:val="0000FF"/>
          </w:rPr>
          <w:t>subsidiaries, the lenders listed therein and BMO Harris Bank, N.A., as administrative agent (20)</w:t>
        </w:r>
      </w:hyperlink>
    </w:p>
    <w:p>
      <w:pPr>
        <w:spacing w:after="0" w:line="13" w:lineRule="exact"/>
        <w:rPr>
          <w:sz w:val="20"/>
          <w:szCs w:val="20"/>
          <w:color w:val="auto"/>
        </w:rPr>
      </w:pPr>
    </w:p>
    <w:p>
      <w:pPr>
        <w:ind w:left="1440"/>
        <w:spacing w:after="0"/>
        <w:rPr>
          <w:rFonts w:ascii="Arial" w:cs="Arial" w:eastAsia="Arial" w:hAnsi="Arial"/>
          <w:sz w:val="17"/>
          <w:szCs w:val="17"/>
          <w:color w:val="auto"/>
        </w:rPr>
      </w:pPr>
      <w:r>
        <w:rPr>
          <w:rFonts w:ascii="Arial" w:cs="Arial" w:eastAsia="Arial" w:hAnsi="Arial"/>
          <w:sz w:val="17"/>
          <w:szCs w:val="17"/>
          <w:color w:val="auto"/>
        </w:rPr>
        <w:t xml:space="preserve">*10.30 </w:t>
      </w:r>
      <w:hyperlink r:id="rId223">
        <w:r>
          <w:rPr>
            <w:rFonts w:ascii="Arial" w:cs="Arial" w:eastAsia="Arial" w:hAnsi="Arial"/>
            <w:sz w:val="17"/>
            <w:szCs w:val="17"/>
            <w:color w:val="0000FF"/>
          </w:rPr>
          <w:t>Form of Fiscal 2022 Restricted Stock Unit Agreement under the Brady Corporation 2017 Omnibus Incentive Plan (34)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-123190</wp:posOffset>
            </wp:positionV>
            <wp:extent cx="7106285" cy="145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15"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*10.31 </w:t>
      </w:r>
      <w:hyperlink r:id="rId231">
        <w:r>
          <w:rPr>
            <w:rFonts w:ascii="Arial" w:cs="Arial" w:eastAsia="Arial" w:hAnsi="Arial"/>
            <w:sz w:val="18"/>
            <w:szCs w:val="18"/>
            <w:color w:val="0000FF"/>
          </w:rPr>
          <w:t>Change of Control Agreement, dated as of March 3, 2014, with Bentley N. Curran (13)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660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2">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spacing w:after="0" w:line="3" w:lineRule="exact"/>
        <w:rPr>
          <w:sz w:val="20"/>
          <w:szCs w:val="20"/>
          <w:color w:val="auto"/>
        </w:rPr>
      </w:pPr>
    </w:p>
    <w:p>
      <w:pPr>
        <w:ind w:left="196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*10.32 </w:t>
      </w:r>
      <w:hyperlink r:id="rId233">
        <w:r>
          <w:rPr>
            <w:rFonts w:ascii="Arial" w:cs="Arial" w:eastAsia="Arial" w:hAnsi="Arial"/>
            <w:sz w:val="18"/>
            <w:szCs w:val="18"/>
            <w:color w:val="0000FF"/>
          </w:rPr>
          <w:t>Form of Fiscal 2022 Nonqualified Employee Stock Option Agreement under the Brady Corporation 2017 Omnibus Incentive</w:t>
        </w:r>
      </w:hyperlink>
      <w:r>
        <w:rPr>
          <w:rFonts w:ascii="Arial" w:cs="Arial" w:eastAsia="Arial" w:hAnsi="Arial"/>
          <w:sz w:val="18"/>
          <w:szCs w:val="18"/>
          <w:color w:val="auto"/>
        </w:rPr>
        <w:t xml:space="preserve"> </w:t>
      </w:r>
      <w:hyperlink r:id="rId233">
        <w:r>
          <w:rPr>
            <w:rFonts w:ascii="Arial" w:cs="Arial" w:eastAsia="Arial" w:hAnsi="Arial"/>
            <w:sz w:val="18"/>
            <w:szCs w:val="18"/>
            <w:color w:val="0000FF"/>
          </w:rPr>
          <w:t>Plan (34)</w:t>
        </w:r>
      </w:hyperlink>
    </w:p>
    <w:p>
      <w:pPr>
        <w:spacing w:after="0" w:line="14"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*10.33 </w:t>
      </w:r>
      <w:hyperlink r:id="rId234">
        <w:r>
          <w:rPr>
            <w:rFonts w:ascii="Arial" w:cs="Arial" w:eastAsia="Arial" w:hAnsi="Arial"/>
            <w:sz w:val="18"/>
            <w:szCs w:val="18"/>
            <w:color w:val="0000FF"/>
          </w:rPr>
          <w:t>Addendum to the 2017 General Stock Option Incentive Plan of Brady Corporation for Participants in France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440"/>
        <w:spacing w:after="0"/>
        <w:rPr>
          <w:rFonts w:ascii="Arial" w:cs="Arial" w:eastAsia="Arial" w:hAnsi="Arial"/>
          <w:sz w:val="17"/>
          <w:szCs w:val="17"/>
          <w:color w:val="auto"/>
        </w:rPr>
      </w:pPr>
      <w:r>
        <w:rPr>
          <w:rFonts w:ascii="Arial" w:cs="Arial" w:eastAsia="Arial" w:hAnsi="Arial"/>
          <w:sz w:val="17"/>
          <w:szCs w:val="17"/>
          <w:color w:val="auto"/>
        </w:rPr>
        <w:t xml:space="preserve">*10.34 </w:t>
      </w:r>
      <w:hyperlink r:id="rId236">
        <w:r>
          <w:rPr>
            <w:rFonts w:ascii="Arial" w:cs="Arial" w:eastAsia="Arial" w:hAnsi="Arial"/>
            <w:sz w:val="17"/>
            <w:szCs w:val="17"/>
            <w:color w:val="0000FF"/>
          </w:rPr>
          <w:t>Addendum to the 2017 General Restricted Stock Unit Incentive Plan of Brady Corporation for Participants in France (18)</w:t>
        </w:r>
      </w:hyperlink>
    </w:p>
    <w:p>
      <w:pPr>
        <w:spacing w:after="0" w:line="29" w:lineRule="exact"/>
        <w:rPr>
          <w:sz w:val="20"/>
          <w:szCs w:val="20"/>
          <w:color w:val="auto"/>
        </w:rPr>
      </w:pPr>
    </w:p>
    <w:p>
      <w:pPr>
        <w:ind w:left="1440"/>
        <w:spacing w:after="0"/>
        <w:rPr>
          <w:rFonts w:ascii="Arial" w:cs="Arial" w:eastAsia="Arial" w:hAnsi="Arial"/>
          <w:sz w:val="17"/>
          <w:szCs w:val="17"/>
          <w:color w:val="auto"/>
        </w:rPr>
      </w:pPr>
      <w:r>
        <w:rPr>
          <w:rFonts w:ascii="Arial" w:cs="Arial" w:eastAsia="Arial" w:hAnsi="Arial"/>
          <w:sz w:val="17"/>
          <w:szCs w:val="17"/>
          <w:color w:val="auto"/>
        </w:rPr>
        <w:t xml:space="preserve">*10.35 </w:t>
      </w:r>
      <w:hyperlink r:id="rId237">
        <w:r>
          <w:rPr>
            <w:rFonts w:ascii="Arial" w:cs="Arial" w:eastAsia="Arial" w:hAnsi="Arial"/>
            <w:sz w:val="17"/>
            <w:szCs w:val="17"/>
            <w:color w:val="0000FF"/>
          </w:rPr>
          <w:t>Form of Nonqualified Employee Stock Option Agreement under the Brady Corporation 2012 Omnibus Incentive Stock Plan</w:t>
        </w:r>
      </w:hyperlink>
    </w:p>
    <w:p>
      <w:pPr>
        <w:ind w:left="1960"/>
        <w:spacing w:after="0"/>
        <w:rPr>
          <w:rFonts w:ascii="Arial" w:cs="Arial" w:eastAsia="Arial" w:hAnsi="Arial"/>
          <w:sz w:val="18"/>
          <w:szCs w:val="18"/>
          <w:color w:val="0000FF"/>
        </w:rPr>
      </w:pPr>
      <w:hyperlink r:id="rId237">
        <w:r>
          <w:rPr>
            <w:rFonts w:ascii="Arial" w:cs="Arial" w:eastAsia="Arial" w:hAnsi="Arial"/>
            <w:sz w:val="18"/>
            <w:szCs w:val="18"/>
            <w:color w:val="0000FF"/>
          </w:rPr>
          <w:t>(26)</w:t>
        </w:r>
      </w:hyperlink>
    </w:p>
    <w:p>
      <w:pPr>
        <w:spacing w:after="0" w:line="20" w:lineRule="exact"/>
        <w:rPr>
          <w:sz w:val="20"/>
          <w:szCs w:val="20"/>
          <w:color w:val="auto"/>
        </w:rPr>
      </w:pPr>
    </w:p>
    <w:p>
      <w:pPr>
        <w:ind w:left="1960" w:right="20" w:hanging="530"/>
        <w:spacing w:after="0" w:line="235" w:lineRule="auto"/>
        <w:rPr>
          <w:rFonts w:ascii="Arial" w:cs="Arial" w:eastAsia="Arial" w:hAnsi="Arial"/>
          <w:sz w:val="18"/>
          <w:szCs w:val="18"/>
          <w:color w:val="0000FF"/>
        </w:rPr>
      </w:pPr>
      <w:r>
        <w:rPr>
          <w:rFonts w:ascii="Arial" w:cs="Arial" w:eastAsia="Arial" w:hAnsi="Arial"/>
          <w:sz w:val="18"/>
          <w:szCs w:val="18"/>
          <w:color w:val="auto"/>
        </w:rPr>
        <w:t xml:space="preserve">*10.36 </w:t>
      </w:r>
      <w:hyperlink r:id="rId238">
        <w:r>
          <w:rPr>
            <w:rFonts w:ascii="Arial" w:cs="Arial" w:eastAsia="Arial" w:hAnsi="Arial"/>
            <w:sz w:val="18"/>
            <w:szCs w:val="18"/>
            <w:color w:val="0000FF"/>
          </w:rPr>
          <w:t>Form of Nonqualified Employee Performance Stock Option Agreement under the Brady Corporation 2012 Omnibus Incentive</w:t>
        </w:r>
      </w:hyperlink>
      <w:r>
        <w:rPr>
          <w:rFonts w:ascii="Arial" w:cs="Arial" w:eastAsia="Arial" w:hAnsi="Arial"/>
          <w:sz w:val="18"/>
          <w:szCs w:val="18"/>
          <w:color w:val="auto"/>
        </w:rPr>
        <w:t xml:space="preserve"> </w:t>
      </w:r>
      <w:hyperlink r:id="rId238">
        <w:r>
          <w:rPr>
            <w:rFonts w:ascii="Arial" w:cs="Arial" w:eastAsia="Arial" w:hAnsi="Arial"/>
            <w:sz w:val="18"/>
            <w:szCs w:val="18"/>
            <w:color w:val="0000FF"/>
          </w:rPr>
          <w:t>Stock Plan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-256540</wp:posOffset>
            </wp:positionV>
            <wp:extent cx="7106285" cy="26606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7106285" cy="266065"/>
                    </a:xfrm>
                    <a:prstGeom prst="rect">
                      <a:avLst/>
                    </a:prstGeom>
                    <a:noFill/>
                  </pic:spPr>
                </pic:pic>
              </a:graphicData>
            </a:graphic>
          </wp:anchor>
        </w:drawing>
      </w: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*10.37 </w:t>
      </w:r>
      <w:hyperlink r:id="rId240">
        <w:r>
          <w:rPr>
            <w:rFonts w:ascii="Arial" w:cs="Arial" w:eastAsia="Arial" w:hAnsi="Arial"/>
            <w:sz w:val="18"/>
            <w:szCs w:val="18"/>
            <w:color w:val="0000FF"/>
          </w:rPr>
          <w:t>Form of Director Stock Option Agreement under the Brady Corporation 2012 Omnibus Incentive Stock Plan (26)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654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3" w:lineRule="exact"/>
        <w:rPr>
          <w:sz w:val="20"/>
          <w:szCs w:val="20"/>
          <w:color w:val="auto"/>
        </w:rPr>
      </w:pPr>
    </w:p>
    <w:p>
      <w:pPr>
        <w:ind w:left="196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*10.38 </w:t>
      </w:r>
      <w:hyperlink r:id="rId242">
        <w:r>
          <w:rPr>
            <w:rFonts w:ascii="Arial" w:cs="Arial" w:eastAsia="Arial" w:hAnsi="Arial"/>
            <w:sz w:val="18"/>
            <w:szCs w:val="18"/>
            <w:color w:val="0000FF"/>
          </w:rPr>
          <w:t>Form of Fiscal 2013 Nonqualified Employee Stock Option Agreement under the Brady Corporation 2012 Omnibus Incentive</w:t>
        </w:r>
      </w:hyperlink>
      <w:r>
        <w:rPr>
          <w:rFonts w:ascii="Arial" w:cs="Arial" w:eastAsia="Arial" w:hAnsi="Arial"/>
          <w:sz w:val="18"/>
          <w:szCs w:val="18"/>
          <w:color w:val="auto"/>
        </w:rPr>
        <w:t xml:space="preserve"> </w:t>
      </w:r>
      <w:hyperlink r:id="rId242">
        <w:r>
          <w:rPr>
            <w:rFonts w:ascii="Arial" w:cs="Arial" w:eastAsia="Arial" w:hAnsi="Arial"/>
            <w:sz w:val="18"/>
            <w:szCs w:val="18"/>
            <w:color w:val="0000FF"/>
          </w:rPr>
          <w:t>Stock Plan (31)</w:t>
        </w:r>
      </w:hyperlink>
    </w:p>
    <w:p>
      <w:pPr>
        <w:spacing w:after="0" w:line="14" w:lineRule="exact"/>
        <w:rPr>
          <w:sz w:val="20"/>
          <w:szCs w:val="20"/>
          <w:color w:val="auto"/>
        </w:rPr>
      </w:pPr>
    </w:p>
    <w:p>
      <w:pPr>
        <w:ind w:left="1960" w:hanging="530"/>
        <w:spacing w:after="0" w:line="235" w:lineRule="auto"/>
        <w:rPr>
          <w:rFonts w:ascii="Arial" w:cs="Arial" w:eastAsia="Arial" w:hAnsi="Arial"/>
          <w:sz w:val="18"/>
          <w:szCs w:val="18"/>
          <w:color w:val="0000FF"/>
        </w:rPr>
      </w:pPr>
      <w:r>
        <w:rPr>
          <w:rFonts w:ascii="Arial" w:cs="Arial" w:eastAsia="Arial" w:hAnsi="Arial"/>
          <w:sz w:val="18"/>
          <w:szCs w:val="18"/>
          <w:color w:val="auto"/>
        </w:rPr>
        <w:t xml:space="preserve">*10.39 </w:t>
      </w:r>
      <w:hyperlink r:id="rId243">
        <w:r>
          <w:rPr>
            <w:rFonts w:ascii="Arial" w:cs="Arial" w:eastAsia="Arial" w:hAnsi="Arial"/>
            <w:sz w:val="18"/>
            <w:szCs w:val="18"/>
            <w:color w:val="0000FF"/>
          </w:rPr>
          <w:t>Form of Fiscal 2013 Director Nonqualified Stock Option Agreement under the Brady Corporation 2012 Omnibus Incentive</w:t>
        </w:r>
      </w:hyperlink>
      <w:r>
        <w:rPr>
          <w:rFonts w:ascii="Arial" w:cs="Arial" w:eastAsia="Arial" w:hAnsi="Arial"/>
          <w:sz w:val="18"/>
          <w:szCs w:val="18"/>
          <w:color w:val="auto"/>
        </w:rPr>
        <w:t xml:space="preserve"> </w:t>
      </w:r>
      <w:hyperlink r:id="rId243">
        <w:r>
          <w:rPr>
            <w:rFonts w:ascii="Arial" w:cs="Arial" w:eastAsia="Arial" w:hAnsi="Arial"/>
            <w:sz w:val="18"/>
            <w:szCs w:val="18"/>
            <w:color w:val="0000FF"/>
          </w:rPr>
          <w:t>Stock Plan (31)</w:t>
        </w:r>
      </w:hyperlink>
    </w:p>
    <w:p>
      <w:pPr>
        <w:spacing w:after="0" w:line="13" w:lineRule="exact"/>
        <w:rPr>
          <w:sz w:val="20"/>
          <w:szCs w:val="20"/>
          <w:color w:val="auto"/>
        </w:rPr>
      </w:pPr>
    </w:p>
    <w:p>
      <w:pPr>
        <w:jc w:val="right"/>
        <w:ind w:left="1460"/>
        <w:spacing w:after="0" w:line="233" w:lineRule="auto"/>
        <w:rPr>
          <w:rFonts w:ascii="Arial" w:cs="Arial" w:eastAsia="Arial" w:hAnsi="Arial"/>
          <w:sz w:val="17"/>
          <w:szCs w:val="17"/>
          <w:color w:val="0000FF"/>
        </w:rPr>
      </w:pPr>
      <w:r>
        <w:rPr>
          <w:rFonts w:ascii="Arial" w:cs="Arial" w:eastAsia="Arial" w:hAnsi="Arial"/>
          <w:sz w:val="17"/>
          <w:szCs w:val="17"/>
          <w:color w:val="auto"/>
        </w:rPr>
        <w:t xml:space="preserve">10.40 </w:t>
      </w:r>
      <w:hyperlink r:id="rId244">
        <w:r>
          <w:rPr>
            <w:rFonts w:ascii="Arial" w:cs="Arial" w:eastAsia="Arial" w:hAnsi="Arial"/>
            <w:sz w:val="17"/>
            <w:szCs w:val="17"/>
            <w:color w:val="0000FF"/>
          </w:rPr>
          <w:t>Credit Agreement, dated as of August 1, 2019, by and among Brady Corporation and certain of its subsidiaries, the lenders</w:t>
        </w:r>
      </w:hyperlink>
      <w:r>
        <w:rPr>
          <w:rFonts w:ascii="Arial" w:cs="Arial" w:eastAsia="Arial" w:hAnsi="Arial"/>
          <w:sz w:val="17"/>
          <w:szCs w:val="17"/>
          <w:color w:val="auto"/>
        </w:rPr>
        <w:t xml:space="preserve"> </w:t>
      </w:r>
      <w:hyperlink r:id="rId244">
        <w:r>
          <w:rPr>
            <w:rFonts w:ascii="Arial" w:cs="Arial" w:eastAsia="Arial" w:hAnsi="Arial"/>
            <w:sz w:val="17"/>
            <w:szCs w:val="17"/>
            <w:color w:val="0000FF"/>
          </w:rPr>
          <w:t>listed therein, BMO Harris Bank, N.A., as administrative agent and L/C issuer, Bank of America, N.A., as syndication agent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-240030</wp:posOffset>
            </wp:positionV>
            <wp:extent cx="7106285" cy="3771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5">
                      <a:extLst>
                        <a:ext uri="{28A0092B-C50C-407E-A947-70E740481C1C}"/>
                      </a:extLst>
                    </a:blip>
                    <a:srcRect/>
                    <a:stretch>
                      <a:fillRect/>
                    </a:stretch>
                  </pic:blipFill>
                  <pic:spPr bwMode="auto">
                    <a:xfrm>
                      <a:off x="0" y="0"/>
                      <a:ext cx="7106285" cy="377190"/>
                    </a:xfrm>
                    <a:prstGeom prst="rect">
                      <a:avLst/>
                    </a:prstGeom>
                    <a:noFill/>
                  </pic:spPr>
                </pic:pic>
              </a:graphicData>
            </a:graphic>
          </wp:anchor>
        </w:drawing>
      </w:r>
    </w:p>
    <w:p>
      <w:pPr>
        <w:ind w:left="1960"/>
        <w:spacing w:after="0"/>
        <w:rPr>
          <w:rFonts w:ascii="Arial" w:cs="Arial" w:eastAsia="Arial" w:hAnsi="Arial"/>
          <w:sz w:val="18"/>
          <w:szCs w:val="18"/>
          <w:color w:val="0000FF"/>
        </w:rPr>
      </w:pPr>
      <w:hyperlink r:id="rId244">
        <w:r>
          <w:rPr>
            <w:rFonts w:ascii="Arial" w:cs="Arial" w:eastAsia="Arial" w:hAnsi="Arial"/>
            <w:sz w:val="18"/>
            <w:szCs w:val="18"/>
            <w:color w:val="0000FF"/>
          </w:rPr>
          <w:t>and L/C issuer, and Wells Fargo Bank, N.A., as documentation agent (38)</w:t>
        </w:r>
      </w:hyperlink>
    </w:p>
    <w:p>
      <w:pPr>
        <w:spacing w:after="0" w:line="7" w:lineRule="exact"/>
        <w:rPr>
          <w:sz w:val="20"/>
          <w:szCs w:val="20"/>
          <w:color w:val="auto"/>
        </w:rPr>
      </w:pPr>
    </w:p>
    <w:p>
      <w:pPr>
        <w:ind w:left="1960" w:hanging="53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*10.41 </w:t>
      </w:r>
      <w:hyperlink r:id="rId246">
        <w:r>
          <w:rPr>
            <w:rFonts w:ascii="Arial" w:cs="Arial" w:eastAsia="Arial" w:hAnsi="Arial"/>
            <w:sz w:val="18"/>
            <w:szCs w:val="18"/>
            <w:color w:val="0000FF"/>
          </w:rPr>
          <w:t>Form of Fiscal 2014 Nonqualified Employee Stock Option Agreement under the Brady Corporation 2012 Omnibus Incentive</w:t>
        </w:r>
      </w:hyperlink>
      <w:r>
        <w:rPr>
          <w:rFonts w:ascii="Arial" w:cs="Arial" w:eastAsia="Arial" w:hAnsi="Arial"/>
          <w:sz w:val="18"/>
          <w:szCs w:val="18"/>
          <w:color w:val="auto"/>
        </w:rPr>
        <w:t xml:space="preserve"> </w:t>
      </w:r>
      <w:hyperlink r:id="rId246">
        <w:r>
          <w:rPr>
            <w:rFonts w:ascii="Arial" w:cs="Arial" w:eastAsia="Arial" w:hAnsi="Arial"/>
            <w:sz w:val="18"/>
            <w:szCs w:val="18"/>
            <w:color w:val="0000FF"/>
          </w:rPr>
          <w:t>Stock Plan (32)</w:t>
        </w:r>
      </w:hyperlink>
    </w:p>
    <w:p>
      <w:pPr>
        <w:spacing w:after="0" w:line="14" w:lineRule="exact"/>
        <w:rPr>
          <w:sz w:val="20"/>
          <w:szCs w:val="20"/>
          <w:color w:val="auto"/>
        </w:rPr>
      </w:pPr>
    </w:p>
    <w:p>
      <w:pPr>
        <w:ind w:left="1960" w:hanging="530"/>
        <w:spacing w:after="0" w:line="235" w:lineRule="auto"/>
        <w:rPr>
          <w:rFonts w:ascii="Arial" w:cs="Arial" w:eastAsia="Arial" w:hAnsi="Arial"/>
          <w:sz w:val="18"/>
          <w:szCs w:val="18"/>
          <w:color w:val="0000FF"/>
        </w:rPr>
      </w:pPr>
      <w:r>
        <w:rPr>
          <w:rFonts w:ascii="Arial" w:cs="Arial" w:eastAsia="Arial" w:hAnsi="Arial"/>
          <w:sz w:val="18"/>
          <w:szCs w:val="18"/>
          <w:color w:val="auto"/>
        </w:rPr>
        <w:t xml:space="preserve">*10.42 </w:t>
      </w:r>
      <w:hyperlink r:id="rId247">
        <w:r>
          <w:rPr>
            <w:rFonts w:ascii="Arial" w:cs="Arial" w:eastAsia="Arial" w:hAnsi="Arial"/>
            <w:sz w:val="18"/>
            <w:szCs w:val="18"/>
            <w:color w:val="0000FF"/>
          </w:rPr>
          <w:t>Form of Fiscal 2014 Director Nonqualified Stock Option Agreement under the Brady Corporation 2012 Omnibus Incentive</w:t>
        </w:r>
      </w:hyperlink>
      <w:r>
        <w:rPr>
          <w:rFonts w:ascii="Arial" w:cs="Arial" w:eastAsia="Arial" w:hAnsi="Arial"/>
          <w:sz w:val="18"/>
          <w:szCs w:val="18"/>
          <w:color w:val="auto"/>
        </w:rPr>
        <w:t xml:space="preserve"> </w:t>
      </w:r>
      <w:hyperlink r:id="rId247">
        <w:r>
          <w:rPr>
            <w:rFonts w:ascii="Arial" w:cs="Arial" w:eastAsia="Arial" w:hAnsi="Arial"/>
            <w:sz w:val="18"/>
            <w:szCs w:val="18"/>
            <w:color w:val="0000FF"/>
          </w:rPr>
          <w:t>Stock Plan (32)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-256540</wp:posOffset>
            </wp:positionV>
            <wp:extent cx="7106285" cy="2654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ind w:left="1960" w:hanging="530"/>
        <w:spacing w:after="0" w:line="235" w:lineRule="auto"/>
        <w:rPr>
          <w:rFonts w:ascii="Arial" w:cs="Arial" w:eastAsia="Arial" w:hAnsi="Arial"/>
          <w:sz w:val="18"/>
          <w:szCs w:val="18"/>
          <w:color w:val="0000FF"/>
        </w:rPr>
      </w:pPr>
      <w:r>
        <w:rPr>
          <w:rFonts w:ascii="Arial" w:cs="Arial" w:eastAsia="Arial" w:hAnsi="Arial"/>
          <w:sz w:val="18"/>
          <w:szCs w:val="18"/>
          <w:color w:val="auto"/>
        </w:rPr>
        <w:t xml:space="preserve">*10.43 </w:t>
      </w:r>
      <w:hyperlink r:id="rId249">
        <w:r>
          <w:rPr>
            <w:rFonts w:ascii="Arial" w:cs="Arial" w:eastAsia="Arial" w:hAnsi="Arial"/>
            <w:sz w:val="18"/>
            <w:szCs w:val="18"/>
            <w:color w:val="0000FF"/>
          </w:rPr>
          <w:t>Form of Fiscal 2016 Nonqualified Employee Stock Option Agreement under the Brady Corporation 2012 Omnibus Incentive</w:t>
        </w:r>
      </w:hyperlink>
      <w:r>
        <w:rPr>
          <w:rFonts w:ascii="Arial" w:cs="Arial" w:eastAsia="Arial" w:hAnsi="Arial"/>
          <w:sz w:val="18"/>
          <w:szCs w:val="18"/>
          <w:color w:val="auto"/>
        </w:rPr>
        <w:t xml:space="preserve"> </w:t>
      </w:r>
      <w:hyperlink r:id="rId249">
        <w:r>
          <w:rPr>
            <w:rFonts w:ascii="Arial" w:cs="Arial" w:eastAsia="Arial" w:hAnsi="Arial"/>
            <w:sz w:val="18"/>
            <w:szCs w:val="18"/>
            <w:color w:val="0000FF"/>
          </w:rPr>
          <w:t>Stock Plan (21)</w:t>
        </w:r>
      </w:hyperlink>
    </w:p>
    <w:p>
      <w:pPr>
        <w:spacing w:after="0" w:line="13" w:lineRule="exact"/>
        <w:rPr>
          <w:sz w:val="20"/>
          <w:szCs w:val="20"/>
          <w:color w:val="auto"/>
        </w:rPr>
      </w:pPr>
    </w:p>
    <w:p>
      <w:pPr>
        <w:ind w:left="1960" w:hanging="530"/>
        <w:spacing w:after="0" w:line="235" w:lineRule="auto"/>
        <w:rPr>
          <w:rFonts w:ascii="Arial" w:cs="Arial" w:eastAsia="Arial" w:hAnsi="Arial"/>
          <w:sz w:val="18"/>
          <w:szCs w:val="18"/>
          <w:color w:val="0000FF"/>
        </w:rPr>
      </w:pPr>
      <w:r>
        <w:rPr>
          <w:rFonts w:ascii="Arial" w:cs="Arial" w:eastAsia="Arial" w:hAnsi="Arial"/>
          <w:sz w:val="18"/>
          <w:szCs w:val="18"/>
          <w:color w:val="auto"/>
        </w:rPr>
        <w:t xml:space="preserve">*10.44 </w:t>
      </w:r>
      <w:hyperlink r:id="rId250">
        <w:r>
          <w:rPr>
            <w:rFonts w:ascii="Arial" w:cs="Arial" w:eastAsia="Arial" w:hAnsi="Arial"/>
            <w:sz w:val="18"/>
            <w:szCs w:val="18"/>
            <w:color w:val="0000FF"/>
          </w:rPr>
          <w:t>Form of Fiscal 2015 Nonqualified Employee Stock Option Agreement under the Brady Corporation 2012 Omnibus Incentive</w:t>
        </w:r>
      </w:hyperlink>
      <w:r>
        <w:rPr>
          <w:rFonts w:ascii="Arial" w:cs="Arial" w:eastAsia="Arial" w:hAnsi="Arial"/>
          <w:sz w:val="18"/>
          <w:szCs w:val="18"/>
          <w:color w:val="auto"/>
        </w:rPr>
        <w:t xml:space="preserve"> </w:t>
      </w:r>
      <w:hyperlink r:id="rId250">
        <w:r>
          <w:rPr>
            <w:rFonts w:ascii="Arial" w:cs="Arial" w:eastAsia="Arial" w:hAnsi="Arial"/>
            <w:sz w:val="18"/>
            <w:szCs w:val="18"/>
            <w:color w:val="0000FF"/>
          </w:rPr>
          <w:t>Stock Plan (9)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-256540</wp:posOffset>
            </wp:positionV>
            <wp:extent cx="7106285" cy="2654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1">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960" w:hanging="530"/>
        <w:spacing w:after="0" w:line="235" w:lineRule="auto"/>
        <w:rPr>
          <w:rFonts w:ascii="Arial" w:cs="Arial" w:eastAsia="Arial" w:hAnsi="Arial"/>
          <w:sz w:val="18"/>
          <w:szCs w:val="18"/>
          <w:color w:val="0000FF"/>
        </w:rPr>
      </w:pPr>
      <w:r>
        <w:rPr>
          <w:rFonts w:ascii="Arial" w:cs="Arial" w:eastAsia="Arial" w:hAnsi="Arial"/>
          <w:sz w:val="18"/>
          <w:szCs w:val="18"/>
          <w:color w:val="auto"/>
        </w:rPr>
        <w:t xml:space="preserve">*10.45 </w:t>
      </w:r>
      <w:hyperlink r:id="rId253">
        <w:r>
          <w:rPr>
            <w:rFonts w:ascii="Arial" w:cs="Arial" w:eastAsia="Arial" w:hAnsi="Arial"/>
            <w:sz w:val="18"/>
            <w:szCs w:val="18"/>
            <w:color w:val="0000FF"/>
          </w:rPr>
          <w:t>Form of Fiscal 2015 Director Nonqualified Stock Option Agreement under the Brady Corporation 2012 Omnibus Incentive</w:t>
        </w:r>
      </w:hyperlink>
      <w:r>
        <w:rPr>
          <w:rFonts w:ascii="Arial" w:cs="Arial" w:eastAsia="Arial" w:hAnsi="Arial"/>
          <w:sz w:val="18"/>
          <w:szCs w:val="18"/>
          <w:color w:val="auto"/>
        </w:rPr>
        <w:t xml:space="preserve"> </w:t>
      </w:r>
      <w:hyperlink r:id="rId253">
        <w:r>
          <w:rPr>
            <w:rFonts w:ascii="Arial" w:cs="Arial" w:eastAsia="Arial" w:hAnsi="Arial"/>
            <w:sz w:val="18"/>
            <w:szCs w:val="18"/>
            <w:color w:val="0000FF"/>
          </w:rPr>
          <w:t>Stock Plan (9)</w:t>
        </w:r>
      </w:hyperlink>
    </w:p>
    <w:p>
      <w:pPr>
        <w:spacing w:after="0" w:line="1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*10.46 </w:t>
      </w:r>
      <w:hyperlink r:id="rId254">
        <w:r>
          <w:rPr>
            <w:rFonts w:ascii="Arial" w:cs="Arial" w:eastAsia="Arial" w:hAnsi="Arial"/>
            <w:sz w:val="18"/>
            <w:szCs w:val="18"/>
            <w:color w:val="0000FF"/>
          </w:rPr>
          <w:t>Employment Agreement, dated as of September 4, 2014, with Pascal Deman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-130175</wp:posOffset>
            </wp:positionV>
            <wp:extent cx="7106285" cy="1460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5">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*10.47 </w:t>
      </w:r>
      <w:hyperlink r:id="rId256">
        <w:r>
          <w:rPr>
            <w:rFonts w:ascii="Arial" w:cs="Arial" w:eastAsia="Arial" w:hAnsi="Arial"/>
            <w:sz w:val="18"/>
            <w:szCs w:val="18"/>
            <w:color w:val="0000FF"/>
          </w:rPr>
          <w:t>Amendment to the Employment Agreement, dated January 7, 2020, with Pascal Deman (18)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2654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7">
                      <a:extLst>
                        <a:ext uri="{28A0092B-C50C-407E-A947-70E740481C1C}"/>
                      </a:extLst>
                    </a:blip>
                    <a:srcRect/>
                    <a:stretch>
                      <a:fillRect/>
                    </a:stretch>
                  </pic:blipFill>
                  <pic:spPr bwMode="auto">
                    <a:xfrm>
                      <a:off x="0" y="0"/>
                      <a:ext cx="7106285" cy="265430"/>
                    </a:xfrm>
                    <a:prstGeom prst="rect">
                      <a:avLst/>
                    </a:prstGeom>
                    <a:noFill/>
                  </pic:spPr>
                </pic:pic>
              </a:graphicData>
            </a:graphic>
          </wp:anchor>
        </w:drawing>
      </w:r>
    </w:p>
    <w:p>
      <w:pPr>
        <w:spacing w:after="0" w:line="3" w:lineRule="exact"/>
        <w:rPr>
          <w:sz w:val="20"/>
          <w:szCs w:val="20"/>
          <w:color w:val="auto"/>
        </w:rPr>
      </w:pPr>
    </w:p>
    <w:p>
      <w:pPr>
        <w:ind w:left="1960" w:hanging="440"/>
        <w:spacing w:after="0" w:line="234" w:lineRule="auto"/>
        <w:rPr>
          <w:rFonts w:ascii="Arial" w:cs="Arial" w:eastAsia="Arial" w:hAnsi="Arial"/>
          <w:sz w:val="18"/>
          <w:szCs w:val="18"/>
          <w:color w:val="0000FF"/>
        </w:rPr>
      </w:pPr>
      <w:r>
        <w:rPr>
          <w:rFonts w:ascii="Arial" w:cs="Arial" w:eastAsia="Arial" w:hAnsi="Arial"/>
          <w:sz w:val="18"/>
          <w:szCs w:val="18"/>
          <w:color w:val="auto"/>
        </w:rPr>
        <w:t xml:space="preserve">10.48 </w:t>
      </w:r>
      <w:hyperlink r:id="rId258">
        <w:r>
          <w:rPr>
            <w:rFonts w:ascii="Arial" w:cs="Arial" w:eastAsia="Arial" w:hAnsi="Arial"/>
            <w:sz w:val="18"/>
            <w:szCs w:val="18"/>
            <w:color w:val="0000FF"/>
          </w:rPr>
          <w:t>Second Amendment to Credit Agreement, dated as of November 14, 2022, by and among Brady Corporation and certain of its</w:t>
        </w:r>
      </w:hyperlink>
      <w:r>
        <w:rPr>
          <w:rFonts w:ascii="Arial" w:cs="Arial" w:eastAsia="Arial" w:hAnsi="Arial"/>
          <w:sz w:val="18"/>
          <w:szCs w:val="18"/>
          <w:color w:val="auto"/>
        </w:rPr>
        <w:t xml:space="preserve"> </w:t>
      </w:r>
      <w:hyperlink r:id="rId258">
        <w:r>
          <w:rPr>
            <w:rFonts w:ascii="Arial" w:cs="Arial" w:eastAsia="Arial" w:hAnsi="Arial"/>
            <w:sz w:val="18"/>
            <w:szCs w:val="18"/>
            <w:color w:val="0000FF"/>
          </w:rPr>
          <w:t>subsidiaries, the lenders listed therein and BMO Harris Bank, N.A., as administrative agent (35)</w:t>
        </w:r>
      </w:hyperlink>
    </w:p>
    <w:p>
      <w:pPr>
        <w:spacing w:after="0" w:line="14"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*10.49 </w:t>
      </w:r>
      <w:hyperlink r:id="rId259">
        <w:r>
          <w:rPr>
            <w:rFonts w:ascii="Arial" w:cs="Arial" w:eastAsia="Arial" w:hAnsi="Arial"/>
            <w:sz w:val="18"/>
            <w:szCs w:val="18"/>
            <w:color w:val="0000FF"/>
          </w:rPr>
          <w:t>Employment Offer Letter between Brady Corporation and Ann E. Thornton dated as of April 14, 2023 (16)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0">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*10.50 </w:t>
      </w:r>
      <w:hyperlink r:id="rId261">
        <w:r>
          <w:rPr>
            <w:rFonts w:ascii="Arial" w:cs="Arial" w:eastAsia="Arial" w:hAnsi="Arial"/>
            <w:sz w:val="18"/>
            <w:szCs w:val="18"/>
            <w:color w:val="0000FF"/>
          </w:rPr>
          <w:t>Change of Control Agreement between Brady Corporation and Ann E. Thornton dated as of April 14, 2023 (16)</w:t>
        </w:r>
      </w:hyperlink>
    </w:p>
    <w:p>
      <w:pPr>
        <w:spacing w:after="0" w:line="2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*10.51 </w:t>
      </w:r>
      <w:hyperlink r:id="rId262">
        <w:r>
          <w:rPr>
            <w:rFonts w:ascii="Arial" w:cs="Arial" w:eastAsia="Arial" w:hAnsi="Arial"/>
            <w:sz w:val="18"/>
            <w:szCs w:val="18"/>
            <w:color w:val="0000FF"/>
          </w:rPr>
          <w:t>Employment Contract Addendum between Brady Corporation and Brett Wilms effective February 1, 2023 (10)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6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1440"/>
        <w:spacing w:after="0"/>
        <w:rPr>
          <w:rFonts w:ascii="Arial" w:cs="Arial" w:eastAsia="Arial" w:hAnsi="Arial"/>
          <w:sz w:val="18"/>
          <w:szCs w:val="18"/>
          <w:color w:val="auto"/>
        </w:rPr>
      </w:pPr>
      <w:r>
        <w:rPr>
          <w:rFonts w:ascii="Arial" w:cs="Arial" w:eastAsia="Arial" w:hAnsi="Arial"/>
          <w:sz w:val="18"/>
          <w:szCs w:val="18"/>
          <w:color w:val="auto"/>
        </w:rPr>
        <w:t xml:space="preserve">*10.52 </w:t>
      </w:r>
      <w:hyperlink r:id="rId264">
        <w:r>
          <w:rPr>
            <w:rFonts w:ascii="Arial" w:cs="Arial" w:eastAsia="Arial" w:hAnsi="Arial"/>
            <w:sz w:val="18"/>
            <w:szCs w:val="18"/>
            <w:color w:val="0000FF"/>
          </w:rPr>
          <w:t>Change of Control Agreement between Brady Corporation and Brett Wilms dated as of January 10, 2023 (10)</w:t>
        </w:r>
      </w:hyperlink>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*10.53 </w:t>
      </w:r>
      <w:r>
        <w:rPr>
          <w:rFonts w:ascii="Arial" w:cs="Arial" w:eastAsia="Arial" w:hAnsi="Arial"/>
          <w:sz w:val="18"/>
          <w:szCs w:val="18"/>
          <w:color w:val="0000FF"/>
        </w:rPr>
        <w:t>Executive Deferred Compensation Plan, As Amended and Restated Effective September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1960" w:hanging="267"/>
        <w:spacing w:after="0"/>
        <w:tabs>
          <w:tab w:leader="none" w:pos="1960" w:val="left"/>
        </w:tabs>
        <w:numPr>
          <w:ilvl w:val="0"/>
          <w:numId w:val="74"/>
        </w:numPr>
        <w:rPr>
          <w:rFonts w:ascii="Arial" w:cs="Arial" w:eastAsia="Arial" w:hAnsi="Arial"/>
          <w:sz w:val="18"/>
          <w:szCs w:val="18"/>
          <w:color w:val="auto"/>
        </w:rPr>
      </w:pPr>
      <w:r>
        <w:rPr>
          <w:rFonts w:ascii="Arial" w:cs="Arial" w:eastAsia="Arial" w:hAnsi="Arial"/>
          <w:sz w:val="18"/>
          <w:szCs w:val="18"/>
          <w:color w:val="0000FF"/>
        </w:rPr>
        <w:t>Subsidiaries of Brady Corporation</w:t>
      </w:r>
    </w:p>
    <w:p>
      <w:pPr>
        <w:spacing w:after="0" w:line="23" w:lineRule="exact"/>
        <w:rPr>
          <w:sz w:val="20"/>
          <w:szCs w:val="20"/>
          <w:color w:val="auto"/>
        </w:rPr>
      </w:pPr>
    </w:p>
    <w:p>
      <w:pPr>
        <w:ind w:left="1560" w:right="3140" w:firstLine="133"/>
        <w:spacing w:after="0" w:line="266" w:lineRule="auto"/>
        <w:tabs>
          <w:tab w:leader="none" w:pos="1965" w:val="left"/>
        </w:tabs>
        <w:numPr>
          <w:ilvl w:val="2"/>
          <w:numId w:val="75"/>
        </w:numPr>
        <w:rPr>
          <w:rFonts w:ascii="Arial" w:cs="Arial" w:eastAsia="Arial" w:hAnsi="Arial"/>
          <w:sz w:val="18"/>
          <w:szCs w:val="18"/>
          <w:color w:val="auto"/>
        </w:rPr>
      </w:pPr>
      <w:r>
        <w:rPr>
          <w:rFonts w:ascii="Arial" w:cs="Arial" w:eastAsia="Arial" w:hAnsi="Arial"/>
          <w:sz w:val="18"/>
          <w:szCs w:val="18"/>
          <w:color w:val="0000FF"/>
        </w:rPr>
        <w:t xml:space="preserve">Consent of Deloitte &amp; Touche LLP, Independent Registered Public Accounting Firm </w:t>
      </w:r>
      <w:r>
        <w:rPr>
          <w:rFonts w:ascii="Arial" w:cs="Arial" w:eastAsia="Arial" w:hAnsi="Arial"/>
          <w:sz w:val="18"/>
          <w:szCs w:val="18"/>
          <w:color w:val="000000"/>
        </w:rPr>
        <w:t xml:space="preserve">31.1 </w:t>
      </w:r>
      <w:r>
        <w:rPr>
          <w:rFonts w:ascii="Arial" w:cs="Arial" w:eastAsia="Arial" w:hAnsi="Arial"/>
          <w:sz w:val="18"/>
          <w:szCs w:val="18"/>
          <w:color w:val="0000FF"/>
        </w:rPr>
        <w:t>Rule 13a-14(a)/15d-14(a) Certification of Russell R. Shaller</w:t>
      </w: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31.2 </w:t>
      </w:r>
      <w:r>
        <w:rPr>
          <w:rFonts w:ascii="Arial" w:cs="Arial" w:eastAsia="Arial" w:hAnsi="Arial"/>
          <w:sz w:val="18"/>
          <w:szCs w:val="18"/>
          <w:color w:val="0000FF"/>
        </w:rPr>
        <w:t>Rule 13a-14(a)/15d-14(a) Certification of Ann E. Thornton</w:t>
      </w:r>
    </w:p>
    <w:p>
      <w:pPr>
        <w:spacing w:after="0" w:line="22"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32.1 </w:t>
      </w:r>
      <w:r>
        <w:rPr>
          <w:rFonts w:ascii="Arial" w:cs="Arial" w:eastAsia="Arial" w:hAnsi="Arial"/>
          <w:sz w:val="18"/>
          <w:szCs w:val="18"/>
          <w:color w:val="0000FF"/>
        </w:rPr>
        <w:t>Section 1350 Certification of Russell R. Shaller</w:t>
      </w:r>
    </w:p>
    <w:p>
      <w:pPr>
        <w:spacing w:after="0" w:line="22"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 xml:space="preserve">32.2 </w:t>
      </w:r>
      <w:r>
        <w:rPr>
          <w:rFonts w:ascii="Arial" w:cs="Arial" w:eastAsia="Arial" w:hAnsi="Arial"/>
          <w:sz w:val="18"/>
          <w:szCs w:val="18"/>
          <w:color w:val="0000FF"/>
        </w:rPr>
        <w:t>Section 1350 Certification of Ann E. Thornton</w:t>
      </w:r>
    </w:p>
    <w:p>
      <w:pPr>
        <w:spacing w:after="0" w:line="22" w:lineRule="exact"/>
        <w:rPr>
          <w:rFonts w:ascii="Arial" w:cs="Arial" w:eastAsia="Arial" w:hAnsi="Arial"/>
          <w:sz w:val="18"/>
          <w:szCs w:val="18"/>
          <w:color w:val="auto"/>
        </w:rPr>
      </w:pPr>
    </w:p>
    <w:p>
      <w:pPr>
        <w:ind w:left="1960" w:hanging="356"/>
        <w:spacing w:after="0"/>
        <w:tabs>
          <w:tab w:leader="none" w:pos="1960" w:val="left"/>
        </w:tabs>
        <w:numPr>
          <w:ilvl w:val="2"/>
          <w:numId w:val="76"/>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22" w:lineRule="exact"/>
        <w:rPr>
          <w:rFonts w:ascii="Arial" w:cs="Arial" w:eastAsia="Arial" w:hAnsi="Arial"/>
          <w:sz w:val="18"/>
          <w:szCs w:val="18"/>
          <w:color w:val="auto"/>
        </w:rPr>
      </w:pPr>
    </w:p>
    <w:p>
      <w:pPr>
        <w:ind w:left="1960" w:hanging="356"/>
        <w:spacing w:after="0"/>
        <w:tabs>
          <w:tab w:leader="none" w:pos="1960" w:val="left"/>
        </w:tabs>
        <w:numPr>
          <w:ilvl w:val="2"/>
          <w:numId w:val="77"/>
        </w:numPr>
        <w:rPr>
          <w:rFonts w:ascii="Arial" w:cs="Arial" w:eastAsia="Arial" w:hAnsi="Arial"/>
          <w:sz w:val="18"/>
          <w:szCs w:val="18"/>
          <w:color w:val="auto"/>
        </w:rPr>
      </w:pPr>
      <w:r>
        <w:rPr>
          <w:rFonts w:ascii="Arial" w:cs="Arial" w:eastAsia="Arial" w:hAnsi="Arial"/>
          <w:sz w:val="18"/>
          <w:szCs w:val="18"/>
          <w:color w:val="auto"/>
        </w:rPr>
        <w:t>Cover Page Inline XBRL data (Contained in Exhibit 101)</w:t>
      </w:r>
    </w:p>
    <w:p>
      <w:pPr>
        <w:spacing w:after="0" w:line="143"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 or arrangement</w:t>
      </w:r>
    </w:p>
    <w:p>
      <w:pPr>
        <w:spacing w:after="0" w:line="90"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Incorporated by reference to Registrant’s Registration Statement No. 333-04155 on Form S-3</w:t>
      </w:r>
    </w:p>
    <w:p>
      <w:pPr>
        <w:spacing w:after="0" w:line="23"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1989</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2019</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1992</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25, 2014</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2014</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February 1, 2023</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August 5, 2022</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Incorporated by reference to Registrant’s Quarterly Report on Form 10-Q for the fiscal quarter ended January 31, 2014</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October 11, 2022</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March 16, 2022</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April 19, 2023</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2020</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22, 2021</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-4022725</wp:posOffset>
            </wp:positionV>
            <wp:extent cx="7106285" cy="145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6">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-3731260</wp:posOffset>
            </wp:positionV>
            <wp:extent cx="7106285" cy="145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7">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-3439795</wp:posOffset>
            </wp:positionV>
            <wp:extent cx="7106285" cy="146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Reserved</w:t>
      </w:r>
    </w:p>
    <w:p>
      <w:pPr>
        <w:spacing w:after="0" w:line="23" w:lineRule="exact"/>
        <w:rPr>
          <w:rFonts w:ascii="Arial" w:cs="Arial" w:eastAsia="Arial" w:hAnsi="Arial"/>
          <w:sz w:val="18"/>
          <w:szCs w:val="18"/>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September 16, 2020</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June 21, 2021</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2011</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27, 2016</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Reserved</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December 31, 2012</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April 16, 2021</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2012</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2013</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July 14, 2016</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2021</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November 17, 2022</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May 26, 2021</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Registrant’s Annual Report on Form 10-K for the fiscal year ended July 31, 2018</w:t>
      </w:r>
    </w:p>
    <w:p>
      <w:pPr>
        <w:spacing w:after="0" w:line="9" w:lineRule="exact"/>
        <w:rPr>
          <w:rFonts w:ascii="Arial" w:cs="Arial" w:eastAsia="Arial" w:hAnsi="Arial"/>
          <w:sz w:val="18"/>
          <w:szCs w:val="18"/>
          <w:color w:val="auto"/>
        </w:rPr>
      </w:pPr>
    </w:p>
    <w:p>
      <w:pPr>
        <w:ind w:left="520" w:hanging="472"/>
        <w:spacing w:after="0"/>
        <w:tabs>
          <w:tab w:leader="none" w:pos="5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Incorporated by reference to Registrant’s Current Report on Form 8-K filed August 1, 2019</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BRADY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6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0"/>
              </w:rPr>
              <w:t>Year ended July 31,</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13"/>
        </w:trPr>
        <w:tc>
          <w:tcPr>
            <w:tcW w:w="6140" w:type="dxa"/>
            <w:vAlign w:val="bottom"/>
          </w:tcPr>
          <w:p>
            <w:pPr>
              <w:spacing w:after="0"/>
              <w:rPr>
                <w:sz w:val="20"/>
                <w:szCs w:val="20"/>
                <w:color w:val="auto"/>
              </w:rPr>
            </w:pPr>
            <w:r>
              <w:rPr>
                <w:rFonts w:ascii="Arial" w:cs="Arial" w:eastAsia="Arial" w:hAnsi="Arial"/>
                <w:sz w:val="16"/>
                <w:szCs w:val="16"/>
                <w:b w:val="1"/>
                <w:bCs w:val="1"/>
                <w:color w:val="auto"/>
              </w:rPr>
              <w:t>Description</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2022</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09"/>
        </w:trPr>
        <w:tc>
          <w:tcPr>
            <w:tcW w:w="6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(Dollars in thousands)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168"/>
        </w:trPr>
        <w:tc>
          <w:tcPr>
            <w:tcW w:w="6140" w:type="dxa"/>
            <w:vAlign w:val="bottom"/>
            <w:shd w:val="clear" w:color="auto" w:fill="CCEEFF"/>
          </w:tcPr>
          <w:p>
            <w:pPr>
              <w:spacing w:after="0" w:line="168" w:lineRule="exact"/>
              <w:rPr>
                <w:sz w:val="20"/>
                <w:szCs w:val="20"/>
                <w:color w:val="auto"/>
              </w:rPr>
            </w:pPr>
            <w:r>
              <w:rPr>
                <w:rFonts w:ascii="Arial" w:cs="Arial" w:eastAsia="Arial" w:hAnsi="Arial"/>
                <w:sz w:val="16"/>
                <w:szCs w:val="16"/>
                <w:color w:val="auto"/>
                <w:w w:val="94"/>
              </w:rPr>
              <w:t>Valuation accounts deducted in balance sheet from assets to which they apply — Accounts</w:t>
            </w:r>
          </w:p>
        </w:tc>
        <w:tc>
          <w:tcPr>
            <w:tcW w:w="3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12"/>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receivable — allowance for credit losses:</w:t>
            </w:r>
          </w:p>
        </w:tc>
        <w:tc>
          <w:tcPr>
            <w:tcW w:w="3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Balances at beginning of period</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7,355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7,306</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7,157</w:t>
            </w:r>
          </w:p>
        </w:tc>
      </w:tr>
      <w:tr>
        <w:trPr>
          <w:trHeight w:val="219"/>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Additions — Due to acquired businesses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Additions — Charged to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803</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Deductions — Bad debts written off, net of recoveries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(1,042)</w:t>
            </w: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Balances at end of period</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7,306</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Inventory — Reserve for slow-moving inventory:</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Balances at beginning of period</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29,877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23,009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16,309</w:t>
            </w:r>
          </w:p>
        </w:tc>
      </w:tr>
      <w:tr>
        <w:trPr>
          <w:trHeight w:val="219"/>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Additions — Due to acquired businesses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w:t>
            </w: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Additions — Charged to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10,198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4,908</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Deductions — Inventory write-offs</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r>
      <w:tr>
        <w:trPr>
          <w:trHeight w:val="212"/>
        </w:trPr>
        <w:tc>
          <w:tcPr>
            <w:tcW w:w="6140" w:type="dxa"/>
            <w:vAlign w:val="bottom"/>
          </w:tcPr>
          <w:p>
            <w:pPr>
              <w:spacing w:after="0"/>
              <w:rPr>
                <w:sz w:val="20"/>
                <w:szCs w:val="20"/>
                <w:color w:val="auto"/>
              </w:rPr>
            </w:pPr>
            <w:r>
              <w:rPr>
                <w:rFonts w:ascii="Arial" w:cs="Arial" w:eastAsia="Arial" w:hAnsi="Arial"/>
                <w:sz w:val="16"/>
                <w:szCs w:val="16"/>
                <w:color w:val="auto"/>
              </w:rPr>
              <w:t>Balances at end of period</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35,855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29,877</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23,009</w:t>
            </w: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Valuation allowances against deferred tax assets:</w:t>
            </w:r>
          </w:p>
        </w:tc>
        <w:tc>
          <w:tcPr>
            <w:tcW w:w="3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Balances at beginning of period</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47,276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51,069</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58,809</w:t>
            </w:r>
          </w:p>
        </w:tc>
      </w:tr>
      <w:tr>
        <w:trPr>
          <w:trHeight w:val="219"/>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Additions — Due to acquired businesses</w:t>
            </w:r>
          </w:p>
        </w:tc>
        <w:tc>
          <w:tcPr>
            <w:tcW w:w="3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Additions — Charged to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5,852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4,168</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6"/>
                <w:szCs w:val="16"/>
                <w:color w:val="auto"/>
              </w:rPr>
              <w:t>Deductions — Valuation allowances reversed/utilized</w:t>
            </w:r>
          </w:p>
        </w:tc>
        <w:tc>
          <w:tcPr>
            <w:tcW w:w="3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(13,259)</w:t>
            </w:r>
          </w:p>
        </w:tc>
      </w:tr>
      <w:tr>
        <w:trPr>
          <w:trHeight w:val="213"/>
        </w:trPr>
        <w:tc>
          <w:tcPr>
            <w:tcW w:w="6140" w:type="dxa"/>
            <w:vAlign w:val="bottom"/>
          </w:tcPr>
          <w:p>
            <w:pPr>
              <w:spacing w:after="0"/>
              <w:rPr>
                <w:sz w:val="20"/>
                <w:szCs w:val="20"/>
                <w:color w:val="auto"/>
              </w:rPr>
            </w:pPr>
            <w:r>
              <w:rPr>
                <w:rFonts w:ascii="Arial" w:cs="Arial" w:eastAsia="Arial" w:hAnsi="Arial"/>
                <w:sz w:val="16"/>
                <w:szCs w:val="16"/>
                <w:color w:val="auto"/>
              </w:rPr>
              <w:t>Balances at end of period</w:t>
            </w: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52,750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47,276</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51,069</w:t>
            </w:r>
          </w:p>
        </w:tc>
      </w:tr>
      <w:tr>
        <w:trPr>
          <w:trHeight w:val="20"/>
        </w:trPr>
        <w:tc>
          <w:tcPr>
            <w:tcW w:w="6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-2811145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-2811145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this 5th day of September 2023.</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RADY</w:t>
      </w:r>
      <w:r>
        <w:rPr>
          <w:rFonts w:ascii="Arial" w:cs="Arial" w:eastAsia="Arial" w:hAnsi="Arial"/>
          <w:sz w:val="18"/>
          <w:szCs w:val="18"/>
          <w:color w:val="auto"/>
        </w:rPr>
        <w:t xml:space="preserve"> C</w:t>
      </w:r>
      <w:r>
        <w:rPr>
          <w:rFonts w:ascii="Arial" w:cs="Arial" w:eastAsia="Arial" w:hAnsi="Arial"/>
          <w:sz w:val="14"/>
          <w:szCs w:val="14"/>
          <w:color w:val="auto"/>
        </w:rPr>
        <w:t>ORPORATION</w:t>
      </w:r>
    </w:p>
    <w:p>
      <w:pPr>
        <w:spacing w:after="0" w:line="36"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15175"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3">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145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Chief Financial Officer, Chief Accounting Officer and Treasurer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6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20" w:type="dxa"/>
            <w:vAlign w:val="bottom"/>
            <w:gridSpan w:val="2"/>
          </w:tcPr>
          <w:p>
            <w:pPr>
              <w:ind w:left="20"/>
              <w:spacing w:after="0"/>
              <w:rPr>
                <w:sz w:val="20"/>
                <w:szCs w:val="20"/>
                <w:color w:val="auto"/>
              </w:rPr>
            </w:pPr>
            <w:r>
              <w:rPr>
                <w:rFonts w:ascii="Arial" w:cs="Arial" w:eastAsia="Arial" w:hAnsi="Arial"/>
                <w:sz w:val="14"/>
                <w:szCs w:val="14"/>
                <w:b w:val="1"/>
                <w:bCs w:val="1"/>
                <w:color w:val="auto"/>
              </w:rPr>
              <w:t>Signature</w:t>
            </w:r>
          </w:p>
        </w:tc>
        <w:tc>
          <w:tcPr>
            <w:tcW w:w="5180" w:type="dxa"/>
            <w:vAlign w:val="bottom"/>
          </w:tcPr>
          <w:p>
            <w:pPr>
              <w:ind w:left="2440"/>
              <w:spacing w:after="0"/>
              <w:rPr>
                <w:sz w:val="20"/>
                <w:szCs w:val="20"/>
                <w:color w:val="auto"/>
              </w:rPr>
            </w:pPr>
            <w:r>
              <w:rPr>
                <w:rFonts w:ascii="Arial" w:cs="Arial" w:eastAsia="Arial" w:hAnsi="Arial"/>
                <w:sz w:val="14"/>
                <w:szCs w:val="14"/>
                <w:b w:val="1"/>
                <w:bCs w:val="1"/>
                <w:color w:val="auto"/>
              </w:rPr>
              <w:t>Title</w:t>
            </w:r>
          </w:p>
        </w:tc>
      </w:tr>
      <w:tr>
        <w:trPr>
          <w:trHeight w:val="26"/>
        </w:trPr>
        <w:tc>
          <w:tcPr>
            <w:tcW w:w="560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 RUSSELL R. SHALLER</w:t>
            </w:r>
          </w:p>
        </w:tc>
        <w:tc>
          <w:tcPr>
            <w:tcW w:w="420" w:type="dxa"/>
            <w:vAlign w:val="bottom"/>
            <w:shd w:val="clear" w:color="auto" w:fill="CCEEFF"/>
          </w:tcPr>
          <w:p>
            <w:pPr>
              <w:spacing w:after="0"/>
              <w:rPr>
                <w:sz w:val="19"/>
                <w:szCs w:val="19"/>
                <w:color w:val="auto"/>
              </w:rPr>
            </w:pPr>
          </w:p>
        </w:tc>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President and Chief Executive Officer; Director</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Russell R. Shaller</w:t>
            </w:r>
          </w:p>
        </w:tc>
        <w:tc>
          <w:tcPr>
            <w:tcW w:w="518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PATRICK W. ALLENDER</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Patrick W. Allender</w:t>
            </w:r>
          </w:p>
        </w:tc>
        <w:tc>
          <w:tcPr>
            <w:tcW w:w="51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DAVID S. BEM</w:t>
            </w:r>
          </w:p>
        </w:tc>
        <w:tc>
          <w:tcPr>
            <w:tcW w:w="5180" w:type="dxa"/>
            <w:vAlign w:val="bottom"/>
            <w:shd w:val="clear" w:color="auto" w:fill="CCEEFF"/>
          </w:tcPr>
          <w:p>
            <w:pPr>
              <w:spacing w:after="0"/>
              <w:rPr>
                <w:sz w:val="19"/>
                <w:szCs w:val="19"/>
                <w:color w:val="auto"/>
              </w:rPr>
            </w:pPr>
          </w:p>
        </w:tc>
      </w:tr>
      <w:tr>
        <w:trPr>
          <w:trHeight w:val="229"/>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David S. Bem</w:t>
            </w:r>
          </w:p>
        </w:tc>
        <w:tc>
          <w:tcPr>
            <w:tcW w:w="51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ELIZABETH P. BRUNO</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Elizabeth P. Bruno</w:t>
            </w:r>
          </w:p>
        </w:tc>
        <w:tc>
          <w:tcPr>
            <w:tcW w:w="51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JOANNE COLLINS SMEE</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Joanne Collins Smee</w:t>
            </w:r>
          </w:p>
        </w:tc>
        <w:tc>
          <w:tcPr>
            <w:tcW w:w="51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NANCY L. GIOIA</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Nancy L. Gioia</w:t>
            </w:r>
          </w:p>
        </w:tc>
        <w:tc>
          <w:tcPr>
            <w:tcW w:w="51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VINEET NARGOLWALA</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Vineet Nargolwala</w:t>
            </w:r>
          </w:p>
        </w:tc>
        <w:tc>
          <w:tcPr>
            <w:tcW w:w="51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BRADLEY C. RICHARDSON</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Bradley C. Richardson</w:t>
            </w:r>
          </w:p>
        </w:tc>
        <w:tc>
          <w:tcPr>
            <w:tcW w:w="518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 MICHELLE E. WILLIAMS</w:t>
            </w:r>
          </w:p>
        </w:tc>
        <w:tc>
          <w:tcPr>
            <w:tcW w:w="5180" w:type="dxa"/>
            <w:vAlign w:val="bottom"/>
            <w:shd w:val="clear" w:color="auto" w:fill="CCEEFF"/>
          </w:tcPr>
          <w:p>
            <w:pPr>
              <w:spacing w:after="0"/>
              <w:rPr>
                <w:sz w:val="19"/>
                <w:szCs w:val="19"/>
                <w:color w:val="auto"/>
              </w:rPr>
            </w:pP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Michelle E. Williams</w:t>
            </w:r>
          </w:p>
        </w:tc>
        <w:tc>
          <w:tcPr>
            <w:tcW w:w="518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06" w:lineRule="exact"/>
        <w:rPr>
          <w:sz w:val="20"/>
          <w:szCs w:val="20"/>
          <w:color w:val="auto"/>
        </w:rPr>
      </w:pPr>
    </w:p>
    <w:p>
      <w:pPr>
        <w:ind w:left="680" w:hanging="654"/>
        <w:spacing w:after="0"/>
        <w:tabs>
          <w:tab w:leader="none" w:pos="6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of the above signatures is affixed as of September 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2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0"/>
          <w:szCs w:val="20"/>
          <w:b w:val="1"/>
          <w:bCs w:val="1"/>
          <w:u w:val="single" w:color="auto"/>
          <w:color w:val="auto"/>
        </w:rPr>
        <w:t>EXHIBIT 10.53</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BRADY CORPORATION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EXECUTIVE DEFERRED COMPENSATION PLAN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AMENDED AND RESTATED EFFECTIVE SEPTEMBER 5, 2023</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INTRODUCTION</w:t>
      </w:r>
    </w:p>
    <w:p>
      <w:pPr>
        <w:spacing w:after="0" w:line="2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color w:val="auto"/>
        </w:rPr>
        <w:t>For periods prior to calendar year 2005, Brady Corporation has maintained the Brady Corporation Executive Deferred Compensation Plan by means of a series of individual deferred compensation agreements with covered executives. Amounts deferred prior to January 1, 2005 (which were all fully vested under Plan terms), including past and future earnings credited thereon, shall remain subject to the terms of those individual agreements as previously in effect (the “Frozen Agreements”) but no further amounts shall be deferred under the Frozen Agreements. All deferrals to the Plan for periods on or after January 1, 2005 shall be governed by the terms and provisions of this document. Except as provided in Sections 4.2(b)(viii) and 6.1(a)(iii)(C) below, nothing in this document shall apply to amounts deferred prior to 2005 and past and future earnings credited thereon. This document is intended to comply with the provisions of Section 409A of the Internal Revenue Code and shall be interpreted accordingly. If any provision or term of this document would be prohibited by or inconsistent with the requirements of Section 409A of the Code, then such provision or term shall be deemed to be reformed to comply with Section 409A of the Code. This Plan is further amended and restated, effective as of the Effective Date, to revise certain Plan terms related to contributions and distributions.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w:t>
      </w:r>
    </w:p>
    <w:p>
      <w:pPr>
        <w:spacing w:after="0" w:line="256"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DEFINITIONS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definitions shall be applicable throughout the Plan:</w:t>
      </w:r>
    </w:p>
    <w:p>
      <w:pPr>
        <w:spacing w:after="0" w:line="2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2.1 “</w:t>
      </w:r>
      <w:r>
        <w:rPr>
          <w:rFonts w:ascii="Arial" w:cs="Arial" w:eastAsia="Arial" w:hAnsi="Arial"/>
          <w:sz w:val="19"/>
          <w:szCs w:val="19"/>
          <w:u w:val="single" w:color="auto"/>
          <w:color w:val="auto"/>
        </w:rPr>
        <w:t>Account</w:t>
      </w:r>
      <w:r>
        <w:rPr>
          <w:rFonts w:ascii="Arial" w:cs="Arial" w:eastAsia="Arial" w:hAnsi="Arial"/>
          <w:sz w:val="19"/>
          <w:szCs w:val="19"/>
          <w:color w:val="auto"/>
        </w:rPr>
        <w:t>” means the account credited from time to time with bookkeeping amounts equal to the portions of a Participant’s compensation deferred pursuant to Section 3.2 and earnings credited on such amounts in accordance with Article IV.</w:t>
      </w:r>
    </w:p>
    <w:p>
      <w:pPr>
        <w:spacing w:after="0" w:line="19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Compensation Committee of the Board of Directors of Brady Corporation.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2.3 “</w:t>
      </w:r>
      <w:r>
        <w:rPr>
          <w:rFonts w:ascii="Arial" w:cs="Arial" w:eastAsia="Arial" w:hAnsi="Arial"/>
          <w:sz w:val="19"/>
          <w:szCs w:val="19"/>
          <w:u w:val="single" w:color="auto"/>
          <w:color w:val="auto"/>
        </w:rPr>
        <w:t>Beneficiary</w:t>
      </w:r>
      <w:r>
        <w:rPr>
          <w:rFonts w:ascii="Arial" w:cs="Arial" w:eastAsia="Arial" w:hAnsi="Arial"/>
          <w:sz w:val="19"/>
          <w:szCs w:val="19"/>
          <w:color w:val="auto"/>
        </w:rPr>
        <w:t>” means the person, persons, or entity designated by the Participant to receive any benefits payable under the Plan on or after the Participant’s death. Each Participant shall be permitted to name, change or revoke the Participant’s designation of a Beneficiary in writing on a form and in the manner prescribed by the Corporation; provided, however, that the designation on file with the Corporation at the time of the Participant’s death shall be controlling. Should a Participant fail to make a valid Beneficiary designation or leave no named Beneficiary surviving, any benefits due shall be paid to such Participant’s spouse, if living; or if not living, then any benefits due shall be paid to such Participant’s estate. A Participant may designate a primary beneficiary and a contingent beneficiary; provided, however, that the Corporation may reject any such instrument tendered for filing if it contains successive beneficiaries or contingencies unacceptable to it. If all Beneficiaries who survive the Participant shall die before receiving the full amounts payable hereunder, then the payments shall be paid to the estate of the Beneficiary last to die.</w:t>
      </w:r>
    </w:p>
    <w:p>
      <w:pPr>
        <w:sectPr>
          <w:pgSz w:w="11900" w:h="16838" w:orient="portrait"/>
          <w:cols w:equalWidth="0" w:num="1">
            <w:col w:w="11240"/>
          </w:cols>
          <w:pgMar w:left="320" w:top="886" w:right="339" w:bottom="1440" w:gutter="0" w:footer="0" w:header="0"/>
        </w:sectPr>
      </w:pPr>
    </w:p>
    <w:bookmarkStart w:id="106" w:name="page107"/>
    <w:bookmarkEnd w:id="106"/>
    <w:p>
      <w:pPr>
        <w:ind w:left="660"/>
        <w:spacing w:after="0"/>
        <w:tabs>
          <w:tab w:leader="none" w:pos="12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including any subsequent amendments.</w:t>
      </w:r>
    </w:p>
    <w:p>
      <w:pPr>
        <w:spacing w:after="0" w:line="25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2.5 “</w:t>
      </w:r>
      <w:r>
        <w:rPr>
          <w:rFonts w:ascii="Arial" w:cs="Arial" w:eastAsia="Arial" w:hAnsi="Arial"/>
          <w:sz w:val="19"/>
          <w:szCs w:val="19"/>
          <w:u w:val="single" w:color="auto"/>
          <w:color w:val="auto"/>
        </w:rPr>
        <w:t>Corporation</w:t>
      </w:r>
      <w:r>
        <w:rPr>
          <w:rFonts w:ascii="Arial" w:cs="Arial" w:eastAsia="Arial" w:hAnsi="Arial"/>
          <w:sz w:val="19"/>
          <w:szCs w:val="19"/>
          <w:color w:val="auto"/>
        </w:rPr>
        <w:t>” means Brady Corporation, and each of its affiliates which has adopted the Plan or may adopt the Plan. The term “Corporation” as used throughout this Plan shall include references to those affiliates of Brady Corporation which have also adopted the Plan; provided, however, that for purposes of the power to amend or terminate the Plan or take any other action under or with respect to the Plan, except for the payment of benefits, the term “Corporation” shall refer only to Brady Corporation.</w:t>
      </w:r>
    </w:p>
    <w:p>
      <w:pPr>
        <w:spacing w:after="0" w:line="2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November 20, 2019.</w:t>
      </w:r>
    </w:p>
    <w:p>
      <w:pPr>
        <w:spacing w:after="0" w:line="25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including any subsequent amendments.</w:t>
      </w:r>
    </w:p>
    <w:p>
      <w:pPr>
        <w:spacing w:after="0" w:line="2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Fiscal Year</w:t>
      </w:r>
      <w:r>
        <w:rPr>
          <w:rFonts w:ascii="Arial" w:cs="Arial" w:eastAsia="Arial" w:hAnsi="Arial"/>
          <w:sz w:val="16"/>
          <w:szCs w:val="16"/>
          <w:color w:val="auto"/>
        </w:rPr>
        <w:t>” means the period beginning August 1 and ending July 31.</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2.9 “</w:t>
      </w:r>
      <w:r>
        <w:rPr>
          <w:rFonts w:ascii="Arial" w:cs="Arial" w:eastAsia="Arial" w:hAnsi="Arial"/>
          <w:sz w:val="20"/>
          <w:szCs w:val="20"/>
          <w:u w:val="single" w:color="auto"/>
          <w:color w:val="auto"/>
        </w:rPr>
        <w:t>Participant</w:t>
      </w:r>
      <w:r>
        <w:rPr>
          <w:rFonts w:ascii="Arial" w:cs="Arial" w:eastAsia="Arial" w:hAnsi="Arial"/>
          <w:sz w:val="20"/>
          <w:szCs w:val="20"/>
          <w:color w:val="auto"/>
        </w:rPr>
        <w:t>” means a key management or highly compensated employee designated as eligible to participate in the Plan for a Plan Year under Section 3.1 (such persons shall be known as “Active Participants” for such Plan Year) and any person who previously participated in the Plan and is entitled to benefits.</w:t>
      </w:r>
    </w:p>
    <w:p>
      <w:pPr>
        <w:spacing w:after="0" w:line="22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u w:val="single" w:color="auto"/>
          <w:color w:val="auto"/>
        </w:rPr>
        <w:t>Performance Based Bonus</w:t>
      </w:r>
      <w:r>
        <w:rPr>
          <w:rFonts w:ascii="Arial" w:cs="Arial" w:eastAsia="Arial" w:hAnsi="Arial"/>
          <w:sz w:val="18"/>
          <w:szCs w:val="18"/>
          <w:color w:val="auto"/>
        </w:rPr>
        <w:t>” means bonus compensation, the amount of which or entitlement to, is based on services performed over a period of at least 12 consecutive months which is contingent on the satisfaction of pre-established organizational or individual performance criteria, which performance criteria are not substantially certain to be met at the time a deferral election is permitted. Performance Based Bonus compensation may include payments based upon subjective performance criteria, but (i) any subjective performance criteria must relate to the performance of the Participant service provider, a group of service providers that includes the Participant service provider, or a business unit for which the Participant provides services (which may include the entire organization) and (ii) the determination that any subjective performance criteria have been met must not be made by the Participant or a family member of the Participant (as defined in Code Section 267(c)(4) applied as if the family of an individual includes the spouse of any family member). Organizational or individual performance criteria are considered pre-established if established in writing by not later than 90 days after the commencement of the period of service to which the criteria relate, provided that the outcome is substantially uncertain at the time the criteria are established. A Performance Based Bonus may include payments based on performance criteria that are not approved by the Administrator or by the stockholders of the Corporation. A Performance Based Bonus shall not include any amount or portion of any amount that will be paid either regardless of performance, or based upon a level of performance that is substantially certain to be met at the time the criteria are established. Whether a bonus is performance based shall be determined in accordance with the requirements of IRS Reg. Section 1.409A-1 (e) which are summarized in part in this Section 2.10.</w:t>
      </w:r>
    </w:p>
    <w:p>
      <w:pPr>
        <w:spacing w:after="0" w:line="19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2.11 “</w:t>
      </w:r>
      <w:r>
        <w:rPr>
          <w:rFonts w:ascii="Arial" w:cs="Arial" w:eastAsia="Arial" w:hAnsi="Arial"/>
          <w:sz w:val="20"/>
          <w:szCs w:val="20"/>
          <w:u w:val="single" w:color="auto"/>
          <w:color w:val="auto"/>
        </w:rPr>
        <w:t>Plan</w:t>
      </w:r>
      <w:r>
        <w:rPr>
          <w:rFonts w:ascii="Arial" w:cs="Arial" w:eastAsia="Arial" w:hAnsi="Arial"/>
          <w:sz w:val="20"/>
          <w:szCs w:val="20"/>
          <w:color w:val="auto"/>
        </w:rPr>
        <w:t>” means the Brady Corporation Executive Deferred Compensation Plan, as set forth herein, as applicable to amounts deferred on or after January 1, 2005, and as it may be amended from time to time.</w:t>
      </w:r>
    </w:p>
    <w:p>
      <w:pPr>
        <w:spacing w:after="0" w:line="20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Plan Year</w:t>
      </w:r>
      <w:r>
        <w:rPr>
          <w:rFonts w:ascii="Arial" w:cs="Arial" w:eastAsia="Arial" w:hAnsi="Arial"/>
          <w:sz w:val="16"/>
          <w:szCs w:val="16"/>
          <w:color w:val="auto"/>
        </w:rPr>
        <w:t>” means the calendar year.</w:t>
      </w:r>
    </w:p>
    <w:p>
      <w:pPr>
        <w:spacing w:after="0" w:line="243"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0"/>
          <w:szCs w:val="20"/>
          <w:color w:val="auto"/>
        </w:rPr>
        <w:t>2.13 "</w:t>
      </w:r>
      <w:r>
        <w:rPr>
          <w:rFonts w:ascii="Arial" w:cs="Arial" w:eastAsia="Arial" w:hAnsi="Arial"/>
          <w:sz w:val="20"/>
          <w:szCs w:val="20"/>
          <w:u w:val="single" w:color="auto"/>
          <w:color w:val="auto"/>
        </w:rPr>
        <w:t>Separation from Service</w:t>
      </w:r>
      <w:r>
        <w:rPr>
          <w:rFonts w:ascii="Arial" w:cs="Arial" w:eastAsia="Arial" w:hAnsi="Arial"/>
          <w:sz w:val="20"/>
          <w:szCs w:val="20"/>
          <w:color w:val="auto"/>
        </w:rPr>
        <w:t>" shall have the meaning set forth in IRS Regulation Section 1.409A-1 the requirements of which are summarized in part as follows:</w:t>
      </w:r>
    </w:p>
    <w:p>
      <w:pPr>
        <w:spacing w:after="0" w:line="190" w:lineRule="exact"/>
        <w:rPr>
          <w:sz w:val="20"/>
          <w:szCs w:val="20"/>
          <w:color w:val="auto"/>
        </w:rPr>
      </w:pPr>
    </w:p>
    <w:p>
      <w:pPr>
        <w:jc w:val="both"/>
        <w:ind w:left="660" w:firstLine="644"/>
        <w:spacing w:after="0" w:line="290" w:lineRule="auto"/>
        <w:tabs>
          <w:tab w:leader="none" w:pos="1946"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xml:space="preserve"> The Participant shall have a Separation from Service with the Corporation if the Participant dies, retires, or otherwise has a termination of employment with the Corporation. However, for purposes of this Section 2.13, the employment relationship is treated as continuing intact while the individual is on military leave, sick leave, or other bona fide leave of absence if the period of such leave does not exceed six months, or if longer, so long as the individual retains a right to reemployment with the Corporation under an applicable statute or by contract. For purposes of this paragraph (a) of this Section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35" w:right="339" w:bottom="1440" w:gutter="0" w:footer="0" w:header="0"/>
        </w:sectPr>
      </w:pPr>
    </w:p>
    <w:bookmarkStart w:id="107" w:name="page108"/>
    <w:bookmarkEnd w:id="107"/>
    <w:p>
      <w:pPr>
        <w:jc w:val="both"/>
        <w:spacing w:after="0" w:line="265" w:lineRule="auto"/>
        <w:rPr>
          <w:sz w:val="20"/>
          <w:szCs w:val="20"/>
          <w:color w:val="auto"/>
        </w:rPr>
      </w:pPr>
      <w:r>
        <w:rPr>
          <w:rFonts w:ascii="Arial" w:cs="Arial" w:eastAsia="Arial" w:hAnsi="Arial"/>
          <w:sz w:val="19"/>
          <w:szCs w:val="19"/>
          <w:color w:val="auto"/>
        </w:rPr>
        <w:t>2.13, a leave of absence constitutes a bona fide leave of absence only if there is a reasonable expectation that the Participant will return to perform services for the Corporation. If the period of leave exceeds six months and the individual does not retain a right to reemployment under an applicable statute or by contract, the employment relationship is deemed to terminate on the first date immediately following such six-month period. Notwithstanding the foregoing, where a leave of absence is due to any medically determinable physical or mental impairment that can be expected to result in death or can be expected to last for a continuous period of not less than six months, where such impairment causes the Participant to be unable to perform the duties of their position of employment or any substantially similar position of employment, a 29-month period of absence may be substituted for such six-month period.</w:t>
      </w:r>
    </w:p>
    <w:p>
      <w:pPr>
        <w:spacing w:after="0" w:line="217" w:lineRule="exact"/>
        <w:rPr>
          <w:sz w:val="20"/>
          <w:szCs w:val="20"/>
          <w:color w:val="auto"/>
        </w:rPr>
      </w:pPr>
    </w:p>
    <w:p>
      <w:pPr>
        <w:jc w:val="both"/>
        <w:ind w:firstLine="644"/>
        <w:spacing w:after="0" w:line="312" w:lineRule="auto"/>
        <w:tabs>
          <w:tab w:leader="none" w:pos="1284"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Whether a termination of employment has occurred is determined based on whether the facts and circumstances indicate that the Corporation and Participant reasonably anticipated that no further services would be performed after a certain date or that the level of bona fide services the Participant would perform after such date (whether as an employee or as an independent contractor) would permanently decrease to no more than 20 percent of the average level of bona fide services performed (whether as an employee or an independent contractor) over the immediately preceding 36-month period (or, the full period of services to the Corporation if the Participant has been providing services to the Corporation less than 36 months). Facts and circumstances to be considered in making this determination include, but are not limited to, whether the Participant continues to be treated as an employee for other purposes (such as continuation of salary and participation in employee benefit programs), whether similarly situated service providers have been treated consistently, and whether the Participant is permitted, and realistically available, to perform services for other service recipients in the same line of business. The Participant is presumed to have Separated from Service where the level of bona fide services performed decreases to a level equal to 20 percent or less of the average level of services performed by the employee during the immediately preceding 36-month period. The Participant will be presumed not to have Separated from Service where the level of bona fide services performed continues at a level that is 50 percent or more of the average level of service performed by the Participant during the immediately preceding 36-month period. No presumption applies to a decrease in the level of bona fide services performed to a level that is more than 20 percent and less than 50 percent of the average level of bona fide services performed during the immediately preceding 36-month period. The presumption is rebuttable by demonstrating that the Corporation and the Participant reasonably anticipated that as of a certain date the level of bona fide services would be reduced permanently to a level less than or equal to 20 percent of the average level of bona fide services provided during the immediately preceding 36-month period or the full period of services to the Corporation if the Participant has been providing services to the Corporation less than 36 months (or that the level of bona fide services would not be so reduced). For example, the Participant may demonstrate that the Corporation and the Participant reasonably anticipated that the Participant would cease providing services, but that, after the original cessation of services, business circumstances such as termination of the Participant's replacement caused the Participant to return to employment. Although the Participant's return to employment may cause the Participant to be presumed to have continued in employment because the Participant is providing services at a rate equal to the rate at which the Participant was providing services before the termination of employment, the facts and circumstances in this case would demonstrate that at the time the Participant originally ceased to provide services, the Corporation reasonably anticipated that the Participant would not provide services in the future. For purposes of this paragraph (b), for periods during which the Participant is on a paid bona fide leave of absence (as defined in paragraph (a) of this Section 2.13) and has not otherwise terminated employment pursuant to paragraph (a) of this Section 2.13, the Participant is treated as providing bona fide services at a level equal to the level of services that the Participant would have been required to perform to receive the compensation paid with respect to such leave of absence. Periods during which the Participant is on an unpaid bona fide leave of absence (as defined in paragraph (a) of this Section 2.13) and has not otherwise terminated employment pursuant to paragraph (a) of this Section 2.13, are disregarded for purposes of this paragraph (b) of this Section 2.13 (including for purposes of determining the applicable 36-month (or shorter)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980" w:top="892" w:right="339" w:bottom="1440" w:gutter="0" w:footer="0" w:header="0"/>
        </w:sectPr>
      </w:pPr>
    </w:p>
    <w:bookmarkStart w:id="108" w:name="page109"/>
    <w:bookmarkEnd w:id="108"/>
    <w:p>
      <w:pPr>
        <w:jc w:val="both"/>
        <w:ind w:left="660" w:firstLine="644"/>
        <w:spacing w:after="0" w:line="319" w:lineRule="auto"/>
        <w:tabs>
          <w:tab w:leader="none" w:pos="1946"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Asset Purchase Transactions</w:t>
      </w:r>
      <w:r>
        <w:rPr>
          <w:rFonts w:ascii="Arial" w:cs="Arial" w:eastAsia="Arial" w:hAnsi="Arial"/>
          <w:sz w:val="16"/>
          <w:szCs w:val="16"/>
          <w:color w:val="auto"/>
        </w:rPr>
        <w:t>. Where as part of a sale or other disposition of assets by the Corporation as seller to an unrelated service recipient (buyer), a Participant of the Corporation would otherwise experience a Separation from Service with the Corporation, the Corporation and the buyer may retain the discretion to specify, and may specify, whether a Participant providing services to the Corporation immediately before the asset purchase transaction and providing services to the buyer after and in connection with the asset purchase transaction has experienced a Separation from Service, provided that the asset purchase transaction results from bona fide, arm’s length negotiations, all service providers providing services to the Corporation immediately before the asset purchase transaction and providing services to the buyer after and in connection with the asset purchase transaction are treated consistently (regardless of position at the Corporation) for purposes of applying the provisions of any nonqualified deferred compensation plan, and such treatment is specified in writing no later than the closing date of the asset purchase transaction. For purposes of this paragraph (c), references to a sale or other disposition of assets, or an asset purchase transaction, refer only to a transfer of substantial assets, such as a plant or division or substantially all the assets of a trade or business.</w:t>
      </w:r>
    </w:p>
    <w:p>
      <w:pPr>
        <w:spacing w:after="0" w:line="200" w:lineRule="exact"/>
        <w:rPr>
          <w:rFonts w:ascii="Arial" w:cs="Arial" w:eastAsia="Arial" w:hAnsi="Arial"/>
          <w:sz w:val="16"/>
          <w:szCs w:val="16"/>
          <w:color w:val="auto"/>
        </w:rPr>
      </w:pPr>
    </w:p>
    <w:p>
      <w:pPr>
        <w:spacing w:after="0" w:line="216" w:lineRule="exact"/>
        <w:rPr>
          <w:rFonts w:ascii="Arial" w:cs="Arial" w:eastAsia="Arial" w:hAnsi="Arial"/>
          <w:sz w:val="16"/>
          <w:szCs w:val="16"/>
          <w:color w:val="auto"/>
        </w:rPr>
      </w:pPr>
    </w:p>
    <w:p>
      <w:pPr>
        <w:jc w:val="both"/>
        <w:ind w:left="660" w:firstLine="644"/>
        <w:spacing w:after="0" w:line="280" w:lineRule="auto"/>
        <w:tabs>
          <w:tab w:leader="none" w:pos="1944"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Dual Status</w:t>
      </w:r>
      <w:r>
        <w:rPr>
          <w:rFonts w:ascii="Arial" w:cs="Arial" w:eastAsia="Arial" w:hAnsi="Arial"/>
          <w:sz w:val="18"/>
          <w:szCs w:val="18"/>
          <w:color w:val="auto"/>
        </w:rPr>
        <w:t>. If a Participant provides services both as an employee of the Corporation and as an independent contractor of the Corporation, the Participant must separate from service both as an employee and as an independent contractor to be treated as having Separated from Service. If a Participant ceases providing services as an independent contractor and begins providing services as an employee, or ceases providing services as an employee and begins providing services as an independent contractor, the Participant will not be considered to have a Separation from Service until the Participant has ceased providing services in both capacities. Notwithstanding the foregoing, if a Participant provides services both as an employee of the Corporation and a member of the board of directors of the Corporation, the services provided as a director are not taken into account in determining whether the Participant has a Separation from Service as an employee for purposes of this Plan unless this Plan is aggregated with any plan in which the Participant participates as a director under IRS Regulation Section 1.409A-1(c)(2)(ii).</w:t>
      </w:r>
    </w:p>
    <w:p>
      <w:pPr>
        <w:spacing w:after="0" w:line="203"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2.14 “</w:t>
      </w:r>
      <w:r>
        <w:rPr>
          <w:rFonts w:ascii="Arial" w:cs="Arial" w:eastAsia="Arial" w:hAnsi="Arial"/>
          <w:sz w:val="20"/>
          <w:szCs w:val="20"/>
          <w:u w:val="single" w:color="auto"/>
          <w:color w:val="auto"/>
        </w:rPr>
        <w:t>Specified Employee</w:t>
      </w:r>
      <w:r>
        <w:rPr>
          <w:rFonts w:ascii="Arial" w:cs="Arial" w:eastAsia="Arial" w:hAnsi="Arial"/>
          <w:sz w:val="20"/>
          <w:szCs w:val="20"/>
          <w:color w:val="auto"/>
        </w:rPr>
        <w:t>” shall have the meaning set forth in IRS Regulation Section 1.409A-1 the requirements of which are summarized in part as follows:</w:t>
      </w:r>
    </w:p>
    <w:p>
      <w:pPr>
        <w:spacing w:after="0" w:line="217" w:lineRule="exact"/>
        <w:rPr>
          <w:sz w:val="20"/>
          <w:szCs w:val="20"/>
          <w:color w:val="auto"/>
        </w:rPr>
      </w:pPr>
    </w:p>
    <w:p>
      <w:pPr>
        <w:jc w:val="both"/>
        <w:ind w:left="660" w:firstLine="644"/>
        <w:spacing w:after="0" w:line="264" w:lineRule="auto"/>
        <w:tabs>
          <w:tab w:leader="none" w:pos="1946"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In General</w:t>
      </w:r>
      <w:r>
        <w:rPr>
          <w:rFonts w:ascii="Arial" w:cs="Arial" w:eastAsia="Arial" w:hAnsi="Arial"/>
          <w:sz w:val="19"/>
          <w:szCs w:val="19"/>
          <w:color w:val="auto"/>
        </w:rPr>
        <w:t>. “Specified Employee” means a Participant who as of the date of their Separation from Service is a “key employee” as defined in Code Section 416(i) (disregarding Section 416(i)(5)), i.e., an employee who at any time during the 12 month period ending on an identification date is an officer of the Corporation or one of its affiliates having an annual compensation as defined in IRS Regulation Section 1.409A-1(i)(2) greater than $130,000, a 5% owner of the Corporation or one of its affiliates or a 1% owner of the Corporation or one of its affiliates having compensation of more than $150,000. The $130,000 amount described in the preceding sentence shall be adjusted for cost of living increases in such amounts and at such times as specified by the Internal Revenue Service. Further, no more than 50 employees (or, if lesser, the greater of 3 or 10% of the employees) shall be treated as officers. The foregoing definition shall be interpreted at all times in a manner consistent with such regulations as may be adopted from time to time by the Internal Revenue Service for purposes of applying the key employee definition of Section 416(i) to the requirements of Code Section 409A. If a person is a key employee as of an identification date, the person is treated as a Specified Employee for the 12-month period beginning on the first day of the fourth month following the identification date. The “identification date” is December 31.</w:t>
      </w:r>
    </w:p>
    <w:p>
      <w:pPr>
        <w:spacing w:after="0" w:line="207" w:lineRule="exact"/>
        <w:rPr>
          <w:rFonts w:ascii="Arial" w:cs="Arial" w:eastAsia="Arial" w:hAnsi="Arial"/>
          <w:sz w:val="19"/>
          <w:szCs w:val="19"/>
          <w:color w:val="auto"/>
        </w:rPr>
      </w:pPr>
    </w:p>
    <w:p>
      <w:pPr>
        <w:ind w:left="660" w:firstLine="644"/>
        <w:spacing w:after="0" w:line="274" w:lineRule="auto"/>
        <w:tabs>
          <w:tab w:leader="none" w:pos="1944" w:val="left"/>
        </w:tabs>
        <w:numPr>
          <w:ilvl w:val="0"/>
          <w:numId w:val="84"/>
        </w:numPr>
        <w:rPr>
          <w:rFonts w:ascii="Arial" w:cs="Arial" w:eastAsia="Arial" w:hAnsi="Arial"/>
          <w:sz w:val="20"/>
          <w:szCs w:val="20"/>
          <w:color w:val="auto"/>
        </w:rPr>
      </w:pPr>
      <w:r>
        <w:rPr>
          <w:rFonts w:ascii="Arial" w:cs="Arial" w:eastAsia="Arial" w:hAnsi="Arial"/>
          <w:sz w:val="20"/>
          <w:szCs w:val="20"/>
          <w:color w:val="auto"/>
        </w:rPr>
        <w:t>In the event of a public offering, merger, acquisition, spin-off, reorganization or other corporate transaction, "Specified Employees" shall be determined as provided in IRS Reg. Section 1.409A-(1)(i)(6).</w:t>
      </w:r>
    </w:p>
    <w:p>
      <w:pPr>
        <w:spacing w:after="0" w:line="19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2.15 “</w:t>
      </w:r>
      <w:r>
        <w:rPr>
          <w:rFonts w:ascii="Arial" w:cs="Arial" w:eastAsia="Arial" w:hAnsi="Arial"/>
          <w:sz w:val="20"/>
          <w:szCs w:val="20"/>
          <w:u w:val="single" w:color="auto"/>
          <w:color w:val="auto"/>
        </w:rPr>
        <w:t>Unforeseeable Emergency</w:t>
      </w:r>
      <w:r>
        <w:rPr>
          <w:rFonts w:ascii="Arial" w:cs="Arial" w:eastAsia="Arial" w:hAnsi="Arial"/>
          <w:sz w:val="20"/>
          <w:szCs w:val="20"/>
          <w:color w:val="auto"/>
        </w:rPr>
        <w:t>” means a severe financial hardship to a Participant resulting from an illness or accident of the Participant or the Participant’s spouse or dependent (as defined in Section 152(a) of the Code), loss of the Participant’s property due to casualty (including the need to rebuild a home following damage to</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892" w:right="339" w:bottom="1440" w:gutter="0" w:footer="0" w:header="0"/>
        </w:sectPr>
      </w:pPr>
    </w:p>
    <w:bookmarkStart w:id="109" w:name="page110"/>
    <w:bookmarkEnd w:id="109"/>
    <w:p>
      <w:pPr>
        <w:jc w:val="both"/>
        <w:spacing w:after="0" w:line="265" w:lineRule="auto"/>
        <w:rPr>
          <w:sz w:val="20"/>
          <w:szCs w:val="20"/>
          <w:color w:val="auto"/>
        </w:rPr>
      </w:pPr>
      <w:r>
        <w:rPr>
          <w:rFonts w:ascii="Arial" w:cs="Arial" w:eastAsia="Arial" w:hAnsi="Arial"/>
          <w:sz w:val="19"/>
          <w:szCs w:val="19"/>
          <w:color w:val="auto"/>
        </w:rPr>
        <w:t>a home not otherwise covered by insurance, for example, as a result of a natural disaster), or other similar extraordinary and unforeseeable circumstances arising as a result of events beyond the control of the Participant. For example, the imminent foreclosure of or eviction from the Participant’s primary residence may constitute an Unforeseeable Emergency. In addition, the need to pay for medical expenses, including non-refundable deductibles, as well as for the costs of prescription drug medication, may constitute an Unforeseeable Emergency. Finally, the need to pay for funeral expenses of a spouse or a dependent (as defined in Code section 152(a)) may also constitute an Unforeseeable Emergency. Except as otherwise provided above, the purchase of a home and the payment of college tuition are not Unforeseeable Emergencies. Whether a Participant is faced with an Unforeseeable Emergency is to be determined based on the relevant facts and circumstances of each case.</w:t>
      </w:r>
    </w:p>
    <w:p>
      <w:pPr>
        <w:spacing w:after="0" w:line="200" w:lineRule="exact"/>
        <w:rPr>
          <w:sz w:val="20"/>
          <w:szCs w:val="20"/>
          <w:color w:val="auto"/>
        </w:rPr>
      </w:pPr>
    </w:p>
    <w:p>
      <w:pPr>
        <w:spacing w:after="0" w:line="254" w:lineRule="exact"/>
        <w:rPr>
          <w:sz w:val="20"/>
          <w:szCs w:val="20"/>
          <w:color w:val="auto"/>
        </w:rPr>
      </w:pPr>
    </w:p>
    <w:p>
      <w:pPr>
        <w:jc w:val="center"/>
        <w:ind w:left="960"/>
        <w:spacing w:after="0"/>
        <w:rPr>
          <w:sz w:val="20"/>
          <w:szCs w:val="20"/>
          <w:color w:val="auto"/>
        </w:rPr>
      </w:pPr>
      <w:r>
        <w:rPr>
          <w:rFonts w:ascii="Arial" w:cs="Arial" w:eastAsia="Arial" w:hAnsi="Arial"/>
          <w:sz w:val="20"/>
          <w:szCs w:val="20"/>
          <w:b w:val="1"/>
          <w:bCs w:val="1"/>
          <w:color w:val="auto"/>
        </w:rPr>
        <w:t>ARTICLE III</w:t>
      </w:r>
    </w:p>
    <w:p>
      <w:pPr>
        <w:spacing w:after="0" w:line="243"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PARTICIPATION AND DEFERRALS</w:t>
      </w:r>
    </w:p>
    <w:p>
      <w:pPr>
        <w:spacing w:after="0" w:line="26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Determination of Participants</w:t>
      </w:r>
      <w:r>
        <w:rPr>
          <w:rFonts w:ascii="Arial" w:cs="Arial" w:eastAsia="Arial" w:hAnsi="Arial"/>
          <w:sz w:val="18"/>
          <w:szCs w:val="18"/>
          <w:color w:val="auto"/>
        </w:rPr>
        <w:t>. Within a reasonable period of time prior to the beginning of a Plan Year or at any time during a Plan Year, the Administrator will designate employees who will be eligible to become Active Participants in the Plan for that Plan Year (or the remainder of such Plan Year). An employee designated as an Active Participant for a Plan Year shall remain an Active Participant until the employee’s Separation from Service or the Administrator or the Board of Directors of the Corporation takes action to terminate such employee’s participation effective on the first day of any Plan Year subsequent to the date of such action by the Administrator or the Board.</w:t>
      </w:r>
    </w:p>
    <w:p>
      <w:pPr>
        <w:spacing w:after="0" w:line="19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56" w:lineRule="exact"/>
        <w:rPr>
          <w:sz w:val="20"/>
          <w:szCs w:val="20"/>
          <w:color w:val="auto"/>
        </w:rPr>
      </w:pPr>
    </w:p>
    <w:p>
      <w:pPr>
        <w:jc w:val="both"/>
        <w:ind w:left="660" w:firstLine="644"/>
        <w:spacing w:after="0" w:line="263" w:lineRule="auto"/>
        <w:tabs>
          <w:tab w:leader="none" w:pos="1946"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Salary Payments</w:t>
      </w:r>
      <w:r>
        <w:rPr>
          <w:rFonts w:ascii="Arial" w:cs="Arial" w:eastAsia="Arial" w:hAnsi="Arial"/>
          <w:sz w:val="19"/>
          <w:szCs w:val="19"/>
          <w:color w:val="auto"/>
        </w:rPr>
        <w:t>. An Active Participant may elect to defer a specified percentage of their salary for services performed during a Plan Year by completing and filing such forms as required by the Corporation prior to the first day of the Plan Year. A Participant’s deferrals shall be taken at a uniform percentage rate from each of their salary payments during the year. Compensation deferred shall be retained by the Corporation, credited to the Participant’s Account pursuant to Section 4.1 and paid in accordance with the terms and conditions of the Plan. Notwithstanding the foregoing, an employee who is not already eligible to participate in any other deferred compensation plan of the account balance type who becomes an Active Participant for the first time during a Plan Year (for example, an employee designated to be a Participant by the Administrator upon hire or promotion) may within 30 days after the effective date of participation make an election to defer a specified percentage of salary to be paid to them for services to be performed subsequent to the deferral election.</w:t>
      </w:r>
    </w:p>
    <w:p>
      <w:pPr>
        <w:spacing w:after="0" w:line="221" w:lineRule="exact"/>
        <w:rPr>
          <w:rFonts w:ascii="Arial" w:cs="Arial" w:eastAsia="Arial" w:hAnsi="Arial"/>
          <w:sz w:val="19"/>
          <w:szCs w:val="19"/>
          <w:color w:val="auto"/>
        </w:rPr>
      </w:pPr>
    </w:p>
    <w:p>
      <w:pPr>
        <w:jc w:val="both"/>
        <w:ind w:left="660" w:firstLine="644"/>
        <w:spacing w:after="0" w:line="279" w:lineRule="auto"/>
        <w:tabs>
          <w:tab w:leader="none" w:pos="194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Bonus Payments</w:t>
      </w:r>
      <w:r>
        <w:rPr>
          <w:rFonts w:ascii="Arial" w:cs="Arial" w:eastAsia="Arial" w:hAnsi="Arial"/>
          <w:sz w:val="18"/>
          <w:szCs w:val="18"/>
          <w:color w:val="auto"/>
        </w:rPr>
        <w:t>. An Active Participant may elect to defer a portion of any and all bonus payments made to them during a Plan Year by completing and filing such forms as required by the Corporation. To the extent a bonus payment represents a payment of a Performance Based Bonus, to be effective the deferral election with respect to such bonus must be filed with the Corporation at least seven months prior to the end of the period in which the bonus payment is earned. If a bonus payment is not a Performance Based Bonus but is calculated on a Fiscal Year basis, then to be effective the deferral election must be filed prior to the beginning of the Fiscal Year during which the Participant first renders any services giving rise to the payment of the bonus. If a bonus is not a Performance Based Bonus and is not calculated on a Fiscal Year basis, to be effective, the deferral election must be filed prior to the beginning of the first Plan Year in which are performed any services for which such bonus is payable. Notwithstanding the foregoing, an employee who is not already eligible to participate in any other deferred compensation plan sponsored by the Corporation of the account balance type who becomes an Active Participant for the first time during a Plan Year (for example, an employee designated to be a Participant by the Administrator upon hire or promotion) may within 30 days after the effective date of participation make an election to defer a specified percentage of any bonus payment for which the service period has already begun and, in such event, the election shall apply to the portion of bonus compensation equal to the total bonus compensation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2" w:right="339" w:bottom="1440" w:gutter="0" w:footer="0" w:header="0"/>
        </w:sectPr>
      </w:pPr>
    </w:p>
    <w:bookmarkStart w:id="110" w:name="page111"/>
    <w:bookmarkEnd w:id="110"/>
    <w:p>
      <w:pPr>
        <w:ind w:left="660"/>
        <w:spacing w:after="0" w:line="301" w:lineRule="auto"/>
        <w:rPr>
          <w:sz w:val="20"/>
          <w:szCs w:val="20"/>
          <w:color w:val="auto"/>
        </w:rPr>
      </w:pPr>
      <w:r>
        <w:rPr>
          <w:rFonts w:ascii="Arial" w:cs="Arial" w:eastAsia="Arial" w:hAnsi="Arial"/>
          <w:sz w:val="19"/>
          <w:szCs w:val="19"/>
          <w:color w:val="auto"/>
        </w:rPr>
        <w:t>to be paid to the Participant with respect to that service period multiplied by a fraction of which the numerator is the number of days remaining in the performance period and the denominator is the total number of days in the performance period.</w:t>
      </w:r>
    </w:p>
    <w:p>
      <w:pPr>
        <w:spacing w:after="0" w:line="167" w:lineRule="exact"/>
        <w:rPr>
          <w:sz w:val="20"/>
          <w:szCs w:val="20"/>
          <w:color w:val="auto"/>
        </w:rPr>
      </w:pPr>
    </w:p>
    <w:p>
      <w:pPr>
        <w:jc w:val="both"/>
        <w:ind w:left="660" w:firstLine="644"/>
        <w:spacing w:after="0" w:line="265" w:lineRule="auto"/>
        <w:tabs>
          <w:tab w:leader="none" w:pos="1946"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Restricted Stock Unit Payments</w:t>
      </w:r>
      <w:r>
        <w:rPr>
          <w:rFonts w:ascii="Arial" w:cs="Arial" w:eastAsia="Arial" w:hAnsi="Arial"/>
          <w:sz w:val="19"/>
          <w:szCs w:val="19"/>
          <w:color w:val="auto"/>
        </w:rPr>
        <w:t>. An Active Participant may elect to defer all (and not less than all) of the time-vesting restricted stock units awarded to them by completing and filing such forms as required by the Corporation. To be effective the deferral election with respect to a time-vesting restricted stock unit award must be filed with the Corporation by the deadline established by the Corporation, which must be either (i) prior to the first day of the Plan Year in which such award is granted, or (ii) prior to the grant date of such award (a “grant date election”). Notwithstanding the foregoing, if a grant date election is made, then to the extent required to comply with Section 409A of the Code (A) if the time-vesting restricted stock unit award vests prior to the first anniversary of the award’s grant date due to the Participant’s death or disability or due to a change in control, the deferral election in effect for such award shall be cancelled, and (B) such election shall not be given effect if the Participant could vest in such award prior to the first anniversary of the grant date for any other reason (including due to retirement), even if such vesting event does not occur.</w:t>
      </w:r>
    </w:p>
    <w:p>
      <w:pPr>
        <w:spacing w:after="0" w:line="2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18"/>
          <w:szCs w:val="18"/>
          <w:u w:val="single" w:color="auto"/>
          <w:color w:val="auto"/>
        </w:rPr>
        <w:t>Continued Effect of Elections</w:t>
      </w:r>
      <w:r>
        <w:rPr>
          <w:rFonts w:ascii="Arial" w:cs="Arial" w:eastAsia="Arial" w:hAnsi="Arial"/>
          <w:sz w:val="18"/>
          <w:szCs w:val="18"/>
          <w:color w:val="auto"/>
        </w:rPr>
        <w:t>.</w:t>
      </w:r>
    </w:p>
    <w:p>
      <w:pPr>
        <w:spacing w:after="0" w:line="256" w:lineRule="exact"/>
        <w:rPr>
          <w:sz w:val="20"/>
          <w:szCs w:val="20"/>
          <w:color w:val="auto"/>
        </w:rPr>
      </w:pPr>
    </w:p>
    <w:p>
      <w:pPr>
        <w:jc w:val="both"/>
        <w:ind w:left="660" w:firstLine="644"/>
        <w:spacing w:after="0" w:line="252" w:lineRule="auto"/>
        <w:tabs>
          <w:tab w:leader="none" w:pos="1946"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Salary Payments</w:t>
      </w:r>
      <w:r>
        <w:rPr>
          <w:rFonts w:ascii="Arial" w:cs="Arial" w:eastAsia="Arial" w:hAnsi="Arial"/>
          <w:sz w:val="20"/>
          <w:szCs w:val="20"/>
          <w:color w:val="auto"/>
        </w:rPr>
        <w:t>. An Active Participant’s deferral election with respect to a Plan Year under Section 3.2(a) shall be irrevocable after the last date upon which it may be filed pursuant to Section 3.2(a). For a revocation or amendment to be effective with respect to salary payments during a Plan Year, it must be filed by the last date for which an effective deferral election is permitted to be filed with respect to those salary payments under Section 3.2(a). An Active Participant must make a new salary deferral election for each Plan Year. An Active Participant who does not complete a timely salary deferral election for a Plan Year shall not have any salary deferred for the Plan Year.</w:t>
      </w:r>
    </w:p>
    <w:p>
      <w:pPr>
        <w:spacing w:after="0" w:line="211" w:lineRule="exact"/>
        <w:rPr>
          <w:rFonts w:ascii="Arial" w:cs="Arial" w:eastAsia="Arial" w:hAnsi="Arial"/>
          <w:sz w:val="20"/>
          <w:szCs w:val="20"/>
          <w:color w:val="auto"/>
        </w:rPr>
      </w:pPr>
    </w:p>
    <w:p>
      <w:pPr>
        <w:jc w:val="both"/>
        <w:ind w:left="660" w:firstLine="644"/>
        <w:spacing w:after="0" w:line="252" w:lineRule="auto"/>
        <w:tabs>
          <w:tab w:leader="none" w:pos="1944"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Bonus Payments</w:t>
      </w:r>
      <w:r>
        <w:rPr>
          <w:rFonts w:ascii="Arial" w:cs="Arial" w:eastAsia="Arial" w:hAnsi="Arial"/>
          <w:sz w:val="20"/>
          <w:szCs w:val="20"/>
          <w:color w:val="auto"/>
        </w:rPr>
        <w:t>. An Active Participant’s deferral election under Section 3.2(b) with respect to a bonus shall be irrevocable after the last date upon which it may be filed pursuant to Section 3.2(b). For a revocation or amendment to be effective for any bonus payment, it must be filed by the last date for which an effective deferral election is permitted to be filed with respect to that bonus payment under Section 3.2(b). An Active Participant must make a new bonus deferral election for each Plan Year. An Active Participant who does not complete a timely bonus deferral election for a Plan Year shall not have any bonus deferred for the Plan Year.</w:t>
      </w:r>
    </w:p>
    <w:p>
      <w:pPr>
        <w:spacing w:after="0" w:line="225" w:lineRule="exact"/>
        <w:rPr>
          <w:rFonts w:ascii="Arial" w:cs="Arial" w:eastAsia="Arial" w:hAnsi="Arial"/>
          <w:sz w:val="20"/>
          <w:szCs w:val="20"/>
          <w:color w:val="auto"/>
        </w:rPr>
      </w:pPr>
    </w:p>
    <w:p>
      <w:pPr>
        <w:jc w:val="both"/>
        <w:ind w:left="660" w:firstLine="644"/>
        <w:spacing w:after="0" w:line="250" w:lineRule="auto"/>
        <w:tabs>
          <w:tab w:leader="none" w:pos="1946"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Restricted Stock Unit Payments</w:t>
      </w:r>
      <w:r>
        <w:rPr>
          <w:rFonts w:ascii="Arial" w:cs="Arial" w:eastAsia="Arial" w:hAnsi="Arial"/>
          <w:sz w:val="20"/>
          <w:szCs w:val="20"/>
          <w:color w:val="auto"/>
        </w:rPr>
        <w:t>. An Active Participant’s deferral election under Section 3.2(c) with respect to a time-vesting restricted stock unit award shall be irrevocable as of the deadline specified by the Corporation pursuant to Section 3.2(c). For a revocation of a deferral election to be effective for any time-vesting restricted stock unit award, it must be filed by the last date for which an effective deferral election is permitted to be filed with respect to that award. An Active Participant must make a new deferral election for each grant (or for the grants made in each Plan Year, if applicable) of time-vesting restricted stock units. An Active Participant who does not complete a timely deferral election for a particular grant of time-vesting restricted stock units shall not have such units deferred.</w:t>
      </w:r>
    </w:p>
    <w:p>
      <w:pPr>
        <w:spacing w:after="0" w:line="2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Prior Deferral Elections</w:t>
      </w:r>
      <w:r>
        <w:rPr>
          <w:rFonts w:ascii="Arial" w:cs="Arial" w:eastAsia="Arial" w:hAnsi="Arial"/>
          <w:sz w:val="20"/>
          <w:szCs w:val="20"/>
          <w:color w:val="auto"/>
        </w:rPr>
        <w:t>. Any deferral election made prior to calendar year 2005 under a Frozen Agreement shall be treated as a deferral election described in Section 3.2(a) and/or Section 3.2(b), as the case may be, and shall continue in effect until modified as described in Section 3.3 above unless modified earlier pursuant to Section 8.11(a) below.</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Unforeseeable Emergency</w:t>
      </w:r>
      <w:r>
        <w:rPr>
          <w:rFonts w:ascii="Arial" w:cs="Arial" w:eastAsia="Arial" w:hAnsi="Arial"/>
          <w:sz w:val="20"/>
          <w:szCs w:val="20"/>
          <w:color w:val="auto"/>
        </w:rPr>
        <w:t>. In the event that a Participant makes application for a hardship distribution under Section 6.3 and the Administrator determines that an Unforeseeable Emergency exists, all deferral elections otherwise in effect under this Article III and any other nonqualified deferred compensation plan of the account balance type sponsored by the Corporation shall immediately terminate upon such determination.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92" w:right="339" w:bottom="1440" w:gutter="0" w:footer="0" w:header="0"/>
        </w:sectPr>
      </w:pPr>
    </w:p>
    <w:bookmarkStart w:id="111" w:name="page112"/>
    <w:bookmarkEnd w:id="111"/>
    <w:p>
      <w:pPr>
        <w:jc w:val="both"/>
        <w:ind w:right="20"/>
        <w:spacing w:after="0" w:line="274" w:lineRule="auto"/>
        <w:rPr>
          <w:sz w:val="20"/>
          <w:szCs w:val="20"/>
          <w:color w:val="auto"/>
        </w:rPr>
      </w:pPr>
      <w:r>
        <w:rPr>
          <w:rFonts w:ascii="Arial" w:cs="Arial" w:eastAsia="Arial" w:hAnsi="Arial"/>
          <w:sz w:val="20"/>
          <w:szCs w:val="20"/>
          <w:color w:val="auto"/>
        </w:rPr>
        <w:t>resume deferrals thereafter, a Participant must make an election satisfying the provisions of Section 3.2(a) and/or (b), as the case may be, as those provisions apply to someone who is already an Active Participant in the Plan.</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u w:val="single" w:color="auto"/>
          <w:color w:val="auto"/>
        </w:rPr>
        <w:t>401(k) Hardship</w:t>
      </w:r>
      <w:r>
        <w:rPr>
          <w:rFonts w:ascii="Arial" w:cs="Arial" w:eastAsia="Arial" w:hAnsi="Arial"/>
          <w:sz w:val="20"/>
          <w:szCs w:val="20"/>
          <w:color w:val="auto"/>
        </w:rPr>
        <w:t>. Any deferral elections in effect under this Article III shall be cancelled as required due to a hardship distribution described in IRS Regulation Section 1.401(k)-1(d)(3) or any successor thereto. To resume deferrals after the required suspension period, a Participant must make an election satisfying the provisions of Section 3.2(a) and/or (b), as the case may be, as those provisions apply to someone who is already an Active Participant in the Plan.</w:t>
      </w:r>
    </w:p>
    <w:p>
      <w:pPr>
        <w:spacing w:after="0" w:line="200" w:lineRule="exact"/>
        <w:rPr>
          <w:sz w:val="20"/>
          <w:szCs w:val="20"/>
          <w:color w:val="auto"/>
        </w:rPr>
      </w:pPr>
    </w:p>
    <w:p>
      <w:pPr>
        <w:spacing w:after="0" w:line="261" w:lineRule="exact"/>
        <w:rPr>
          <w:sz w:val="20"/>
          <w:szCs w:val="20"/>
          <w:color w:val="auto"/>
        </w:rPr>
      </w:pPr>
    </w:p>
    <w:p>
      <w:pPr>
        <w:ind w:left="5520"/>
        <w:spacing w:after="0"/>
        <w:rPr>
          <w:sz w:val="20"/>
          <w:szCs w:val="20"/>
          <w:color w:val="auto"/>
        </w:rPr>
      </w:pPr>
      <w:r>
        <w:rPr>
          <w:rFonts w:ascii="Arial" w:cs="Arial" w:eastAsia="Arial" w:hAnsi="Arial"/>
          <w:sz w:val="20"/>
          <w:szCs w:val="20"/>
          <w:b w:val="1"/>
          <w:bCs w:val="1"/>
          <w:color w:val="auto"/>
        </w:rPr>
        <w:t>ARTICLE IV</w:t>
      </w:r>
    </w:p>
    <w:p>
      <w:pPr>
        <w:spacing w:after="0" w:line="243" w:lineRule="exact"/>
        <w:rPr>
          <w:sz w:val="20"/>
          <w:szCs w:val="20"/>
          <w:color w:val="auto"/>
        </w:rPr>
      </w:pPr>
    </w:p>
    <w:p>
      <w:pPr>
        <w:jc w:val="center"/>
        <w:ind w:left="960"/>
        <w:spacing w:after="0"/>
        <w:rPr>
          <w:sz w:val="20"/>
          <w:szCs w:val="20"/>
          <w:color w:val="auto"/>
        </w:rPr>
      </w:pPr>
      <w:r>
        <w:rPr>
          <w:rFonts w:ascii="Arial" w:cs="Arial" w:eastAsia="Arial" w:hAnsi="Arial"/>
          <w:sz w:val="20"/>
          <w:szCs w:val="20"/>
          <w:b w:val="1"/>
          <w:bCs w:val="1"/>
          <w:color w:val="auto"/>
        </w:rPr>
        <w:t>ACCOUNTS</w:t>
      </w:r>
    </w:p>
    <w:p>
      <w:pPr>
        <w:spacing w:after="0" w:line="2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Credits to Account</w:t>
      </w:r>
      <w:r>
        <w:rPr>
          <w:rFonts w:ascii="Arial" w:cs="Arial" w:eastAsia="Arial" w:hAnsi="Arial"/>
          <w:sz w:val="20"/>
          <w:szCs w:val="20"/>
          <w:color w:val="auto"/>
        </w:rPr>
        <w:t>. Bookkeeping amounts equal to the amounts (or with respect to a deferral of restricted stock units, the number of share units) deferred by a Participant pursuant to Section 3.2 shall be credited to such Participant’s Deferral Account as soon as practicable after the deferred compensation would otherwise have been paid (or with respect to a deferral of restricted stock units, the shares would have otherwise been issued) to such Participant in the absence of deferral.</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u w:val="single" w:color="auto"/>
          <w:color w:val="auto"/>
        </w:rPr>
        <w:t>Valuation of Account</w:t>
      </w:r>
      <w:r>
        <w:rPr>
          <w:rFonts w:ascii="Arial" w:cs="Arial" w:eastAsia="Arial" w:hAnsi="Arial"/>
          <w:sz w:val="18"/>
          <w:szCs w:val="18"/>
          <w:color w:val="auto"/>
        </w:rPr>
        <w:t>.</w:t>
      </w:r>
    </w:p>
    <w:p>
      <w:pPr>
        <w:spacing w:after="0" w:line="256" w:lineRule="exact"/>
        <w:rPr>
          <w:sz w:val="20"/>
          <w:szCs w:val="20"/>
          <w:color w:val="auto"/>
        </w:rPr>
      </w:pPr>
    </w:p>
    <w:p>
      <w:pPr>
        <w:ind w:left="660" w:firstLine="644"/>
        <w:spacing w:after="0" w:line="260" w:lineRule="auto"/>
        <w:tabs>
          <w:tab w:leader="none" w:pos="1946" w:val="left"/>
        </w:tabs>
        <w:numPr>
          <w:ilvl w:val="0"/>
          <w:numId w:val="88"/>
        </w:numPr>
        <w:rPr>
          <w:rFonts w:ascii="Arial" w:cs="Arial" w:eastAsia="Arial" w:hAnsi="Arial"/>
          <w:sz w:val="20"/>
          <w:szCs w:val="20"/>
          <w:color w:val="auto"/>
        </w:rPr>
      </w:pPr>
      <w:r>
        <w:rPr>
          <w:rFonts w:ascii="Arial" w:cs="Arial" w:eastAsia="Arial" w:hAnsi="Arial"/>
          <w:sz w:val="20"/>
          <w:szCs w:val="20"/>
          <w:color w:val="auto"/>
        </w:rPr>
        <w:t>The Participant’s Account shall be credited or charged with deemed earnings or losses as if it were invested in accordance with paragraph (b) below.</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0" w:lineRule="exact"/>
        <w:rPr>
          <w:sz w:val="20"/>
          <w:szCs w:val="20"/>
          <w:color w:val="auto"/>
        </w:rPr>
      </w:pPr>
    </w:p>
    <w:p>
      <w:pPr>
        <w:jc w:val="both"/>
        <w:ind w:left="1300" w:firstLine="546"/>
        <w:spacing w:after="0" w:line="249" w:lineRule="auto"/>
        <w:tabs>
          <w:tab w:leader="none" w:pos="2596" w:val="left"/>
        </w:tabs>
        <w:numPr>
          <w:ilvl w:val="0"/>
          <w:numId w:val="89"/>
        </w:numPr>
        <w:rPr>
          <w:rFonts w:ascii="Arial" w:cs="Arial" w:eastAsia="Arial" w:hAnsi="Arial"/>
          <w:sz w:val="20"/>
          <w:szCs w:val="20"/>
          <w:color w:val="auto"/>
        </w:rPr>
      </w:pPr>
      <w:r>
        <w:rPr>
          <w:rFonts w:ascii="Arial" w:cs="Arial" w:eastAsia="Arial" w:hAnsi="Arial"/>
          <w:sz w:val="20"/>
          <w:szCs w:val="20"/>
          <w:color w:val="auto"/>
        </w:rPr>
        <w:t>The investment funds available hereunder for the deemed investment of the Account shall be the Brady Stock Fund and such other funds as the Administrator shall from time to time determine. However, in no event shall the Corporation be required to make any such investment in the Brady Stock Fund or any other investment fund and, to the extent such investments are made, such investments shall remain an asset of the Corporation subject to the claims of its general creditors.</w:t>
      </w:r>
    </w:p>
    <w:p>
      <w:pPr>
        <w:spacing w:after="0" w:line="217" w:lineRule="exact"/>
        <w:rPr>
          <w:rFonts w:ascii="Arial" w:cs="Arial" w:eastAsia="Arial" w:hAnsi="Arial"/>
          <w:sz w:val="20"/>
          <w:szCs w:val="20"/>
          <w:color w:val="auto"/>
        </w:rPr>
      </w:pPr>
    </w:p>
    <w:p>
      <w:pPr>
        <w:jc w:val="both"/>
        <w:ind w:left="1300" w:firstLine="491"/>
        <w:spacing w:after="0" w:line="285" w:lineRule="auto"/>
        <w:tabs>
          <w:tab w:leader="none" w:pos="2596"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 the date credited to the Participant’s Account, deferrals shall be deemed to be invested in one or more of the investment funds designated by the Participant for such deemed investment. Once made, the Participant’s investment designation shall continue in effect for future deferrals until changed by the Participant. A Participant may change the deemed allocation of their existing Participant Account at the times established by the Administrator. Notwithstanding the foregoing, a Participant’s deferred time-vesting restricted stock units will automatically have credited to their Account a number of share units in the Brady Stock Fund equal to the number of restricted stock units so deferred.</w:t>
      </w:r>
    </w:p>
    <w:p>
      <w:pPr>
        <w:spacing w:after="0" w:line="199" w:lineRule="exact"/>
        <w:rPr>
          <w:rFonts w:ascii="Arial" w:cs="Arial" w:eastAsia="Arial" w:hAnsi="Arial"/>
          <w:sz w:val="18"/>
          <w:szCs w:val="18"/>
          <w:color w:val="auto"/>
        </w:rPr>
      </w:pPr>
    </w:p>
    <w:p>
      <w:pPr>
        <w:jc w:val="both"/>
        <w:ind w:left="1300" w:firstLine="436"/>
        <w:spacing w:after="0" w:line="282" w:lineRule="auto"/>
        <w:tabs>
          <w:tab w:leader="none" w:pos="259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value of the Brady Stock Fund on any particular date will be based upon the value of the shares of Class A non-voting common stock of Brady Corporation which the Brady Stock Fund is deemed to hold on that date. The shares of such stock deemed to be held in the Brady Stock Fund shall be credited with dividends at the time they are credited with respect to actual shares of Class A non-voting common stock of Brady Corporation and such dividends shall be deemed to be used to purchase additional shares of Class A non-voting common stock of Brady Corporation on the day following the crediting of such dividends at the then fair market value price of such stock. The Brady Stock Fund shall also be credited from time to time with additional shares of Class A non-voting common stock of Brady Corporation equal in number to the number of shares granted in any stock dividend or split to which the holder of a like number of shares of Class A non-voting common stock would be entitled. All other distributions with respect to shares of</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2" w:right="339" w:bottom="1440" w:gutter="0" w:footer="0" w:header="0"/>
        </w:sectPr>
      </w:pPr>
    </w:p>
    <w:bookmarkStart w:id="112" w:name="page113"/>
    <w:bookmarkEnd w:id="112"/>
    <w:p>
      <w:pPr>
        <w:ind w:left="640"/>
        <w:spacing w:after="0" w:line="332" w:lineRule="auto"/>
        <w:rPr>
          <w:sz w:val="20"/>
          <w:szCs w:val="20"/>
          <w:color w:val="auto"/>
        </w:rPr>
      </w:pPr>
      <w:r>
        <w:rPr>
          <w:rFonts w:ascii="Arial" w:cs="Arial" w:eastAsia="Arial" w:hAnsi="Arial"/>
          <w:sz w:val="18"/>
          <w:szCs w:val="18"/>
          <w:color w:val="auto"/>
        </w:rPr>
        <w:t>Class A non-voting common stock of Brady Corporation shall be similarly applied. In the event of a distribution of preferred stock, such preferred stock shall be valued at its par value (or its voluntary liquidating price, if it does not have a par value).</w:t>
      </w:r>
    </w:p>
    <w:p>
      <w:pPr>
        <w:spacing w:after="0" w:line="143" w:lineRule="exact"/>
        <w:rPr>
          <w:sz w:val="20"/>
          <w:szCs w:val="20"/>
          <w:color w:val="auto"/>
        </w:rPr>
      </w:pPr>
    </w:p>
    <w:p>
      <w:pPr>
        <w:jc w:val="both"/>
        <w:ind w:left="640" w:firstLine="447"/>
        <w:spacing w:after="0" w:line="257" w:lineRule="auto"/>
        <w:tabs>
          <w:tab w:leader="none" w:pos="1936"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valuation of the funds held in the investments other than the Brady Stock Fund shall be accomplished in the same manner as though the deemed investment in such funds had actually been made and are valued at their fair market value price on valuation dates hereunder.</w:t>
      </w:r>
    </w:p>
    <w:p>
      <w:pPr>
        <w:spacing w:after="0" w:line="219" w:lineRule="exact"/>
        <w:rPr>
          <w:rFonts w:ascii="Arial" w:cs="Arial" w:eastAsia="Arial" w:hAnsi="Arial"/>
          <w:sz w:val="20"/>
          <w:szCs w:val="20"/>
          <w:color w:val="auto"/>
        </w:rPr>
      </w:pPr>
    </w:p>
    <w:p>
      <w:pPr>
        <w:jc w:val="both"/>
        <w:ind w:left="640" w:firstLine="502"/>
        <w:spacing w:after="0" w:line="299" w:lineRule="auto"/>
        <w:tabs>
          <w:tab w:leader="none" w:pos="1936"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Participant’s Account shall be valued as of December 31 each year and at such other times established by the Administrator, which shall be no less frequently than quarterly. Until such time as the Administrator takes action to the contrary, such valuation shall be at the same time as valuations made of Brady matched 401(k) plan assets.</w:t>
      </w:r>
    </w:p>
    <w:p>
      <w:pPr>
        <w:spacing w:after="0" w:line="184" w:lineRule="exact"/>
        <w:rPr>
          <w:rFonts w:ascii="Arial" w:cs="Arial" w:eastAsia="Arial" w:hAnsi="Arial"/>
          <w:sz w:val="18"/>
          <w:szCs w:val="18"/>
          <w:color w:val="auto"/>
        </w:rPr>
      </w:pPr>
    </w:p>
    <w:p>
      <w:pPr>
        <w:ind w:left="640" w:firstLine="447"/>
        <w:spacing w:after="0" w:line="316" w:lineRule="auto"/>
        <w:tabs>
          <w:tab w:leader="none" w:pos="1936"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elections and designations under this section shall be made in accordance with procedures prescribed by the Administrator. The Administrator may prescribe uniform percentages for such elections and designations.</w:t>
      </w:r>
    </w:p>
    <w:p>
      <w:pPr>
        <w:spacing w:after="0" w:line="170" w:lineRule="exact"/>
        <w:rPr>
          <w:rFonts w:ascii="Arial" w:cs="Arial" w:eastAsia="Arial" w:hAnsi="Arial"/>
          <w:sz w:val="18"/>
          <w:szCs w:val="18"/>
          <w:color w:val="auto"/>
        </w:rPr>
      </w:pPr>
    </w:p>
    <w:p>
      <w:pPr>
        <w:jc w:val="both"/>
        <w:ind w:left="640" w:firstLine="392"/>
        <w:spacing w:after="0" w:line="273" w:lineRule="auto"/>
        <w:tabs>
          <w:tab w:leader="none" w:pos="1936" w:val="left"/>
        </w:tabs>
        <w:numPr>
          <w:ilvl w:val="1"/>
          <w:numId w:val="90"/>
        </w:numPr>
        <w:rPr>
          <w:rFonts w:ascii="Arial" w:cs="Arial" w:eastAsia="Arial" w:hAnsi="Arial"/>
          <w:sz w:val="19"/>
          <w:szCs w:val="19"/>
          <w:color w:val="auto"/>
        </w:rPr>
      </w:pPr>
      <w:r>
        <w:rPr>
          <w:rFonts w:ascii="Arial" w:cs="Arial" w:eastAsia="Arial" w:hAnsi="Arial"/>
          <w:sz w:val="19"/>
          <w:szCs w:val="19"/>
          <w:color w:val="auto"/>
        </w:rPr>
        <w:t>A Participant may elect to reallocate their Account balance among the investment funds at the times established by the Administrator. Notwithstanding any other provision of this Plan to the contrary, a Participant may not make any election or transaction in the Brady Stock Fund at a time when the Participant is in possession of any material non-public information or at a time not permitted under the Corporation’s policy on insider trading.</w:t>
      </w:r>
    </w:p>
    <w:p>
      <w:pPr>
        <w:spacing w:after="0" w:line="193" w:lineRule="exact"/>
        <w:rPr>
          <w:rFonts w:ascii="Arial" w:cs="Arial" w:eastAsia="Arial" w:hAnsi="Arial"/>
          <w:sz w:val="19"/>
          <w:szCs w:val="19"/>
          <w:color w:val="auto"/>
        </w:rPr>
      </w:pPr>
    </w:p>
    <w:p>
      <w:pPr>
        <w:jc w:val="both"/>
        <w:ind w:left="640" w:firstLine="337"/>
        <w:spacing w:after="0" w:line="271" w:lineRule="auto"/>
        <w:tabs>
          <w:tab w:leader="none" w:pos="1936" w:val="left"/>
        </w:tabs>
        <w:numPr>
          <w:ilvl w:val="1"/>
          <w:numId w:val="90"/>
        </w:numPr>
        <w:rPr>
          <w:rFonts w:ascii="Arial" w:cs="Arial" w:eastAsia="Arial" w:hAnsi="Arial"/>
          <w:sz w:val="19"/>
          <w:szCs w:val="19"/>
          <w:color w:val="auto"/>
        </w:rPr>
      </w:pPr>
      <w:r>
        <w:rPr>
          <w:rFonts w:ascii="Arial" w:cs="Arial" w:eastAsia="Arial" w:hAnsi="Arial"/>
          <w:sz w:val="19"/>
          <w:szCs w:val="19"/>
          <w:color w:val="auto"/>
        </w:rPr>
        <w:t>Notwithstanding subparagraph (vii) above, and notwithstanding Article I and Section 2.11 of this Plan to the contrary, with respect to all amounts held for a Participant, from and after May 1, 2006, a Participant may not transfer any amount to or from the portion of their account held in the Brady Stock Fund. The preceding sentence shall not apply to a Participant who has had a Separation from Service prior to May 1, 2006, unless such individual has become re-employed by the Corporation and eligible to participate in this Plan after such date.</w:t>
      </w:r>
    </w:p>
    <w:p>
      <w:pPr>
        <w:spacing w:after="0" w:line="197" w:lineRule="exact"/>
        <w:rPr>
          <w:rFonts w:ascii="Arial" w:cs="Arial" w:eastAsia="Arial" w:hAnsi="Arial"/>
          <w:sz w:val="19"/>
          <w:szCs w:val="19"/>
          <w:color w:val="auto"/>
        </w:rPr>
      </w:pPr>
    </w:p>
    <w:p>
      <w:pPr>
        <w:jc w:val="both"/>
        <w:ind w:firstLine="644"/>
        <w:spacing w:after="0" w:line="245" w:lineRule="auto"/>
        <w:tabs>
          <w:tab w:leader="none" w:pos="1286"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Corporation shall provide annual reports to each Participant showing (a) the value of the Account as of the most recent December 31</w:t>
      </w:r>
      <w:r>
        <w:rPr>
          <w:rFonts w:ascii="Arial" w:cs="Arial" w:eastAsia="Arial" w:hAnsi="Arial"/>
          <w:sz w:val="24"/>
          <w:szCs w:val="24"/>
          <w:color w:val="auto"/>
          <w:vertAlign w:val="superscript"/>
        </w:rPr>
        <w:t>st</w:t>
      </w:r>
      <w:r>
        <w:rPr>
          <w:rFonts w:ascii="Arial" w:cs="Arial" w:eastAsia="Arial" w:hAnsi="Arial"/>
          <w:sz w:val="19"/>
          <w:szCs w:val="19"/>
          <w:color w:val="auto"/>
        </w:rPr>
        <w:t>, (b) the amount of deferral made by the Participant for the Plan Year ending on such date and (c) the amount of any investment gain or loss and the costs of administration credited or debited to the Participant’s Account.</w:t>
      </w:r>
    </w:p>
    <w:p>
      <w:pPr>
        <w:spacing w:after="0" w:line="230" w:lineRule="exact"/>
        <w:rPr>
          <w:rFonts w:ascii="Arial" w:cs="Arial" w:eastAsia="Arial" w:hAnsi="Arial"/>
          <w:sz w:val="19"/>
          <w:szCs w:val="19"/>
          <w:color w:val="auto"/>
        </w:rPr>
      </w:pPr>
    </w:p>
    <w:p>
      <w:pPr>
        <w:jc w:val="both"/>
        <w:ind w:firstLine="644"/>
        <w:spacing w:after="0" w:line="250" w:lineRule="auto"/>
        <w:tabs>
          <w:tab w:leader="none" w:pos="1284" w:val="left"/>
        </w:tabs>
        <w:numPr>
          <w:ilvl w:val="0"/>
          <w:numId w:val="91"/>
        </w:numPr>
        <w:rPr>
          <w:rFonts w:ascii="Arial" w:cs="Arial" w:eastAsia="Arial" w:hAnsi="Arial"/>
          <w:sz w:val="20"/>
          <w:szCs w:val="20"/>
          <w:color w:val="auto"/>
        </w:rPr>
      </w:pPr>
      <w:r>
        <w:rPr>
          <w:rFonts w:ascii="Arial" w:cs="Arial" w:eastAsia="Arial" w:hAnsi="Arial"/>
          <w:sz w:val="20"/>
          <w:szCs w:val="20"/>
          <w:color w:val="auto"/>
        </w:rPr>
        <w:t xml:space="preserve">Notwithstanding any other provision of this Agreement that may be interpreted to the contrary, the deemed investments are to be used for measurement purposes only and </w:t>
      </w:r>
      <w:r>
        <w:rPr>
          <w:rFonts w:ascii="Arial" w:cs="Arial" w:eastAsia="Arial" w:hAnsi="Arial"/>
          <w:sz w:val="20"/>
          <w:szCs w:val="20"/>
          <w:u w:val="single" w:color="auto"/>
          <w:color w:val="auto"/>
        </w:rPr>
        <w:t>shall not</w:t>
      </w:r>
      <w:r>
        <w:rPr>
          <w:rFonts w:ascii="Arial" w:cs="Arial" w:eastAsia="Arial" w:hAnsi="Arial"/>
          <w:sz w:val="20"/>
          <w:szCs w:val="20"/>
          <w:color w:val="auto"/>
        </w:rPr>
        <w:t xml:space="preserve"> be considered or construed in any manner as an actual investment of the Participant’s Account balance in any such fund. In the event that Brady Corporation or the trustee of any grantor trust which Brady Corporation may choose to establish to finance some or all of its obligations hereunder, in its own discretion, decides to invest funds in any or all of the funds, the Participant shall have no rights in or to such investments themselves. Without limiting the foregoing, the Participant’s Account balance shall at all times be a bookkeeping entry only and shall not represent any investment made on the Participant’s behalf by the Corporation or any trust; the Participant shall at all times remain an unsecured creditor of the Corporation.</w:t>
      </w:r>
    </w:p>
    <w:p>
      <w:pPr>
        <w:spacing w:after="0" w:line="200" w:lineRule="exact"/>
        <w:rPr>
          <w:sz w:val="20"/>
          <w:szCs w:val="20"/>
          <w:color w:val="auto"/>
        </w:rPr>
      </w:pPr>
    </w:p>
    <w:p>
      <w:pPr>
        <w:spacing w:after="0" w:line="267"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ARTICLE V</w:t>
      </w: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VESTING</w:t>
      </w:r>
    </w:p>
    <w:p>
      <w:pPr>
        <w:spacing w:after="0" w:line="26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8"/>
          <w:szCs w:val="18"/>
          <w:u w:val="single" w:color="auto"/>
          <w:color w:val="auto"/>
        </w:rPr>
        <w:t>Full Vesting</w:t>
      </w:r>
      <w:r>
        <w:rPr>
          <w:rFonts w:ascii="Arial" w:cs="Arial" w:eastAsia="Arial" w:hAnsi="Arial"/>
          <w:sz w:val="18"/>
          <w:szCs w:val="18"/>
          <w:color w:val="auto"/>
        </w:rPr>
        <w:t>. A Participant shall be fully vested and nonforfeitable at all times in their Account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80"/>
          </w:cols>
          <w:pgMar w:left="980" w:top="892" w:right="339" w:bottom="1440" w:gutter="0" w:footer="0" w:header="0"/>
        </w:sectPr>
      </w:pPr>
    </w:p>
    <w:bookmarkStart w:id="113" w:name="page114"/>
    <w:bookmarkEnd w:id="113"/>
    <w:p>
      <w:pPr>
        <w:jc w:val="center"/>
        <w:ind w:right="-319"/>
        <w:spacing w:after="0"/>
        <w:rPr>
          <w:sz w:val="20"/>
          <w:szCs w:val="20"/>
          <w:color w:val="auto"/>
        </w:rPr>
      </w:pPr>
      <w:r>
        <w:rPr>
          <w:rFonts w:ascii="Arial" w:cs="Arial" w:eastAsia="Arial" w:hAnsi="Arial"/>
          <w:sz w:val="20"/>
          <w:szCs w:val="20"/>
          <w:b w:val="1"/>
          <w:bCs w:val="1"/>
          <w:color w:val="auto"/>
        </w:rPr>
        <w:t>ARTICLE VI</w:t>
      </w:r>
    </w:p>
    <w:p>
      <w:pPr>
        <w:spacing w:after="0" w:line="256" w:lineRule="exact"/>
        <w:rPr>
          <w:sz w:val="20"/>
          <w:szCs w:val="20"/>
          <w:color w:val="auto"/>
        </w:rPr>
      </w:pPr>
    </w:p>
    <w:p>
      <w:pPr>
        <w:jc w:val="center"/>
        <w:ind w:right="-319"/>
        <w:spacing w:after="0"/>
        <w:rPr>
          <w:sz w:val="20"/>
          <w:szCs w:val="20"/>
          <w:color w:val="auto"/>
        </w:rPr>
      </w:pPr>
      <w:r>
        <w:rPr>
          <w:rFonts w:ascii="Arial" w:cs="Arial" w:eastAsia="Arial" w:hAnsi="Arial"/>
          <w:sz w:val="20"/>
          <w:szCs w:val="20"/>
          <w:b w:val="1"/>
          <w:bCs w:val="1"/>
          <w:color w:val="auto"/>
        </w:rPr>
        <w:t>MANNER AND TIMING OF DISTRIBUTION</w:t>
      </w:r>
    </w:p>
    <w:p>
      <w:pPr>
        <w:spacing w:after="0" w:line="24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6"/>
          <w:szCs w:val="16"/>
          <w:u w:val="single" w:color="auto"/>
          <w:color w:val="auto"/>
        </w:rPr>
        <w:t>Payment of Benefits</w:t>
      </w:r>
      <w:r>
        <w:rPr>
          <w:rFonts w:ascii="Arial" w:cs="Arial" w:eastAsia="Arial" w:hAnsi="Arial"/>
          <w:sz w:val="16"/>
          <w:szCs w:val="16"/>
          <w:color w:val="auto"/>
        </w:rPr>
        <w:t>.</w:t>
      </w:r>
    </w:p>
    <w:p>
      <w:pPr>
        <w:spacing w:after="0" w:line="256" w:lineRule="exact"/>
        <w:rPr>
          <w:sz w:val="20"/>
          <w:szCs w:val="20"/>
          <w:color w:val="auto"/>
        </w:rPr>
      </w:pPr>
    </w:p>
    <w:p>
      <w:pPr>
        <w:jc w:val="both"/>
        <w:ind w:firstLine="644"/>
        <w:spacing w:after="0" w:line="257" w:lineRule="auto"/>
        <w:tabs>
          <w:tab w:leader="none" w:pos="1358" w:val="left"/>
        </w:tabs>
        <w:numPr>
          <w:ilvl w:val="0"/>
          <w:numId w:val="92"/>
        </w:numPr>
        <w:rPr>
          <w:rFonts w:ascii="Arial" w:cs="Arial" w:eastAsia="Arial" w:hAnsi="Arial"/>
          <w:sz w:val="20"/>
          <w:szCs w:val="20"/>
          <w:color w:val="auto"/>
        </w:rPr>
      </w:pPr>
      <w:r>
        <w:rPr>
          <w:rFonts w:ascii="Arial" w:cs="Arial" w:eastAsia="Arial" w:hAnsi="Arial"/>
          <w:sz w:val="20"/>
          <w:szCs w:val="20"/>
          <w:color w:val="auto"/>
        </w:rPr>
        <w:t>After a Participant’s Separation from Service the Participant’s Account shall be paid to the Participant (or in the event of the Participant’s death, to the Participant’s Beneficiary). Payment shall be made in one of the following forms as specified in the Participant’s payment election pursuant to Section 6.2:</w:t>
      </w:r>
    </w:p>
    <w:p>
      <w:pPr>
        <w:spacing w:after="0" w:line="219" w:lineRule="exact"/>
        <w:rPr>
          <w:rFonts w:ascii="Arial" w:cs="Arial" w:eastAsia="Arial" w:hAnsi="Arial"/>
          <w:sz w:val="20"/>
          <w:szCs w:val="20"/>
          <w:color w:val="auto"/>
        </w:rPr>
      </w:pPr>
    </w:p>
    <w:p>
      <w:pPr>
        <w:ind w:left="640" w:right="20" w:firstLine="546"/>
        <w:spacing w:after="0" w:line="260" w:lineRule="auto"/>
        <w:tabs>
          <w:tab w:leader="none" w:pos="1936" w:val="left"/>
        </w:tabs>
        <w:numPr>
          <w:ilvl w:val="1"/>
          <w:numId w:val="92"/>
        </w:numPr>
        <w:rPr>
          <w:rFonts w:ascii="Arial" w:cs="Arial" w:eastAsia="Arial" w:hAnsi="Arial"/>
          <w:sz w:val="20"/>
          <w:szCs w:val="20"/>
          <w:color w:val="auto"/>
        </w:rPr>
      </w:pPr>
      <w:r>
        <w:rPr>
          <w:rFonts w:ascii="Arial" w:cs="Arial" w:eastAsia="Arial" w:hAnsi="Arial"/>
          <w:sz w:val="20"/>
          <w:szCs w:val="20"/>
          <w:u w:val="single" w:color="auto"/>
          <w:color w:val="auto"/>
        </w:rPr>
        <w:t>Single Sum</w:t>
      </w:r>
      <w:r>
        <w:rPr>
          <w:rFonts w:ascii="Arial" w:cs="Arial" w:eastAsia="Arial" w:hAnsi="Arial"/>
          <w:sz w:val="20"/>
          <w:szCs w:val="20"/>
          <w:color w:val="auto"/>
        </w:rPr>
        <w:t>. A single sum distribution of the value of the balance of the Account on the first day of October following the Participant’s Separation from Service; or</w:t>
      </w:r>
    </w:p>
    <w:p>
      <w:pPr>
        <w:spacing w:after="0" w:line="217" w:lineRule="exact"/>
        <w:rPr>
          <w:rFonts w:ascii="Arial" w:cs="Arial" w:eastAsia="Arial" w:hAnsi="Arial"/>
          <w:sz w:val="20"/>
          <w:szCs w:val="20"/>
          <w:color w:val="auto"/>
        </w:rPr>
      </w:pPr>
    </w:p>
    <w:p>
      <w:pPr>
        <w:jc w:val="both"/>
        <w:ind w:left="640" w:firstLine="491"/>
        <w:spacing w:after="0" w:line="264" w:lineRule="auto"/>
        <w:tabs>
          <w:tab w:leader="none" w:pos="1936"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Installments</w:t>
      </w:r>
      <w:r>
        <w:rPr>
          <w:rFonts w:ascii="Arial" w:cs="Arial" w:eastAsia="Arial" w:hAnsi="Arial"/>
          <w:sz w:val="19"/>
          <w:szCs w:val="19"/>
          <w:color w:val="auto"/>
        </w:rPr>
        <w:t>. The value of the balance of the Account shall be paid in annual installments on the first day of October each year with the first of such installments to be paid on the first day of October following the Participant’s Separation from Service. Annual installments shall be paid in one of the alternative methods specified below over the number of years selected by the Participant in the payment election made pursuant to Section 6.2, but not to exceed 10. The earnings (or losses) provided for in Section 4.2 shall continue to accrue on the balance remaining in the Account during the period of installment payments. The annual installment shall be calculated by multiplying the most recent value of the Account by a fraction, the numerator of which is one, and the denominator of which is the remaining number of annual payments due the Participant. By way of example, if the Participant elects a 10 year annual installment method, the first payment shall be one-tenth (1/10) of the Account balance. The following year, the payment shall be one-ninth (1/9) of the Account balance; and so on; or</w:t>
      </w:r>
    </w:p>
    <w:p>
      <w:pPr>
        <w:spacing w:after="0" w:line="215" w:lineRule="exact"/>
        <w:rPr>
          <w:rFonts w:ascii="Arial" w:cs="Arial" w:eastAsia="Arial" w:hAnsi="Arial"/>
          <w:sz w:val="19"/>
          <w:szCs w:val="19"/>
          <w:color w:val="auto"/>
        </w:rPr>
      </w:pPr>
    </w:p>
    <w:p>
      <w:pPr>
        <w:jc w:val="both"/>
        <w:ind w:left="640" w:firstLine="436"/>
        <w:spacing w:after="0" w:line="268" w:lineRule="auto"/>
        <w:tabs>
          <w:tab w:leader="none" w:pos="1936"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Other Methods and Prior Elections</w:t>
      </w:r>
      <w:r>
        <w:rPr>
          <w:rFonts w:ascii="Arial" w:cs="Arial" w:eastAsia="Arial" w:hAnsi="Arial"/>
          <w:sz w:val="19"/>
          <w:szCs w:val="19"/>
          <w:color w:val="auto"/>
        </w:rPr>
        <w:t>. Any other method authorized by the Plan Administrator as reflected on the Participant's payment election and elected by the Participant. Payment methods previously allowable under the Plan, such as the percentage or fixed dollar method of payment, and previously elected by a Participant will remain in effect unless the Participant elects an alternative payment schedule pursuant to Section 6.2(c); or</w:t>
      </w:r>
    </w:p>
    <w:p>
      <w:pPr>
        <w:spacing w:after="0" w:line="212" w:lineRule="exact"/>
        <w:rPr>
          <w:rFonts w:ascii="Arial" w:cs="Arial" w:eastAsia="Arial" w:hAnsi="Arial"/>
          <w:sz w:val="19"/>
          <w:szCs w:val="19"/>
          <w:color w:val="auto"/>
        </w:rPr>
      </w:pPr>
    </w:p>
    <w:p>
      <w:pPr>
        <w:ind w:left="640" w:firstLine="447"/>
        <w:spacing w:after="0" w:line="301" w:lineRule="auto"/>
        <w:tabs>
          <w:tab w:leader="none" w:pos="1936" w:val="left"/>
        </w:tabs>
        <w:numPr>
          <w:ilvl w:val="1"/>
          <w:numId w:val="92"/>
        </w:numPr>
        <w:rPr>
          <w:rFonts w:ascii="Arial" w:cs="Arial" w:eastAsia="Arial" w:hAnsi="Arial"/>
          <w:sz w:val="19"/>
          <w:szCs w:val="19"/>
          <w:color w:val="auto"/>
        </w:rPr>
      </w:pPr>
      <w:r>
        <w:rPr>
          <w:rFonts w:ascii="Arial" w:cs="Arial" w:eastAsia="Arial" w:hAnsi="Arial"/>
          <w:sz w:val="19"/>
          <w:szCs w:val="19"/>
          <w:u w:val="single" w:color="auto"/>
          <w:color w:val="auto"/>
        </w:rPr>
        <w:t>In Cash or In Stock</w:t>
      </w:r>
      <w:r>
        <w:rPr>
          <w:rFonts w:ascii="Arial" w:cs="Arial" w:eastAsia="Arial" w:hAnsi="Arial"/>
          <w:sz w:val="19"/>
          <w:szCs w:val="19"/>
          <w:color w:val="auto"/>
        </w:rPr>
        <w:t>. Subject to such withholding rules as the Corporation may establish, payments shall be made in cash and/or Class A non-voting common stock of Brady Corporation pursuant to the following:</w:t>
      </w:r>
    </w:p>
    <w:p>
      <w:pPr>
        <w:spacing w:after="0" w:line="167" w:lineRule="exact"/>
        <w:rPr>
          <w:rFonts w:ascii="Arial" w:cs="Arial" w:eastAsia="Arial" w:hAnsi="Arial"/>
          <w:sz w:val="19"/>
          <w:szCs w:val="19"/>
          <w:color w:val="auto"/>
        </w:rPr>
      </w:pPr>
    </w:p>
    <w:p>
      <w:pPr>
        <w:jc w:val="both"/>
        <w:ind w:left="960" w:firstLine="980"/>
        <w:spacing w:after="0" w:line="255" w:lineRule="auto"/>
        <w:tabs>
          <w:tab w:leader="none" w:pos="2571" w:val="left"/>
        </w:tabs>
        <w:numPr>
          <w:ilvl w:val="2"/>
          <w:numId w:val="92"/>
        </w:numPr>
        <w:rPr>
          <w:rFonts w:ascii="Arial" w:cs="Arial" w:eastAsia="Arial" w:hAnsi="Arial"/>
          <w:sz w:val="20"/>
          <w:szCs w:val="20"/>
          <w:color w:val="auto"/>
        </w:rPr>
      </w:pPr>
      <w:r>
        <w:rPr>
          <w:rFonts w:ascii="Arial" w:cs="Arial" w:eastAsia="Arial" w:hAnsi="Arial"/>
          <w:sz w:val="20"/>
          <w:szCs w:val="20"/>
          <w:color w:val="auto"/>
        </w:rPr>
        <w:t>If distribution is made in a single sum, the value of the portion of the Participant’s Account which consists of the investments other than the Brady Stock Fund shall be paid in cash while the value of the portion of the Account which consists of the Brady Stock Fund shall be paid by distributing the number of shares of Class A non-voting stock of Brady Corporation which represent the number of deemed shares held in the Brady Stock Fund, except, however, that any fractional shares shall be valued and distributed in cash.</w:t>
      </w:r>
    </w:p>
    <w:p>
      <w:pPr>
        <w:spacing w:after="0" w:line="209" w:lineRule="exact"/>
        <w:rPr>
          <w:rFonts w:ascii="Arial" w:cs="Arial" w:eastAsia="Arial" w:hAnsi="Arial"/>
          <w:sz w:val="20"/>
          <w:szCs w:val="20"/>
          <w:color w:val="auto"/>
        </w:rPr>
      </w:pPr>
    </w:p>
    <w:p>
      <w:pPr>
        <w:jc w:val="both"/>
        <w:ind w:left="960" w:firstLine="980"/>
        <w:spacing w:after="0" w:line="267" w:lineRule="auto"/>
        <w:tabs>
          <w:tab w:leader="none" w:pos="2574" w:val="left"/>
        </w:tabs>
        <w:numPr>
          <w:ilvl w:val="2"/>
          <w:numId w:val="92"/>
        </w:numPr>
        <w:rPr>
          <w:rFonts w:ascii="Arial" w:cs="Arial" w:eastAsia="Arial" w:hAnsi="Arial"/>
          <w:sz w:val="19"/>
          <w:szCs w:val="19"/>
          <w:color w:val="auto"/>
        </w:rPr>
      </w:pPr>
      <w:r>
        <w:rPr>
          <w:rFonts w:ascii="Arial" w:cs="Arial" w:eastAsia="Arial" w:hAnsi="Arial"/>
          <w:sz w:val="19"/>
          <w:szCs w:val="19"/>
          <w:color w:val="auto"/>
        </w:rPr>
        <w:t>If distribution is made in installments or other method (as authorized by the Plan Administrator and elected by the Participant in their payment election as describe in 6.1(a)(iii), above), a portion of each payment shall be distributed in cash and a portion in Class A non-voting shares of common stock of Brady Corporation. The portion to be distributed in cash shall be that portion of the particular payment which is the same percentage as derived by dividing the value of the Balance in investments (other than the Brady Stock Fund) by the value of the total Account balance and the portion to be distributed in stock shall be the same percentage as determined by dividing the value of the balance of the Brady Stock Fund by the</w:t>
      </w:r>
    </w:p>
    <w:p>
      <w:pPr>
        <w:spacing w:after="0" w:line="200" w:lineRule="exact"/>
        <w:rPr>
          <w:sz w:val="20"/>
          <w:szCs w:val="20"/>
          <w:color w:val="auto"/>
        </w:rPr>
      </w:pPr>
    </w:p>
    <w:p>
      <w:pPr>
        <w:spacing w:after="0" w:line="31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80"/>
          </w:cols>
          <w:pgMar w:left="980" w:top="1129" w:right="339" w:bottom="1440" w:gutter="0" w:footer="0" w:header="0"/>
        </w:sectPr>
      </w:pPr>
    </w:p>
    <w:bookmarkStart w:id="114" w:name="page115"/>
    <w:bookmarkEnd w:id="114"/>
    <w:p>
      <w:pPr>
        <w:jc w:val="both"/>
        <w:ind w:left="960"/>
        <w:spacing w:after="0" w:line="257" w:lineRule="auto"/>
        <w:rPr>
          <w:sz w:val="20"/>
          <w:szCs w:val="20"/>
          <w:color w:val="auto"/>
        </w:rPr>
      </w:pPr>
      <w:r>
        <w:rPr>
          <w:rFonts w:ascii="Arial" w:cs="Arial" w:eastAsia="Arial" w:hAnsi="Arial"/>
          <w:sz w:val="20"/>
          <w:szCs w:val="20"/>
          <w:color w:val="auto"/>
        </w:rPr>
        <w:t>value of the total Account balance. The number of shares of Class A non-voting shares of common stock of Brady Corporation to be distributed shall be the number having the same value as the portion of the installment to be paid in such stock, except, however, that any fractional shares shall be distributed in cash.</w:t>
      </w:r>
    </w:p>
    <w:p>
      <w:pPr>
        <w:spacing w:after="0" w:line="220" w:lineRule="exact"/>
        <w:rPr>
          <w:sz w:val="20"/>
          <w:szCs w:val="20"/>
          <w:color w:val="auto"/>
        </w:rPr>
      </w:pPr>
    </w:p>
    <w:p>
      <w:pPr>
        <w:ind w:left="2580" w:hanging="640"/>
        <w:spacing w:after="0"/>
        <w:tabs>
          <w:tab w:leader="none" w:pos="25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Notwithstanding Article I and Section 2.11 of this Plan to the contrary, the rule of this sub-paragraph</w:t>
      </w:r>
    </w:p>
    <w:p>
      <w:pPr>
        <w:spacing w:after="0" w:line="38" w:lineRule="exact"/>
        <w:rPr>
          <w:rFonts w:ascii="Arial" w:cs="Arial" w:eastAsia="Arial" w:hAnsi="Arial"/>
          <w:sz w:val="18"/>
          <w:szCs w:val="18"/>
          <w:color w:val="auto"/>
        </w:rPr>
      </w:pPr>
    </w:p>
    <w:p>
      <w:pPr>
        <w:ind w:left="1300" w:hanging="332"/>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shall apply to amounts held for a Participant under a Frozen Agreement from and after May 1, 2006. The preceding</w:t>
      </w:r>
    </w:p>
    <w:p>
      <w:pPr>
        <w:spacing w:after="0" w:line="27" w:lineRule="exact"/>
        <w:rPr>
          <w:sz w:val="20"/>
          <w:szCs w:val="20"/>
          <w:color w:val="auto"/>
        </w:rPr>
      </w:pPr>
    </w:p>
    <w:p>
      <w:pPr>
        <w:jc w:val="both"/>
        <w:ind w:left="960"/>
        <w:spacing w:after="0" w:line="284" w:lineRule="auto"/>
        <w:rPr>
          <w:sz w:val="20"/>
          <w:szCs w:val="20"/>
          <w:color w:val="auto"/>
        </w:rPr>
      </w:pPr>
      <w:r>
        <w:rPr>
          <w:rFonts w:ascii="Arial" w:cs="Arial" w:eastAsia="Arial" w:hAnsi="Arial"/>
          <w:sz w:val="18"/>
          <w:szCs w:val="18"/>
          <w:color w:val="auto"/>
        </w:rPr>
        <w:t>sentence shall not apply to a Participant who has had a Separation from Service prior to May 1, 2006. Further, the rule of this sub-paragraph (iv) shall apply to amounts held for a Participant in the Brady Stock Fund attributable to deferred restricted stock units, which must be distributed in the form of Class A non-voting shares of common stock of Brady Corporation. Any shares issued in payment of a deferred restricted stock unit award will be treated as issued under the equity incentive plan (without regard to the termination of such plan) governing the restricted stock unit award.</w:t>
      </w:r>
    </w:p>
    <w:p>
      <w:pPr>
        <w:spacing w:after="0" w:line="199" w:lineRule="exact"/>
        <w:rPr>
          <w:sz w:val="20"/>
          <w:szCs w:val="20"/>
          <w:color w:val="auto"/>
        </w:rPr>
      </w:pPr>
    </w:p>
    <w:p>
      <w:pPr>
        <w:jc w:val="both"/>
        <w:ind w:firstLine="644"/>
        <w:spacing w:after="0" w:line="285" w:lineRule="auto"/>
        <w:tabs>
          <w:tab w:leader="none" w:pos="1284"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(v) Allocations After Distribution Completed</w:t>
      </w:r>
      <w:r>
        <w:rPr>
          <w:rFonts w:ascii="Arial" w:cs="Arial" w:eastAsia="Arial" w:hAnsi="Arial"/>
          <w:sz w:val="18"/>
          <w:szCs w:val="18"/>
          <w:color w:val="auto"/>
        </w:rPr>
        <w:t>. If any deferred time-vesting restricted stock units would be allocable to a Participant’s Account after such Account has been distributed in full, then such restricted stock units shall be immediately settled in Class A non-voting shares of common stock of the Brady Corporation upon the vesting date(s) of such award. In the case of a Participant who is a Specified Employee, payment pursuant to paragraph (a) above shall commence no earlier than the first day of the seventh month following the Participant’s Separation from Service. This delay in distribution rule does not apply if the payment is being made as a result of the Participant’s death or disability. For this purpose, "disability" means that the Participant:</w:t>
      </w:r>
    </w:p>
    <w:p>
      <w:pPr>
        <w:spacing w:after="0" w:line="199" w:lineRule="exact"/>
        <w:rPr>
          <w:rFonts w:ascii="Arial" w:cs="Arial" w:eastAsia="Arial" w:hAnsi="Arial"/>
          <w:sz w:val="18"/>
          <w:szCs w:val="18"/>
          <w:color w:val="auto"/>
        </w:rPr>
      </w:pPr>
    </w:p>
    <w:p>
      <w:pPr>
        <w:jc w:val="both"/>
        <w:ind w:left="640" w:firstLine="546"/>
        <w:spacing w:after="0" w:line="257" w:lineRule="auto"/>
        <w:tabs>
          <w:tab w:leader="none" w:pos="1936" w:val="left"/>
        </w:tabs>
        <w:numPr>
          <w:ilvl w:val="1"/>
          <w:numId w:val="95"/>
        </w:numPr>
        <w:rPr>
          <w:rFonts w:ascii="Arial" w:cs="Arial" w:eastAsia="Arial" w:hAnsi="Arial"/>
          <w:sz w:val="20"/>
          <w:szCs w:val="20"/>
          <w:color w:val="auto"/>
        </w:rPr>
      </w:pPr>
      <w:r>
        <w:rPr>
          <w:rFonts w:ascii="Arial" w:cs="Arial" w:eastAsia="Arial" w:hAnsi="Arial"/>
          <w:sz w:val="20"/>
          <w:szCs w:val="20"/>
          <w:color w:val="auto"/>
        </w:rPr>
        <w:t>is unable to engage in any substantial gainful activity by reason of any medically determinable physical or mental impairment which can be expected to result in death or can be expected to last for a continuous period of not less than 12 months, or</w:t>
      </w:r>
    </w:p>
    <w:p>
      <w:pPr>
        <w:spacing w:after="0" w:line="206" w:lineRule="exact"/>
        <w:rPr>
          <w:rFonts w:ascii="Arial" w:cs="Arial" w:eastAsia="Arial" w:hAnsi="Arial"/>
          <w:sz w:val="20"/>
          <w:szCs w:val="20"/>
          <w:color w:val="auto"/>
        </w:rPr>
      </w:pPr>
    </w:p>
    <w:p>
      <w:pPr>
        <w:jc w:val="both"/>
        <w:ind w:left="640" w:firstLine="491"/>
        <w:spacing w:after="0" w:line="255" w:lineRule="auto"/>
        <w:tabs>
          <w:tab w:leader="none" w:pos="1936" w:val="left"/>
        </w:tabs>
        <w:numPr>
          <w:ilvl w:val="1"/>
          <w:numId w:val="95"/>
        </w:numPr>
        <w:rPr>
          <w:rFonts w:ascii="Arial" w:cs="Arial" w:eastAsia="Arial" w:hAnsi="Arial"/>
          <w:sz w:val="20"/>
          <w:szCs w:val="20"/>
          <w:color w:val="auto"/>
        </w:rPr>
      </w:pPr>
      <w:r>
        <w:rPr>
          <w:rFonts w:ascii="Arial" w:cs="Arial" w:eastAsia="Arial" w:hAnsi="Arial"/>
          <w:sz w:val="20"/>
          <w:szCs w:val="20"/>
          <w:color w:val="auto"/>
        </w:rPr>
        <w:t>is, by reason of any medically determinable physical or mental impairment which can be expected to result in death or can be expected to last for a continued period of not less than 12 months, receiving income replacement benefits for a period of not less than three months under an accident and health plan covering the employees of the Corporation or one of its affiliates in which the Participant is covered.</w:t>
      </w:r>
    </w:p>
    <w:p>
      <w:pPr>
        <w:spacing w:after="0" w:line="22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u w:val="single" w:color="auto"/>
          <w:color w:val="auto"/>
        </w:rPr>
        <w:t>Payment Election</w:t>
      </w:r>
      <w:r>
        <w:rPr>
          <w:rFonts w:ascii="Arial" w:cs="Arial" w:eastAsia="Arial" w:hAnsi="Arial"/>
          <w:sz w:val="18"/>
          <w:szCs w:val="18"/>
          <w:color w:val="auto"/>
        </w:rPr>
        <w:t>.</w:t>
      </w:r>
    </w:p>
    <w:p>
      <w:pPr>
        <w:spacing w:after="0" w:line="243" w:lineRule="exact"/>
        <w:rPr>
          <w:sz w:val="20"/>
          <w:szCs w:val="20"/>
          <w:color w:val="auto"/>
        </w:rPr>
      </w:pPr>
    </w:p>
    <w:p>
      <w:pPr>
        <w:jc w:val="both"/>
        <w:ind w:firstLine="644"/>
        <w:spacing w:after="0" w:line="265" w:lineRule="auto"/>
        <w:tabs>
          <w:tab w:leader="none" w:pos="1286" w:val="left"/>
        </w:tabs>
        <w:numPr>
          <w:ilvl w:val="0"/>
          <w:numId w:val="96"/>
        </w:numPr>
        <w:rPr>
          <w:rFonts w:ascii="Arial" w:cs="Arial" w:eastAsia="Arial" w:hAnsi="Arial"/>
          <w:sz w:val="19"/>
          <w:szCs w:val="19"/>
          <w:color w:val="auto"/>
        </w:rPr>
      </w:pPr>
      <w:r>
        <w:rPr>
          <w:rFonts w:ascii="Arial" w:cs="Arial" w:eastAsia="Arial" w:hAnsi="Arial"/>
          <w:sz w:val="19"/>
          <w:szCs w:val="19"/>
          <w:color w:val="auto"/>
        </w:rPr>
        <w:t>For each Plan Year, an individual who is or becomes an Active Participant at the beginning of such Plan Year who is or has been provided with prior written notice of their participation for such Plan Year shall complete a payment election form specifying the form of payment applicable to the portion of such Participant’s Account under the Plan attributable to participation for such Plan Year. Notwithstanding the foregoing, a Participant who defers an award of time-vesting restricted stock units pursuant to a grant date election (as defined in Section 3.3(c)) may make a separate payment election specifying the form of payment applicable to the portion of such Participant’s Account under the Plan attributable to such award. In the event that a Participant does not make a timely payment election, a lump sum payment election will apply for the Plan Year in which the contributions are made, or will apply to the deferred time-vesting restricted stock unit award.</w:t>
      </w:r>
    </w:p>
    <w:p>
      <w:pPr>
        <w:spacing w:after="0" w:line="216" w:lineRule="exact"/>
        <w:rPr>
          <w:rFonts w:ascii="Arial" w:cs="Arial" w:eastAsia="Arial" w:hAnsi="Arial"/>
          <w:sz w:val="19"/>
          <w:szCs w:val="19"/>
          <w:color w:val="auto"/>
        </w:rPr>
      </w:pPr>
    </w:p>
    <w:p>
      <w:pPr>
        <w:jc w:val="both"/>
        <w:ind w:firstLine="644"/>
        <w:spacing w:after="0" w:line="286" w:lineRule="auto"/>
        <w:tabs>
          <w:tab w:leader="none" w:pos="1284"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individual who first becomes an Active Participant other than on the first day of a Plan Year shall complete a payment election form specifying the form of payment applicable to the portion of such Participant’s Account attributable to participation for such Plan Year no later than 30 days after the effective date of participation, or with respect to a deferral of a time-vesting restricted stock unit award pursuant to a grant date election (as defined in Section 3.3(c)), no later than the date the deferral election for such award becomes irrevocable (i.e., prior to the award grant date). In the event a Participant does not</w:t>
      </w:r>
    </w:p>
    <w:p>
      <w:pPr>
        <w:spacing w:after="0" w:line="200" w:lineRule="exact"/>
        <w:rPr>
          <w:sz w:val="20"/>
          <w:szCs w:val="20"/>
          <w:color w:val="auto"/>
        </w:rPr>
      </w:pPr>
    </w:p>
    <w:p>
      <w:pPr>
        <w:spacing w:after="0" w:line="311"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980" w:top="892" w:right="339" w:bottom="1440" w:gutter="0" w:footer="0" w:header="0"/>
        </w:sectPr>
      </w:pPr>
    </w:p>
    <w:bookmarkStart w:id="115" w:name="page116"/>
    <w:bookmarkEnd w:id="115"/>
    <w:p>
      <w:pPr>
        <w:ind w:right="20"/>
        <w:spacing w:after="0" w:line="274" w:lineRule="auto"/>
        <w:rPr>
          <w:sz w:val="20"/>
          <w:szCs w:val="20"/>
          <w:color w:val="auto"/>
        </w:rPr>
      </w:pPr>
      <w:r>
        <w:rPr>
          <w:rFonts w:ascii="Arial" w:cs="Arial" w:eastAsia="Arial" w:hAnsi="Arial"/>
          <w:sz w:val="20"/>
          <w:szCs w:val="20"/>
          <w:color w:val="auto"/>
        </w:rPr>
        <w:t>make a timely payment election, a lump sum payment election will apply for the Plan Year in which the contributions are made, or will apply to the deferred time-vesting restricted stock unit award.</w:t>
      </w:r>
    </w:p>
    <w:p>
      <w:pPr>
        <w:spacing w:after="0" w:line="190" w:lineRule="exact"/>
        <w:rPr>
          <w:sz w:val="20"/>
          <w:szCs w:val="20"/>
          <w:color w:val="auto"/>
        </w:rPr>
      </w:pPr>
    </w:p>
    <w:p>
      <w:pPr>
        <w:jc w:val="both"/>
        <w:ind w:firstLine="644"/>
        <w:spacing w:after="0" w:line="271" w:lineRule="auto"/>
        <w:tabs>
          <w:tab w:leader="none" w:pos="1286" w:val="left"/>
        </w:tabs>
        <w:numPr>
          <w:ilvl w:val="0"/>
          <w:numId w:val="97"/>
        </w:numPr>
        <w:rPr>
          <w:rFonts w:ascii="Arial" w:cs="Arial" w:eastAsia="Arial" w:hAnsi="Arial"/>
          <w:sz w:val="19"/>
          <w:szCs w:val="19"/>
          <w:color w:val="auto"/>
        </w:rPr>
      </w:pPr>
      <w:r>
        <w:rPr>
          <w:rFonts w:ascii="Arial" w:cs="Arial" w:eastAsia="Arial" w:hAnsi="Arial"/>
          <w:sz w:val="19"/>
          <w:szCs w:val="19"/>
          <w:color w:val="auto"/>
        </w:rPr>
        <w:t>A Participant may change the form of payment (for example, from installments to lump sum) or time of commencement of distribution (for example, from termination to ten years after termination) with respect to contributions related to any specific Plan Year or any specific deferred restricted stock unit award, if applicable, by completing and filing a new payment election form with the Corporation. Such election will apply to the amount contributed for such Plan Year, or the deferred restricted stock unit award, as applicable, and the earnings on such amount.</w:t>
      </w:r>
    </w:p>
    <w:p>
      <w:pPr>
        <w:spacing w:after="0" w:line="197" w:lineRule="exact"/>
        <w:rPr>
          <w:rFonts w:ascii="Arial" w:cs="Arial" w:eastAsia="Arial" w:hAnsi="Arial"/>
          <w:sz w:val="19"/>
          <w:szCs w:val="19"/>
          <w:color w:val="auto"/>
        </w:rPr>
      </w:pPr>
    </w:p>
    <w:p>
      <w:pPr>
        <w:jc w:val="both"/>
        <w:ind w:left="640" w:firstLine="546"/>
        <w:spacing w:after="0" w:line="255" w:lineRule="auto"/>
        <w:tabs>
          <w:tab w:leader="none" w:pos="1936" w:val="left"/>
        </w:tabs>
        <w:numPr>
          <w:ilvl w:val="1"/>
          <w:numId w:val="97"/>
        </w:numPr>
        <w:rPr>
          <w:rFonts w:ascii="Arial" w:cs="Arial" w:eastAsia="Arial" w:hAnsi="Arial"/>
          <w:sz w:val="20"/>
          <w:szCs w:val="20"/>
          <w:color w:val="auto"/>
        </w:rPr>
      </w:pPr>
      <w:r>
        <w:rPr>
          <w:rFonts w:ascii="Arial" w:cs="Arial" w:eastAsia="Arial" w:hAnsi="Arial"/>
          <w:sz w:val="20"/>
          <w:szCs w:val="20"/>
          <w:color w:val="auto"/>
        </w:rPr>
        <w:t>The payment election form on file with the Corporation with respect to a particular portion of their Account as of the date of the Participant’s Separation from Service shall be controlling. Notwithstanding the foregoing, an election to change the form of payment with respect to a particular portion of a Participant's Account shall not be effective if they have a Separation from Service within twelve (12) months after the date on which they file the election change with the Corporation.</w:t>
      </w:r>
    </w:p>
    <w:p>
      <w:pPr>
        <w:spacing w:after="0" w:line="209" w:lineRule="exact"/>
        <w:rPr>
          <w:rFonts w:ascii="Arial" w:cs="Arial" w:eastAsia="Arial" w:hAnsi="Arial"/>
          <w:sz w:val="20"/>
          <w:szCs w:val="20"/>
          <w:color w:val="auto"/>
        </w:rPr>
      </w:pPr>
    </w:p>
    <w:p>
      <w:pPr>
        <w:jc w:val="both"/>
        <w:ind w:left="1940"/>
        <w:spacing w:after="0" w:line="271" w:lineRule="auto"/>
        <w:tabs>
          <w:tab w:leader="none" w:pos="2578" w:val="left"/>
        </w:tabs>
        <w:numPr>
          <w:ilvl w:val="2"/>
          <w:numId w:val="97"/>
        </w:numPr>
        <w:rPr>
          <w:rFonts w:ascii="Arial" w:cs="Arial" w:eastAsia="Arial" w:hAnsi="Arial"/>
          <w:sz w:val="19"/>
          <w:szCs w:val="19"/>
          <w:color w:val="auto"/>
        </w:rPr>
      </w:pPr>
      <w:r>
        <w:rPr>
          <w:rFonts w:ascii="Arial" w:cs="Arial" w:eastAsia="Arial" w:hAnsi="Arial"/>
          <w:sz w:val="19"/>
          <w:szCs w:val="19"/>
          <w:color w:val="auto"/>
        </w:rPr>
        <w:t>For example, if a Participant elected to change from receiving a portion of their Account in installments (commencing on the October 1 following termination of employment) to receiving that portion in a lump sum (on the October 1 following five (5) years after termination), but then terminated ten months after making that new election, that new election would not be effective. The Participant would receive that portion of their Account in the installment method previously in effect.</w:t>
      </w:r>
    </w:p>
    <w:p>
      <w:pPr>
        <w:spacing w:after="0" w:line="197" w:lineRule="exact"/>
        <w:rPr>
          <w:sz w:val="20"/>
          <w:szCs w:val="20"/>
          <w:color w:val="auto"/>
        </w:rPr>
      </w:pPr>
    </w:p>
    <w:p>
      <w:pPr>
        <w:jc w:val="both"/>
        <w:ind w:left="640" w:firstLine="491"/>
        <w:spacing w:after="0" w:line="257" w:lineRule="auto"/>
        <w:tabs>
          <w:tab w:leader="none" w:pos="1936"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change in payment method with respect to a particular portion of a Participant's Account must result in delaying the commencement of payments with respect to such portion of their Account to a date which is at least five (5) years following the previously scheduled commencement date.</w:t>
      </w:r>
    </w:p>
    <w:p>
      <w:pPr>
        <w:spacing w:after="0" w:line="220" w:lineRule="exact"/>
        <w:rPr>
          <w:sz w:val="20"/>
          <w:szCs w:val="20"/>
          <w:color w:val="auto"/>
        </w:rPr>
      </w:pPr>
    </w:p>
    <w:p>
      <w:pPr>
        <w:jc w:val="both"/>
        <w:ind w:left="1940"/>
        <w:spacing w:after="0" w:line="255" w:lineRule="auto"/>
        <w:tabs>
          <w:tab w:leader="none" w:pos="2578" w:val="left"/>
        </w:tabs>
        <w:numPr>
          <w:ilvl w:val="1"/>
          <w:numId w:val="99"/>
        </w:numPr>
        <w:rPr>
          <w:rFonts w:ascii="Arial" w:cs="Arial" w:eastAsia="Arial" w:hAnsi="Arial"/>
          <w:sz w:val="20"/>
          <w:szCs w:val="20"/>
          <w:color w:val="auto"/>
        </w:rPr>
      </w:pPr>
      <w:r>
        <w:rPr>
          <w:rFonts w:ascii="Arial" w:cs="Arial" w:eastAsia="Arial" w:hAnsi="Arial"/>
          <w:sz w:val="20"/>
          <w:szCs w:val="20"/>
          <w:color w:val="auto"/>
        </w:rPr>
        <w:t>For example, if a Participant was to receive a particular portion of their Account in installments commencing on the October 1 following termination, they could not receive a lump sum of that portion of their Account until at least five (5) years after the installments were to commence (that is, the October 1 following five (5) years after termination).</w:t>
      </w:r>
    </w:p>
    <w:p>
      <w:pPr>
        <w:spacing w:after="0" w:line="210" w:lineRule="exact"/>
        <w:rPr>
          <w:rFonts w:ascii="Arial" w:cs="Arial" w:eastAsia="Arial" w:hAnsi="Arial"/>
          <w:sz w:val="20"/>
          <w:szCs w:val="20"/>
          <w:color w:val="auto"/>
        </w:rPr>
      </w:pPr>
    </w:p>
    <w:p>
      <w:pPr>
        <w:jc w:val="both"/>
        <w:ind w:left="640" w:firstLine="436"/>
        <w:spacing w:after="0" w:line="252" w:lineRule="auto"/>
        <w:tabs>
          <w:tab w:leader="none" w:pos="193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For purposes of compliance with Section 409A of the Internal Revenue Code, a series of five year installment payments, ten year installment payments, twenty year installment payments, or any other series of installment payments are each designated as a single payment on the date the first installment payment is due to be paid rather than a right to a series of separate payments; therefore, a Participant who has elected (or is deemed to have elected) any option under Section 6.1 with respect to a particular portion of their Account may substitute any of the other options for the option originally elected with respect to such portion of their Account as long as the foregoing one-year and five year rules are satisfied.</w:t>
      </w:r>
    </w:p>
    <w:p>
      <w:pPr>
        <w:spacing w:after="0" w:line="213" w:lineRule="exact"/>
        <w:rPr>
          <w:rFonts w:ascii="Arial" w:cs="Arial" w:eastAsia="Arial" w:hAnsi="Arial"/>
          <w:sz w:val="20"/>
          <w:szCs w:val="20"/>
          <w:color w:val="auto"/>
        </w:rPr>
      </w:pPr>
    </w:p>
    <w:p>
      <w:pPr>
        <w:jc w:val="both"/>
        <w:ind w:left="640" w:firstLine="447"/>
        <w:spacing w:after="0" w:line="255" w:lineRule="auto"/>
        <w:tabs>
          <w:tab w:leader="none" w:pos="1936" w:val="left"/>
        </w:tabs>
        <w:numPr>
          <w:ilvl w:val="0"/>
          <w:numId w:val="100"/>
        </w:numPr>
        <w:rPr>
          <w:rFonts w:ascii="Arial" w:cs="Arial" w:eastAsia="Arial" w:hAnsi="Arial"/>
          <w:sz w:val="20"/>
          <w:szCs w:val="20"/>
          <w:color w:val="auto"/>
        </w:rPr>
      </w:pPr>
      <w:r>
        <w:rPr>
          <w:rFonts w:ascii="Arial" w:cs="Arial" w:eastAsia="Arial" w:hAnsi="Arial"/>
          <w:sz w:val="20"/>
          <w:szCs w:val="20"/>
          <w:color w:val="auto"/>
        </w:rPr>
        <w:t>For purposes of the right to change the form of payment or time of commencement of distribution under Section 6.2(c) above, all amounts credited to a Participant's Account (and earnings and losses on such amounts) with respect to Plan Years commencing prior to January 1, 2019 shall be treated as made in a single Plan Year, such that a change in the Plan Year commencing prior to January 1, 2019 will apply to all Plan Years of such Participant commencing prior to January 1, 2019.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980" w:top="892" w:right="339" w:bottom="1440" w:gutter="0" w:footer="0" w:header="0"/>
        </w:sectPr>
      </w:pPr>
    </w:p>
    <w:bookmarkStart w:id="116" w:name="page117"/>
    <w:bookmarkEnd w:id="116"/>
    <w:p>
      <w:pPr>
        <w:jc w:val="both"/>
        <w:ind w:left="660" w:firstLine="725"/>
        <w:spacing w:after="0" w:line="293" w:lineRule="auto"/>
        <w:tabs>
          <w:tab w:leader="none" w:pos="194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five year delay rule does not apply with respect to a particular portion of their Account if the revised payment method applies only upon the Participant’s death or disability. For this purpose, disability has the same meaning as in Section 6.1(b). In the event that the Participant's new payment election with respect to a particular portion of their Account would not be effective under the foregoing rules, the payment election previously in effect shall with respect to such portion of their Account be controlling.</w:t>
      </w:r>
    </w:p>
    <w:p>
      <w:pPr>
        <w:spacing w:after="0" w:line="17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Financial Hardship</w:t>
      </w:r>
      <w:r>
        <w:rPr>
          <w:rFonts w:ascii="Arial" w:cs="Arial" w:eastAsia="Arial" w:hAnsi="Arial"/>
          <w:sz w:val="18"/>
          <w:szCs w:val="18"/>
          <w:color w:val="auto"/>
        </w:rPr>
        <w:t>. A partial or total distribution of the Participant’s Account shall be made prior to Separation from Service upon the Participant’s request and a demonstration by the Participant of severe financial hardship as a result of an Unforeseeable Emergency. Such distribution shall be made in a single sum as soon as administratively practicable following the Administrator’s determination that the foregoing requirements have been met. In any case, a distribution due to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Section 3.2 and any other nonqualified deferred compensation plan of the account balance type sponsored by the Corporation. Distributions because of an Unforeseeable Emergency must be limited to the amount reasonably necessary to satisfy the emergency need (which may include amounts necessary to pay any Federal, state, or local income taxes or penalties reasonably anticipated to result from the distribution). Determinations of amounts reasonably necessary to satisfy the emergency need must take into account any additional compensation that is available because of cancellation of a deferral election under Section 3.2 and any other nonqualified deferred compensation plan of the account balance type sponsored by the Corporation upon a payment due to an Unforeseeable Emergency. The payment may be made from any arrangement in which the Participant participates that provides for payment upon an Unforeseeable Emergency, provided that the arrangement under which the payment was made must be designated at the time of payment.</w:t>
      </w:r>
    </w:p>
    <w:p>
      <w:pPr>
        <w:spacing w:after="0" w:line="20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u w:val="single" w:color="auto"/>
          <w:color w:val="auto"/>
        </w:rPr>
        <w:t>Delayed Distribution</w:t>
      </w:r>
      <w:r>
        <w:rPr>
          <w:rFonts w:ascii="Arial" w:cs="Arial" w:eastAsia="Arial" w:hAnsi="Arial"/>
          <w:sz w:val="18"/>
          <w:szCs w:val="18"/>
          <w:color w:val="auto"/>
        </w:rPr>
        <w:t>.</w:t>
      </w:r>
    </w:p>
    <w:p>
      <w:pPr>
        <w:spacing w:after="0" w:line="243" w:lineRule="exact"/>
        <w:rPr>
          <w:sz w:val="20"/>
          <w:szCs w:val="20"/>
          <w:color w:val="auto"/>
        </w:rPr>
      </w:pPr>
    </w:p>
    <w:p>
      <w:pPr>
        <w:jc w:val="both"/>
        <w:ind w:left="660" w:firstLine="644"/>
        <w:spacing w:after="0" w:line="252" w:lineRule="auto"/>
        <w:tabs>
          <w:tab w:leader="none" w:pos="1946"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 payment otherwise required to be made pursuant to the provisions of this Article VI shall be delayed if the Corporation reasonably anticipates that the Corporation’s deduction with respect to such payment would be limited or eliminated by application of Code Section 162(m); provided, however that such payment shall be made on the earliest date on which the Corporation anticipates that the deduction of the payment of the amount will not be limited or eliminated by application of Code Section 162(m). In any event, such payment shall be made no later than the last day of the calendar year in which the Participant has a Separation from Service or, in the case of a Specified Employee, the last day of the calendar year in which occurs the six (6) month anniversary of such Separation from Service.</w:t>
      </w:r>
    </w:p>
    <w:p>
      <w:pPr>
        <w:spacing w:after="0" w:line="213" w:lineRule="exact"/>
        <w:rPr>
          <w:rFonts w:ascii="Arial" w:cs="Arial" w:eastAsia="Arial" w:hAnsi="Arial"/>
          <w:sz w:val="20"/>
          <w:szCs w:val="20"/>
          <w:color w:val="auto"/>
        </w:rPr>
      </w:pPr>
    </w:p>
    <w:p>
      <w:pPr>
        <w:jc w:val="both"/>
        <w:ind w:left="660" w:firstLine="644"/>
        <w:spacing w:after="0" w:line="255" w:lineRule="auto"/>
        <w:tabs>
          <w:tab w:leader="none" w:pos="1944"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 payment otherwise required under this Article VI shall be delayed if the Corporation reasonably determines that the making of the payment will jeopardize the ability of the Corporation to continue as a going concern; provided, however, that payments shall be made on the earliest date on which the Corporation reasonably determines that the making of the payment will not jeopardize the ability of the Corporation to continue as a going concern.</w:t>
      </w:r>
    </w:p>
    <w:p>
      <w:pPr>
        <w:spacing w:after="0" w:line="224" w:lineRule="exact"/>
        <w:rPr>
          <w:rFonts w:ascii="Arial" w:cs="Arial" w:eastAsia="Arial" w:hAnsi="Arial"/>
          <w:sz w:val="20"/>
          <w:szCs w:val="20"/>
          <w:color w:val="auto"/>
        </w:rPr>
      </w:pPr>
    </w:p>
    <w:p>
      <w:pPr>
        <w:jc w:val="both"/>
        <w:ind w:left="660" w:firstLine="644"/>
        <w:spacing w:after="0" w:line="268" w:lineRule="auto"/>
        <w:tabs>
          <w:tab w:leader="none" w:pos="1946"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 payment otherwise required under this Article VI shall be delayed if the Corporation reasonably anticipates that the making of the payment will violate federal securities laws or other applicable law; provided, however, that payments shall nevertheless be made on the earliest date on which the Corporation reasonably anticipates that the making of the payment will not cause such violation. (The making of a payment that would cause inclusion in gross income or the applicability of any penalty provision or other provision of the Code is not treated as a violation of applicable law.)</w:t>
      </w:r>
    </w:p>
    <w:p>
      <w:pPr>
        <w:spacing w:after="0" w:line="211" w:lineRule="exact"/>
        <w:rPr>
          <w:rFonts w:ascii="Arial" w:cs="Arial" w:eastAsia="Arial" w:hAnsi="Arial"/>
          <w:sz w:val="19"/>
          <w:szCs w:val="19"/>
          <w:color w:val="auto"/>
        </w:rPr>
      </w:pPr>
    </w:p>
    <w:p>
      <w:pPr>
        <w:ind w:left="660" w:firstLine="644"/>
        <w:spacing w:after="0" w:line="287" w:lineRule="auto"/>
        <w:tabs>
          <w:tab w:leader="none" w:pos="1944"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 payment otherwise required under this Article VI shall be delayed upon such other events and conditions as the Internal Revenue Service may prescribe in generally applicable guidance published in the Internal Revenue Bulletin.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892" w:right="339" w:bottom="1440" w:gutter="0" w:footer="0" w:header="0"/>
        </w:sectPr>
      </w:pPr>
    </w:p>
    <w:bookmarkStart w:id="117" w:name="page118"/>
    <w:bookmarkEnd w:id="117"/>
    <w:p>
      <w:pPr>
        <w:jc w:val="both"/>
        <w:ind w:firstLine="648"/>
        <w:spacing w:after="0" w:line="252"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u w:val="single" w:color="auto"/>
          <w:color w:val="auto"/>
        </w:rPr>
        <w:t>Inclusion in Income Under Section 409A</w:t>
      </w:r>
      <w:r>
        <w:rPr>
          <w:rFonts w:ascii="Arial" w:cs="Arial" w:eastAsia="Arial" w:hAnsi="Arial"/>
          <w:sz w:val="20"/>
          <w:szCs w:val="20"/>
          <w:color w:val="auto"/>
        </w:rPr>
        <w:t>. Notwithstanding any other provision of this Article VI, in the event this Plan fails to satisfy the requirements of Code Section 409A and regulations thereunder with respect to any Participant, there shall be distributed to such Participant as promptly as possible after the Administrator becomes aware of such fact of noncompliance such portion of the Participant’s Account balance hereunder as is included in income as a result of the failure to comply, but no more. Any such distribution shall be taken on a pro rata basis from the Participant’s Brady Stock Fund balance and the Participant's other investments in the manner described in Section 6.1(a)(iv)(B).</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Domestic Relations Order</w:t>
      </w:r>
      <w:r>
        <w:rPr>
          <w:rFonts w:ascii="Arial" w:cs="Arial" w:eastAsia="Arial" w:hAnsi="Arial"/>
          <w:sz w:val="18"/>
          <w:szCs w:val="18"/>
          <w:color w:val="auto"/>
        </w:rPr>
        <w:t>. Notwithstanding any other provision of this Article VI, payments shall be made from an account of a Participant in this Plan to such individual or individuals (other than the Participant) and at such times as are necessary to comply with a domestic relations order (as defined in Code Section 414(p)(1)(B)). Any such distribution shall be taken on a pro rata basis from the Participant’s Brady Stock Fund balance and the Participant's other investments in the manner described in Section 6.1(a)(iv)(B).</w:t>
      </w:r>
    </w:p>
    <w:p>
      <w:pPr>
        <w:spacing w:after="0" w:line="19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u w:val="single" w:color="auto"/>
          <w:color w:val="auto"/>
        </w:rPr>
        <w:t>De Minimis Amounts</w:t>
      </w:r>
      <w:r>
        <w:rPr>
          <w:rFonts w:ascii="Arial" w:cs="Arial" w:eastAsia="Arial" w:hAnsi="Arial"/>
          <w:sz w:val="20"/>
          <w:szCs w:val="20"/>
          <w:color w:val="auto"/>
        </w:rPr>
        <w:t>. Notwithstanding any other provision this Article VI, a Participant’s Account balance under this Plan and all other nonqualified deferred compensation plans of the account balance type shall automatically be distributed to the Participant on or before the later of: December 31 of the calendar year in which occurs the Participant’s Separation from Service or the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the third month following the Participant’s Separation from Service if the total amount in such Account balance at the time of distribution, when aggregated with all other amounts payable to the Participant under all arrangements benefiting the Participant described in Section 1.409A-1(c) or any successor thereto, do not exceed the amount described in Code Section 402(g)(1)(B). The foregoing lump sum payment shall be made automatically and any other distribution elections otherwise applicable with respect to the individual in the absence of this provision shall not apply.</w:t>
      </w:r>
    </w:p>
    <w:p>
      <w:pPr>
        <w:spacing w:after="0" w:line="2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6.8.</w:t>
      </w:r>
      <w:r>
        <w:rPr>
          <w:sz w:val="20"/>
          <w:szCs w:val="20"/>
          <w:color w:val="auto"/>
        </w:rPr>
        <w:tab/>
      </w:r>
      <w:r>
        <w:rPr>
          <w:rFonts w:ascii="Arial" w:cs="Arial" w:eastAsia="Arial" w:hAnsi="Arial"/>
          <w:sz w:val="16"/>
          <w:szCs w:val="16"/>
          <w:u w:val="single" w:color="auto"/>
          <w:color w:val="auto"/>
        </w:rPr>
        <w:t>Overpayments</w:t>
      </w:r>
      <w:r>
        <w:rPr>
          <w:rFonts w:ascii="Arial" w:cs="Arial" w:eastAsia="Arial" w:hAnsi="Arial"/>
          <w:sz w:val="16"/>
          <w:szCs w:val="16"/>
          <w:color w:val="auto"/>
        </w:rPr>
        <w:t>.</w:t>
      </w:r>
    </w:p>
    <w:p>
      <w:pPr>
        <w:spacing w:after="0" w:line="243" w:lineRule="exact"/>
        <w:rPr>
          <w:sz w:val="20"/>
          <w:szCs w:val="20"/>
          <w:color w:val="auto"/>
        </w:rPr>
      </w:pPr>
    </w:p>
    <w:p>
      <w:pPr>
        <w:ind w:left="1940" w:hanging="636"/>
        <w:spacing w:after="0"/>
        <w:tabs>
          <w:tab w:leader="none" w:pos="194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Any overpayments must be returned to the Plan by the recipient.</w:t>
      </w:r>
    </w:p>
    <w:p>
      <w:pPr>
        <w:spacing w:after="0" w:line="256" w:lineRule="exact"/>
        <w:rPr>
          <w:rFonts w:ascii="Arial" w:cs="Arial" w:eastAsia="Arial" w:hAnsi="Arial"/>
          <w:sz w:val="20"/>
          <w:szCs w:val="20"/>
          <w:color w:val="auto"/>
        </w:rPr>
      </w:pPr>
    </w:p>
    <w:p>
      <w:pPr>
        <w:jc w:val="both"/>
        <w:ind w:left="660" w:firstLine="644"/>
        <w:spacing w:after="0" w:line="257" w:lineRule="auto"/>
        <w:tabs>
          <w:tab w:leader="none" w:pos="194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The Plan and its agents are authorized to (A) recoup overpayments plus any earnings or interest, and (B) if necessary and permissible consistent with Section 409A, offset any overpayments that are not returned against other Plan benefits to which the recipient is or becomes entitled.</w:t>
      </w:r>
    </w:p>
    <w:p>
      <w:pPr>
        <w:spacing w:after="0" w:line="200" w:lineRule="exact"/>
        <w:rPr>
          <w:sz w:val="20"/>
          <w:szCs w:val="20"/>
          <w:color w:val="auto"/>
        </w:rPr>
      </w:pPr>
    </w:p>
    <w:p>
      <w:pPr>
        <w:spacing w:after="0" w:line="257" w:lineRule="exact"/>
        <w:rPr>
          <w:sz w:val="20"/>
          <w:szCs w:val="20"/>
          <w:color w:val="auto"/>
        </w:rPr>
      </w:pPr>
    </w:p>
    <w:p>
      <w:pPr>
        <w:jc w:val="center"/>
        <w:ind w:left="960"/>
        <w:spacing w:after="0"/>
        <w:rPr>
          <w:sz w:val="20"/>
          <w:szCs w:val="20"/>
          <w:color w:val="auto"/>
        </w:rPr>
      </w:pPr>
      <w:r>
        <w:rPr>
          <w:rFonts w:ascii="Arial" w:cs="Arial" w:eastAsia="Arial" w:hAnsi="Arial"/>
          <w:sz w:val="20"/>
          <w:szCs w:val="20"/>
          <w:b w:val="1"/>
          <w:bCs w:val="1"/>
          <w:color w:val="auto"/>
        </w:rPr>
        <w:t>ARTICLE VII</w:t>
      </w:r>
    </w:p>
    <w:p>
      <w:pPr>
        <w:spacing w:after="0" w:line="243" w:lineRule="exact"/>
        <w:rPr>
          <w:sz w:val="20"/>
          <w:szCs w:val="20"/>
          <w:color w:val="auto"/>
        </w:rPr>
      </w:pPr>
    </w:p>
    <w:p>
      <w:pPr>
        <w:jc w:val="center"/>
        <w:ind w:left="960"/>
        <w:spacing w:after="0"/>
        <w:rPr>
          <w:sz w:val="20"/>
          <w:szCs w:val="20"/>
          <w:color w:val="auto"/>
        </w:rPr>
      </w:pPr>
      <w:r>
        <w:rPr>
          <w:rFonts w:ascii="Arial" w:cs="Arial" w:eastAsia="Arial" w:hAnsi="Arial"/>
          <w:sz w:val="20"/>
          <w:szCs w:val="20"/>
          <w:b w:val="1"/>
          <w:bCs w:val="1"/>
          <w:color w:val="auto"/>
        </w:rPr>
        <w:t>ADMINISTRATION</w:t>
      </w:r>
    </w:p>
    <w:p>
      <w:pPr>
        <w:spacing w:after="0" w:line="2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Compensation Committee as Administrator</w:t>
      </w:r>
      <w:r>
        <w:rPr>
          <w:rFonts w:ascii="Arial" w:cs="Arial" w:eastAsia="Arial" w:hAnsi="Arial"/>
          <w:sz w:val="20"/>
          <w:szCs w:val="20"/>
          <w:color w:val="auto"/>
        </w:rPr>
        <w:t>. The Plan shall be administered by the Administrator, which shall be the Compensation Committee of the Corporation’s Board of Directors. The Administrator shall have all authority that may be appropriate for administering the Plan, including the authority to adopt rules and regulations for the conduct of its affairs and for implementing, amending and carrying out the Plan, interpreting the provisions of the Plan and determining a Participant’s entitlement to benefits hereunder. The Administrator shall be entitled to rely upon the Corporation’s records as to information pertinent to calculations or determinations made pursuant to the Plan.</w:t>
      </w:r>
    </w:p>
    <w:p>
      <w:pPr>
        <w:spacing w:after="0" w:line="2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0"/>
          <w:szCs w:val="20"/>
          <w:color w:val="auto"/>
        </w:rPr>
        <w:t>The Administrator may also delegate any of its clerical or other administrative duties to one or more officers or employees of the Corporation, who may assist the Administrator in the performance of any of its functions hereunder. In the event of such delegation, a reference to the Administrator shall be deemed to refer to such officer(s) or employee(s).</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Authority of Administrator</w:t>
      </w:r>
      <w:r>
        <w:rPr>
          <w:rFonts w:ascii="Arial" w:cs="Arial" w:eastAsia="Arial" w:hAnsi="Arial"/>
          <w:sz w:val="20"/>
          <w:szCs w:val="20"/>
          <w:color w:val="auto"/>
        </w:rPr>
        <w:t>. The Administrator shall have full and complete discretionary authority to determine eligibility for benefits under the Plan, to construe the terms of the Plan and to decide any matter presented through the claims procedure. Any final determination by the Administrator shall be binding on all</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92" w:right="339" w:bottom="1440" w:gutter="0" w:footer="0" w:header="0"/>
        </w:sectPr>
      </w:pPr>
    </w:p>
    <w:bookmarkStart w:id="118" w:name="page119"/>
    <w:bookmarkEnd w:id="118"/>
    <w:p>
      <w:pPr>
        <w:jc w:val="both"/>
        <w:spacing w:after="0" w:line="257" w:lineRule="auto"/>
        <w:rPr>
          <w:sz w:val="20"/>
          <w:szCs w:val="20"/>
          <w:color w:val="auto"/>
        </w:rPr>
      </w:pPr>
      <w:r>
        <w:rPr>
          <w:rFonts w:ascii="Arial" w:cs="Arial" w:eastAsia="Arial" w:hAnsi="Arial"/>
          <w:sz w:val="20"/>
          <w:szCs w:val="20"/>
          <w:color w:val="auto"/>
        </w:rPr>
        <w:t xml:space="preserve">parties and afforded the maximum deference allowed by law. If challenged in court, such determination shall not be subject to </w:t>
      </w:r>
      <w:r>
        <w:rPr>
          <w:rFonts w:ascii="Arial" w:cs="Arial" w:eastAsia="Arial" w:hAnsi="Arial"/>
          <w:sz w:val="20"/>
          <w:szCs w:val="20"/>
          <w:u w:val="single" w:color="auto"/>
          <w:color w:val="auto"/>
        </w:rPr>
        <w:t>de novo</w:t>
      </w:r>
      <w:r>
        <w:rPr>
          <w:rFonts w:ascii="Arial" w:cs="Arial" w:eastAsia="Arial" w:hAnsi="Arial"/>
          <w:sz w:val="20"/>
          <w:szCs w:val="20"/>
          <w:color w:val="auto"/>
        </w:rPr>
        <w:t xml:space="preserve"> review and shall not be overturned unless proven to be arbitrary and capricious based upon the evidence considered by the Administrator at the time of such determination.</w:t>
      </w:r>
    </w:p>
    <w:p>
      <w:pPr>
        <w:spacing w:after="0" w:line="22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Administrator Actions</w:t>
      </w:r>
      <w:r>
        <w:rPr>
          <w:rFonts w:ascii="Arial" w:cs="Arial" w:eastAsia="Arial" w:hAnsi="Arial"/>
          <w:sz w:val="19"/>
          <w:szCs w:val="19"/>
          <w:color w:val="auto"/>
        </w:rPr>
        <w:t>. The Administrator may authorize one or more of its members to execute on its behalf instructions or directions to any interested party, and any such interested party may rely upon the information contained therein. The members may also act at a meeting or by unanimous written consent. A majority of the members shall constitute a quorum for the transaction of business and shall have full power to act hereunder. All decisions shall be made by vote of the majority present at any meeting at which a quorum is present, except for actions in writing without a meeting, which must be unanimous.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Minor or Incompetent Payees</w:t>
      </w:r>
      <w:r>
        <w:rPr>
          <w:rFonts w:ascii="Arial" w:cs="Arial" w:eastAsia="Arial" w:hAnsi="Arial"/>
          <w:sz w:val="20"/>
          <w:szCs w:val="20"/>
          <w:color w:val="auto"/>
        </w:rPr>
        <w:t>. If a person to whom a benefit is payable is a minor or is otherwise incompetent by reason of a physical or mental disability, the Corporation may cause the payments due to such person to be made to another person for the first person’s benefit without any responsibility to see to the application of such payment. Such payments shall operate as a complete discharge of the obligations to such person under the Plan.</w:t>
      </w:r>
    </w:p>
    <w:p>
      <w:pPr>
        <w:spacing w:after="0" w:line="21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9"/>
          <w:szCs w:val="19"/>
          <w:color w:val="auto"/>
        </w:rPr>
        <w:t xml:space="preserve">7.5 </w:t>
      </w:r>
      <w:r>
        <w:rPr>
          <w:rFonts w:ascii="Arial" w:cs="Arial" w:eastAsia="Arial" w:hAnsi="Arial"/>
          <w:sz w:val="19"/>
          <w:szCs w:val="19"/>
          <w:u w:val="single" w:color="auto"/>
          <w:color w:val="auto"/>
        </w:rPr>
        <w:t>No Liability</w:t>
      </w:r>
      <w:r>
        <w:rPr>
          <w:rFonts w:ascii="Arial" w:cs="Arial" w:eastAsia="Arial" w:hAnsi="Arial"/>
          <w:sz w:val="19"/>
          <w:szCs w:val="19"/>
          <w:color w:val="auto"/>
        </w:rPr>
        <w:t>. Except as otherwise provided by law, neither the Administrator, nor any member thereof, nor any director, officer or employee of the Corporation involved in the administration of the Plan shall be liable for any error of judgment, action or failure to act hereunder or for any good faith exercise of discretion, excepting only liability for gross negligence or willful misconduct. The Corporation shall hold harmless and defend any individual in the employment of the Corporation and any director of the Corporation against any claim, action or liability asserted against them in connection with any action or failure to act regarding the Plan, except as and to the extent that any such liability may be based upon the individual’s own gross negligence or willful misconduct. This indemnification shall not duplicate but may supplement any coverage available under any applicable insurance.</w:t>
      </w:r>
    </w:p>
    <w:p>
      <w:pPr>
        <w:spacing w:after="0" w:line="20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16"/>
          <w:szCs w:val="16"/>
          <w:u w:val="single" w:color="auto"/>
          <w:color w:val="auto"/>
        </w:rPr>
        <w:t>Claims Procedure</w:t>
      </w:r>
      <w:r>
        <w:rPr>
          <w:rFonts w:ascii="Arial" w:cs="Arial" w:eastAsia="Arial" w:hAnsi="Arial"/>
          <w:sz w:val="16"/>
          <w:szCs w:val="16"/>
          <w:color w:val="auto"/>
        </w:rPr>
        <w:t>.</w:t>
      </w:r>
    </w:p>
    <w:p>
      <w:pPr>
        <w:spacing w:after="0" w:line="256" w:lineRule="exact"/>
        <w:rPr>
          <w:sz w:val="20"/>
          <w:szCs w:val="20"/>
          <w:color w:val="auto"/>
        </w:rPr>
      </w:pPr>
    </w:p>
    <w:p>
      <w:pPr>
        <w:jc w:val="both"/>
        <w:ind w:left="660" w:firstLine="644"/>
        <w:spacing w:after="0" w:line="267" w:lineRule="auto"/>
        <w:tabs>
          <w:tab w:leader="none" w:pos="1946" w:val="left"/>
        </w:tabs>
        <w:numPr>
          <w:ilvl w:val="0"/>
          <w:numId w:val="104"/>
        </w:numPr>
        <w:rPr>
          <w:rFonts w:ascii="Arial" w:cs="Arial" w:eastAsia="Arial" w:hAnsi="Arial"/>
          <w:sz w:val="19"/>
          <w:szCs w:val="19"/>
          <w:color w:val="auto"/>
        </w:rPr>
      </w:pPr>
      <w:r>
        <w:rPr>
          <w:rFonts w:ascii="Arial" w:cs="Arial" w:eastAsia="Arial" w:hAnsi="Arial"/>
          <w:sz w:val="19"/>
          <w:szCs w:val="19"/>
          <w:color w:val="auto"/>
        </w:rPr>
        <w:t>If the Participant or the Participant’s Beneficiary (hereinafter referred to as a “Claimant”) is denied all or a portion of an expected benefit under the Plan for any reason, they may file a claim with the Administrator or its designee. The Administrator or its designee shall notify the Claimant within 60 days of allowance or denial of the claim, unless the Claimant receives written notice prior to the end of the sixty (60) day period stating that special circumstances require an extension of the time for decision and specifying the expected date of decision. The notice of the such decision shall be in writing, sent by mail to the Claimant’s last known address, and if a denial of the claim, must contain the following information:</w:t>
      </w:r>
    </w:p>
    <w:p>
      <w:pPr>
        <w:spacing w:after="0" w:line="202" w:lineRule="exact"/>
        <w:rPr>
          <w:rFonts w:ascii="Arial" w:cs="Arial" w:eastAsia="Arial" w:hAnsi="Arial"/>
          <w:sz w:val="19"/>
          <w:szCs w:val="19"/>
          <w:color w:val="auto"/>
        </w:rPr>
      </w:pPr>
    </w:p>
    <w:p>
      <w:pPr>
        <w:ind w:left="2600" w:hanging="754"/>
        <w:spacing w:after="0"/>
        <w:tabs>
          <w:tab w:leader="none" w:pos="2600" w:val="left"/>
        </w:tabs>
        <w:numPr>
          <w:ilvl w:val="2"/>
          <w:numId w:val="104"/>
        </w:numPr>
        <w:rPr>
          <w:rFonts w:ascii="Arial" w:cs="Arial" w:eastAsia="Arial" w:hAnsi="Arial"/>
          <w:sz w:val="20"/>
          <w:szCs w:val="20"/>
          <w:color w:val="auto"/>
        </w:rPr>
      </w:pPr>
      <w:r>
        <w:rPr>
          <w:rFonts w:ascii="Arial" w:cs="Arial" w:eastAsia="Arial" w:hAnsi="Arial"/>
          <w:sz w:val="20"/>
          <w:szCs w:val="20"/>
          <w:color w:val="auto"/>
        </w:rPr>
        <w:t>the specific reasons for the denial;</w:t>
      </w:r>
    </w:p>
    <w:p>
      <w:pPr>
        <w:spacing w:after="0" w:line="256" w:lineRule="exact"/>
        <w:rPr>
          <w:rFonts w:ascii="Arial" w:cs="Arial" w:eastAsia="Arial" w:hAnsi="Arial"/>
          <w:sz w:val="20"/>
          <w:szCs w:val="20"/>
          <w:color w:val="auto"/>
        </w:rPr>
      </w:pPr>
    </w:p>
    <w:p>
      <w:pPr>
        <w:ind w:left="2600" w:hanging="809"/>
        <w:spacing w:after="0"/>
        <w:tabs>
          <w:tab w:leader="none" w:pos="2600" w:val="left"/>
        </w:tabs>
        <w:numPr>
          <w:ilvl w:val="2"/>
          <w:numId w:val="104"/>
        </w:numPr>
        <w:rPr>
          <w:rFonts w:ascii="Arial" w:cs="Arial" w:eastAsia="Arial" w:hAnsi="Arial"/>
          <w:sz w:val="20"/>
          <w:szCs w:val="20"/>
          <w:color w:val="auto"/>
        </w:rPr>
      </w:pPr>
      <w:r>
        <w:rPr>
          <w:rFonts w:ascii="Arial" w:cs="Arial" w:eastAsia="Arial" w:hAnsi="Arial"/>
          <w:sz w:val="20"/>
          <w:szCs w:val="20"/>
          <w:color w:val="auto"/>
        </w:rPr>
        <w:t>specific reference to pertinent provisions of the Plan on which the denial is based;</w:t>
      </w:r>
    </w:p>
    <w:p>
      <w:pPr>
        <w:spacing w:after="0" w:line="256" w:lineRule="exact"/>
        <w:rPr>
          <w:rFonts w:ascii="Arial" w:cs="Arial" w:eastAsia="Arial" w:hAnsi="Arial"/>
          <w:sz w:val="20"/>
          <w:szCs w:val="20"/>
          <w:color w:val="auto"/>
        </w:rPr>
      </w:pPr>
    </w:p>
    <w:p>
      <w:pPr>
        <w:ind w:left="1300" w:firstLine="436"/>
        <w:spacing w:after="0" w:line="287" w:lineRule="auto"/>
        <w:tabs>
          <w:tab w:leader="none" w:pos="2596" w:val="left"/>
        </w:tabs>
        <w:numPr>
          <w:ilvl w:val="2"/>
          <w:numId w:val="104"/>
        </w:numPr>
        <w:rPr>
          <w:rFonts w:ascii="Arial" w:cs="Arial" w:eastAsia="Arial" w:hAnsi="Arial"/>
          <w:sz w:val="19"/>
          <w:szCs w:val="19"/>
          <w:color w:val="auto"/>
        </w:rPr>
      </w:pPr>
      <w:r>
        <w:rPr>
          <w:rFonts w:ascii="Arial" w:cs="Arial" w:eastAsia="Arial" w:hAnsi="Arial"/>
          <w:sz w:val="19"/>
          <w:szCs w:val="19"/>
          <w:color w:val="auto"/>
        </w:rPr>
        <w:t>if applicable, a description of any additional information or material necessary to perfect the claim, an explanation of why such information or material is necessary, and an explanation of the claims review procedure; and</w:t>
      </w:r>
    </w:p>
    <w:p>
      <w:pPr>
        <w:spacing w:after="0" w:line="192" w:lineRule="exact"/>
        <w:rPr>
          <w:rFonts w:ascii="Arial" w:cs="Arial" w:eastAsia="Arial" w:hAnsi="Arial"/>
          <w:sz w:val="19"/>
          <w:szCs w:val="19"/>
          <w:color w:val="auto"/>
        </w:rPr>
      </w:pPr>
    </w:p>
    <w:p>
      <w:pPr>
        <w:ind w:left="1300" w:firstLine="447"/>
        <w:spacing w:after="0" w:line="260" w:lineRule="auto"/>
        <w:tabs>
          <w:tab w:leader="none" w:pos="2596" w:val="left"/>
        </w:tabs>
        <w:numPr>
          <w:ilvl w:val="2"/>
          <w:numId w:val="104"/>
        </w:numPr>
        <w:rPr>
          <w:rFonts w:ascii="Arial" w:cs="Arial" w:eastAsia="Arial" w:hAnsi="Arial"/>
          <w:sz w:val="20"/>
          <w:szCs w:val="20"/>
          <w:color w:val="auto"/>
        </w:rPr>
      </w:pPr>
      <w:r>
        <w:rPr>
          <w:rFonts w:ascii="Arial" w:cs="Arial" w:eastAsia="Arial" w:hAnsi="Arial"/>
          <w:sz w:val="20"/>
          <w:szCs w:val="20"/>
          <w:color w:val="auto"/>
        </w:rPr>
        <w:t>a description of the Plan’s claims review procedure, including a statement of the Claimant’s right to bring a civil action under Section 502 of ERISA if the Claimant’s claim is denied upon review.</w:t>
      </w:r>
    </w:p>
    <w:p>
      <w:pPr>
        <w:spacing w:after="0" w:line="217" w:lineRule="exact"/>
        <w:rPr>
          <w:rFonts w:ascii="Arial" w:cs="Arial" w:eastAsia="Arial" w:hAnsi="Arial"/>
          <w:sz w:val="20"/>
          <w:szCs w:val="20"/>
          <w:color w:val="auto"/>
        </w:rPr>
      </w:pPr>
    </w:p>
    <w:p>
      <w:pPr>
        <w:jc w:val="both"/>
        <w:ind w:left="660" w:firstLine="725"/>
        <w:spacing w:after="0" w:line="293" w:lineRule="auto"/>
        <w:tabs>
          <w:tab w:leader="none" w:pos="194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 Claimant is entitled to request a review of any denial of their claim. The request for review must be submitted in writing to the Administrator within 60 days after receipt of the notice of the denial. The timely filing of such a request is necessary to preserve any legal recourse which may be available to the Claimant and, absent the submission of request for review within the 60-day period, the claim will be deemed to be conclusively denied. Upon submission of a written request for review, the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892" w:right="339" w:bottom="1440" w:gutter="0" w:footer="0" w:header="0"/>
        </w:sectPr>
      </w:pPr>
    </w:p>
    <w:bookmarkStart w:id="119" w:name="page120"/>
    <w:bookmarkEnd w:id="119"/>
    <w:p>
      <w:pPr>
        <w:jc w:val="both"/>
        <w:ind w:left="660"/>
        <w:spacing w:after="0" w:line="282" w:lineRule="auto"/>
        <w:rPr>
          <w:sz w:val="20"/>
          <w:szCs w:val="20"/>
          <w:color w:val="auto"/>
        </w:rPr>
      </w:pPr>
      <w:r>
        <w:rPr>
          <w:rFonts w:ascii="Arial" w:cs="Arial" w:eastAsia="Arial" w:hAnsi="Arial"/>
          <w:sz w:val="18"/>
          <w:szCs w:val="18"/>
          <w:color w:val="auto"/>
        </w:rPr>
        <w:t>Claimant or their representative shall be entitled to review all pertinent documents, and to submit issues and comments in writing for consideration by the Administrator. The Administrator shall fully and fairly review the matter and shall consider all information submitted in the review request, without regard to whether or not such information was submitted or considered in the initial claim determination. The Administrator shall promptly respond to the Claimant, in writing, of its decision within 60 days after receipt of the review request. However, due to special circumstances, if no response has been provided within the first 60 days, and notice of the need for additional time has been furnished within such period, the review and response may be made within the following 60 days. The Administrator’s decision shall include specific reasons for the decision, including references to the particular Plan provisions upon which the decision is based, notification that the Claimant can receive or review copies of all documents, records and information relevant to the claim, and information as to the Claimant’s right to file suit under Section 502(a) of ERISA.</w:t>
      </w:r>
    </w:p>
    <w:p>
      <w:pPr>
        <w:spacing w:after="0" w:line="187" w:lineRule="exact"/>
        <w:rPr>
          <w:sz w:val="20"/>
          <w:szCs w:val="20"/>
          <w:color w:val="auto"/>
        </w:rPr>
      </w:pPr>
    </w:p>
    <w:p>
      <w:pPr>
        <w:jc w:val="both"/>
        <w:ind w:left="660" w:firstLine="725"/>
        <w:spacing w:after="0" w:line="255" w:lineRule="auto"/>
        <w:tabs>
          <w:tab w:leader="none" w:pos="1946"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If a determination of disability for purposes of Section 6.1(b) or 6.2 becomes necessary and if such determination is considered to be with respect to a claim for benefits based on disability for purposes of 29 CFR Section 2560.503-1, then the Administrator shall adopt and administer a special procedure for considering such disability claims meeting the requirements of 29 CFR Section 2560.503-1 for disability benefit claims.</w:t>
      </w:r>
    </w:p>
    <w:p>
      <w:pPr>
        <w:spacing w:after="0" w:line="224" w:lineRule="exact"/>
        <w:rPr>
          <w:rFonts w:ascii="Arial" w:cs="Arial" w:eastAsia="Arial" w:hAnsi="Arial"/>
          <w:sz w:val="20"/>
          <w:szCs w:val="20"/>
          <w:color w:val="auto"/>
        </w:rPr>
      </w:pPr>
    </w:p>
    <w:p>
      <w:pPr>
        <w:ind w:left="1940" w:hanging="555"/>
        <w:spacing w:after="0"/>
        <w:tabs>
          <w:tab w:leader="none" w:pos="194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Additional claims requirements: Except as required by law or except to the extent the following would violate</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Section 409A:</w:t>
      </w:r>
    </w:p>
    <w:p>
      <w:pPr>
        <w:spacing w:after="0" w:line="240" w:lineRule="exact"/>
        <w:rPr>
          <w:rFonts w:ascii="Arial" w:cs="Arial" w:eastAsia="Arial" w:hAnsi="Arial"/>
          <w:sz w:val="19"/>
          <w:szCs w:val="19"/>
          <w:color w:val="auto"/>
        </w:rPr>
      </w:pPr>
    </w:p>
    <w:p>
      <w:pPr>
        <w:ind w:left="2600" w:hanging="754"/>
        <w:spacing w:after="0"/>
        <w:tabs>
          <w:tab w:leader="none" w:pos="260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A Claimant must exhaust all administrative remedies under the Plan before seeking judicial review;</w:t>
      </w:r>
    </w:p>
    <w:p>
      <w:pPr>
        <w:spacing w:after="0" w:line="267" w:lineRule="exact"/>
        <w:rPr>
          <w:rFonts w:ascii="Arial" w:cs="Arial" w:eastAsia="Arial" w:hAnsi="Arial"/>
          <w:sz w:val="19"/>
          <w:szCs w:val="19"/>
          <w:color w:val="auto"/>
        </w:rPr>
      </w:pPr>
    </w:p>
    <w:p>
      <w:pPr>
        <w:jc w:val="both"/>
        <w:ind w:left="1300" w:firstLine="491"/>
        <w:spacing w:after="0" w:line="251" w:lineRule="auto"/>
        <w:tabs>
          <w:tab w:leader="none" w:pos="2596" w:val="left"/>
        </w:tabs>
        <w:numPr>
          <w:ilvl w:val="1"/>
          <w:numId w:val="105"/>
        </w:numPr>
        <w:rPr>
          <w:rFonts w:ascii="Arial" w:cs="Arial" w:eastAsia="Arial" w:hAnsi="Arial"/>
          <w:sz w:val="20"/>
          <w:szCs w:val="20"/>
          <w:color w:val="auto"/>
        </w:rPr>
      </w:pPr>
      <w:r>
        <w:rPr>
          <w:rFonts w:ascii="Arial" w:cs="Arial" w:eastAsia="Arial" w:hAnsi="Arial"/>
          <w:sz w:val="20"/>
          <w:szCs w:val="20"/>
          <w:color w:val="auto"/>
        </w:rPr>
        <w:t>A Claimant must bring a legal action (including, but not limited to, a civil action under Section 502(a) of ERISA with respect to any ERISA Plan) within a reasonable period following a final decision of an adverse benefit determination (or, in the absence of such a final decision, within a reasonable period following the date the final decision should have been issued under the Plan); and</w:t>
      </w:r>
    </w:p>
    <w:p>
      <w:pPr>
        <w:spacing w:after="0" w:line="225" w:lineRule="exact"/>
        <w:rPr>
          <w:rFonts w:ascii="Arial" w:cs="Arial" w:eastAsia="Arial" w:hAnsi="Arial"/>
          <w:sz w:val="20"/>
          <w:szCs w:val="20"/>
          <w:color w:val="auto"/>
        </w:rPr>
      </w:pPr>
    </w:p>
    <w:p>
      <w:pPr>
        <w:ind w:left="1300" w:right="20" w:firstLine="436"/>
        <w:spacing w:after="0" w:line="260" w:lineRule="auto"/>
        <w:tabs>
          <w:tab w:leader="none" w:pos="2596" w:val="left"/>
        </w:tabs>
        <w:numPr>
          <w:ilvl w:val="1"/>
          <w:numId w:val="105"/>
        </w:numPr>
        <w:rPr>
          <w:rFonts w:ascii="Arial" w:cs="Arial" w:eastAsia="Arial" w:hAnsi="Arial"/>
          <w:sz w:val="20"/>
          <w:szCs w:val="20"/>
          <w:color w:val="auto"/>
        </w:rPr>
      </w:pPr>
      <w:r>
        <w:rPr>
          <w:rFonts w:ascii="Arial" w:cs="Arial" w:eastAsia="Arial" w:hAnsi="Arial"/>
          <w:sz w:val="20"/>
          <w:szCs w:val="20"/>
          <w:color w:val="auto"/>
        </w:rPr>
        <w:t>Claimant may not present in any legal action evidence not timely presented to the Plan Administrator as part of the Plan’s administrative review process.</w:t>
      </w:r>
    </w:p>
    <w:p>
      <w:pPr>
        <w:spacing w:after="0" w:line="200" w:lineRule="exact"/>
        <w:rPr>
          <w:sz w:val="20"/>
          <w:szCs w:val="20"/>
          <w:color w:val="auto"/>
        </w:rPr>
      </w:pPr>
    </w:p>
    <w:p>
      <w:pPr>
        <w:spacing w:after="0" w:line="260" w:lineRule="exact"/>
        <w:rPr>
          <w:sz w:val="20"/>
          <w:szCs w:val="20"/>
          <w:color w:val="auto"/>
        </w:rPr>
      </w:pPr>
    </w:p>
    <w:p>
      <w:pPr>
        <w:jc w:val="center"/>
        <w:ind w:left="1040"/>
        <w:spacing w:after="0"/>
        <w:rPr>
          <w:sz w:val="20"/>
          <w:szCs w:val="20"/>
          <w:color w:val="auto"/>
        </w:rPr>
      </w:pPr>
      <w:r>
        <w:rPr>
          <w:rFonts w:ascii="Arial" w:cs="Arial" w:eastAsia="Arial" w:hAnsi="Arial"/>
          <w:sz w:val="20"/>
          <w:szCs w:val="20"/>
          <w:color w:val="auto"/>
        </w:rPr>
        <w:t>ARTICLE VIII</w:t>
      </w:r>
    </w:p>
    <w:p>
      <w:pPr>
        <w:spacing w:after="0" w:line="256" w:lineRule="exact"/>
        <w:rPr>
          <w:sz w:val="20"/>
          <w:szCs w:val="20"/>
          <w:color w:val="auto"/>
        </w:rPr>
      </w:pPr>
    </w:p>
    <w:p>
      <w:pPr>
        <w:jc w:val="center"/>
        <w:ind w:left="1040"/>
        <w:spacing w:after="0"/>
        <w:rPr>
          <w:sz w:val="20"/>
          <w:szCs w:val="20"/>
          <w:color w:val="auto"/>
        </w:rPr>
      </w:pPr>
      <w:r>
        <w:rPr>
          <w:rFonts w:ascii="Arial" w:cs="Arial" w:eastAsia="Arial" w:hAnsi="Arial"/>
          <w:sz w:val="20"/>
          <w:szCs w:val="20"/>
          <w:color w:val="auto"/>
        </w:rPr>
        <w:t>MISCELLANEOUS</w:t>
      </w:r>
    </w:p>
    <w:p>
      <w:pPr>
        <w:spacing w:after="0" w:line="243" w:lineRule="exact"/>
        <w:rPr>
          <w:sz w:val="20"/>
          <w:szCs w:val="20"/>
          <w:color w:val="auto"/>
        </w:rPr>
      </w:pPr>
    </w:p>
    <w:p>
      <w:pPr>
        <w:jc w:val="both"/>
        <w:ind w:firstLine="729"/>
        <w:spacing w:after="0" w:line="250"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Amendment or Termination</w:t>
      </w:r>
      <w:r>
        <w:rPr>
          <w:rFonts w:ascii="Arial" w:cs="Arial" w:eastAsia="Arial" w:hAnsi="Arial"/>
          <w:sz w:val="20"/>
          <w:szCs w:val="20"/>
          <w:color w:val="auto"/>
        </w:rPr>
        <w:t>. The Corporation (through its Board of Directors or authorized officers or employees and/or the Compensation Committee) reserves the right to alter or amend the Plan, or any part thereof, in such manner as it may determine, at any time and for any reason. Further, the Board of Directors of the Corporation reserves the right to terminate the Plan, at any time and for any reason. Notwithstanding the foregoing, in no event shall any amendment or termination deprive any Participant or Beneficiary of any amounts credited to them under this Plan as of the date of such amendment or termination; provided, however, that the Corporation may prospectively change the manner in which earnings are credited or discontinue the crediting of earnings and, further, the Corporation may make any amendment it deems necessary or desirable for purposes of compliance with the requirements of Code Section 409A and regulations thereunder.</w:t>
      </w:r>
    </w:p>
    <w:p>
      <w:pPr>
        <w:spacing w:after="0" w:line="23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If the Plan is amended to freeze benefit accruals, no additional deferrals or contributions shall be credited to any Participant Account hereunder. Following such a freeze of benefit accruals, Participants’ Accounts shall be paid at such time and in such form as provided under Article VI of the Plan. If the Corporation terminates the Plan and if the termination is of the type described in regulations issued by the Internal Revenue Service pursuant to</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892" w:right="339" w:bottom="1440" w:gutter="0" w:footer="0" w:header="0"/>
        </w:sectPr>
      </w:pPr>
    </w:p>
    <w:bookmarkStart w:id="120" w:name="page121"/>
    <w:bookmarkEnd w:id="120"/>
    <w:p>
      <w:pPr>
        <w:jc w:val="both"/>
        <w:spacing w:after="0" w:line="273" w:lineRule="auto"/>
        <w:rPr>
          <w:sz w:val="20"/>
          <w:szCs w:val="20"/>
          <w:color w:val="auto"/>
        </w:rPr>
      </w:pPr>
      <w:r>
        <w:rPr>
          <w:rFonts w:ascii="Arial" w:cs="Arial" w:eastAsia="Arial" w:hAnsi="Arial"/>
          <w:sz w:val="19"/>
          <w:szCs w:val="19"/>
          <w:color w:val="auto"/>
        </w:rPr>
        <w:t>Code Section 409A, then the Corporation shall distribute the then existing Account balances of Participants and beneficiaries in a lump sum within the time period specified in such regulations and, following such distribution, there shall be no further obligation to any Participant or beneficiary under this Plan. However, if the termination is not of the type described in such regulations, then following Plan termination Participants’ Accounts shall be paid at such time and in such form as provided under Article VI of the Plan.</w:t>
      </w:r>
    </w:p>
    <w:p>
      <w:pPr>
        <w:spacing w:after="0" w:line="194" w:lineRule="exact"/>
        <w:rPr>
          <w:sz w:val="20"/>
          <w:szCs w:val="20"/>
          <w:color w:val="auto"/>
        </w:rPr>
      </w:pPr>
    </w:p>
    <w:p>
      <w:pPr>
        <w:jc w:val="both"/>
        <w:ind w:right="20" w:firstLine="729"/>
        <w:spacing w:after="0" w:line="274"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Applicable Law</w:t>
      </w:r>
      <w:r>
        <w:rPr>
          <w:rFonts w:ascii="Arial" w:cs="Arial" w:eastAsia="Arial" w:hAnsi="Arial"/>
          <w:sz w:val="20"/>
          <w:szCs w:val="20"/>
          <w:color w:val="auto"/>
        </w:rPr>
        <w:t>. This Plan shall be governed by the laws of the State of Wisconsin, except to the extent preempted by the provisions of ERISA or other applicable federal law.</w:t>
      </w:r>
    </w:p>
    <w:p>
      <w:pPr>
        <w:spacing w:after="0" w:line="204" w:lineRule="exact"/>
        <w:rPr>
          <w:sz w:val="20"/>
          <w:szCs w:val="20"/>
          <w:color w:val="auto"/>
        </w:rPr>
      </w:pPr>
    </w:p>
    <w:p>
      <w:pPr>
        <w:jc w:val="both"/>
        <w:ind w:firstLine="729"/>
        <w:spacing w:after="0" w:line="268"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Relationship to Other Programs</w:t>
      </w:r>
      <w:r>
        <w:rPr>
          <w:rFonts w:ascii="Arial" w:cs="Arial" w:eastAsia="Arial" w:hAnsi="Arial"/>
          <w:sz w:val="19"/>
          <w:szCs w:val="19"/>
          <w:color w:val="auto"/>
        </w:rPr>
        <w:t>. Participation in the Plan shall not affect a Participant’s rights to participate in and receive benefits under any other plans of the Corporation, nor shall it affect the Participant’s rights under any other agreement entered into with the Corporation, unless expressly provided otherwise by such plan or agreement. Any amount credited under or paid pursuant to this Plan shall not be treated as wages, salary or any other type of compensation or otherwise taken into account in the determination of the Participant’s benefits under any other plans of the Corporation, unless expressly provided otherwise by such plan.</w:t>
      </w:r>
    </w:p>
    <w:p>
      <w:pPr>
        <w:spacing w:after="0" w:line="211" w:lineRule="exact"/>
        <w:rPr>
          <w:sz w:val="20"/>
          <w:szCs w:val="20"/>
          <w:color w:val="auto"/>
        </w:rPr>
      </w:pPr>
    </w:p>
    <w:p>
      <w:pPr>
        <w:jc w:val="both"/>
        <w:ind w:firstLine="729"/>
        <w:spacing w:after="0" w:line="257"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Non-Assignability by Participant</w:t>
      </w:r>
      <w:r>
        <w:rPr>
          <w:rFonts w:ascii="Arial" w:cs="Arial" w:eastAsia="Arial" w:hAnsi="Arial"/>
          <w:sz w:val="20"/>
          <w:szCs w:val="20"/>
          <w:color w:val="auto"/>
        </w:rPr>
        <w:t>. No Participant or Beneficiary shall have any right to commute, sell, assign, pledge, convey, or otherwise transfer any rights or claims to receive benefits hereunder, nor shall such rights or claims be subject to garnishment, attachment, execution or levy of any kind except to the extent otherwise required by law.</w:t>
      </w:r>
    </w:p>
    <w:p>
      <w:pPr>
        <w:spacing w:after="0" w:line="206" w:lineRule="exact"/>
        <w:rPr>
          <w:sz w:val="20"/>
          <w:szCs w:val="20"/>
          <w:color w:val="auto"/>
        </w:rPr>
      </w:pPr>
    </w:p>
    <w:p>
      <w:pPr>
        <w:jc w:val="both"/>
        <w:ind w:firstLine="729"/>
        <w:spacing w:after="0" w:line="264" w:lineRule="auto"/>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Status of Plan Under ERISA</w:t>
      </w:r>
      <w:r>
        <w:rPr>
          <w:rFonts w:ascii="Arial" w:cs="Arial" w:eastAsia="Arial" w:hAnsi="Arial"/>
          <w:sz w:val="20"/>
          <w:szCs w:val="20"/>
          <w:color w:val="auto"/>
        </w:rPr>
        <w:t>. The Plan is intended to be an unfunded plan maintained by the Corporation primarily for the purpose of providing deferred compensation for a select group of management or highly compensated employees, as described in Section 201(2), Section 301(a)(3), Section 401(a)(1) and Section 4021(b)(6) of ERISA.</w:t>
      </w:r>
    </w:p>
    <w:p>
      <w:pPr>
        <w:spacing w:after="0" w:line="200" w:lineRule="exact"/>
        <w:rPr>
          <w:sz w:val="20"/>
          <w:szCs w:val="20"/>
          <w:color w:val="auto"/>
        </w:rPr>
      </w:pPr>
    </w:p>
    <w:p>
      <w:pPr>
        <w:jc w:val="both"/>
        <w:ind w:firstLine="729"/>
        <w:spacing w:after="0" w:line="284"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Withholding</w:t>
      </w:r>
      <w:r>
        <w:rPr>
          <w:rFonts w:ascii="Arial" w:cs="Arial" w:eastAsia="Arial" w:hAnsi="Arial"/>
          <w:sz w:val="18"/>
          <w:szCs w:val="18"/>
          <w:color w:val="auto"/>
        </w:rPr>
        <w:t>. The Corporation shall comply with all applicable tax and governmental withholding requirements. If prior to the date of distribution of any amount hereunder, the Federal Insurance Contributions Act (FICA) tax imposed under Code Sections 3101, 3121(a) and 3121(v)(2), where applicable, becomes due, then the Corporation may distribute from the Participant’s Account balance (or from the deferrals prior to their being credited to the Account) the amount needed to pay the Participant’s portion of such tax, plus an amount equal to the withholding taxes due under federal, state or local law resulting from the payment of such FICA tax, and an additional amount to pay the additional income tax at source on wages attributable to the pyramiding of the Code Section 3401 wages and taxes, but no greater than the aggregate of the FICA tax amount and the income tax withholding related to such FICA tax amount.</w:t>
      </w:r>
    </w:p>
    <w:p>
      <w:pPr>
        <w:spacing w:after="0" w:line="189" w:lineRule="exact"/>
        <w:rPr>
          <w:sz w:val="20"/>
          <w:szCs w:val="20"/>
          <w:color w:val="auto"/>
        </w:rPr>
      </w:pPr>
    </w:p>
    <w:p>
      <w:pPr>
        <w:jc w:val="both"/>
        <w:ind w:firstLine="729"/>
        <w:spacing w:after="0" w:line="255"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No Right to Continued Employment</w:t>
      </w:r>
      <w:r>
        <w:rPr>
          <w:rFonts w:ascii="Arial" w:cs="Arial" w:eastAsia="Arial" w:hAnsi="Arial"/>
          <w:sz w:val="20"/>
          <w:szCs w:val="20"/>
          <w:color w:val="auto"/>
        </w:rPr>
        <w:t>. Neither participation in this Plan, nor the payment of any benefit hereunder, shall be construed as giving to a Participant any right to be retained in the service of the Corporation, or limiting in any way the right of the Corporation to terminate the Participant’s service at any time. Nor does participation in this Plan guarantee the Participant the right to be continued in service in any particular position or at any particular rate of compensation.</w:t>
      </w:r>
    </w:p>
    <w:p>
      <w:pPr>
        <w:spacing w:after="0" w:line="224" w:lineRule="exact"/>
        <w:rPr>
          <w:sz w:val="20"/>
          <w:szCs w:val="20"/>
          <w:color w:val="auto"/>
        </w:rPr>
      </w:pPr>
    </w:p>
    <w:p>
      <w:pPr>
        <w:jc w:val="both"/>
        <w:ind w:firstLine="729"/>
        <w:spacing w:after="0" w:line="286"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Assignability by Corporation</w:t>
      </w:r>
      <w:r>
        <w:rPr>
          <w:rFonts w:ascii="Arial" w:cs="Arial" w:eastAsia="Arial" w:hAnsi="Arial"/>
          <w:sz w:val="18"/>
          <w:szCs w:val="18"/>
          <w:color w:val="auto"/>
        </w:rPr>
        <w:t>. The Corporation shall have the right to assign all of its right, title and obligation in and under this Plan upon a merger or consolidation in which the Corporation is not the surviving entity or to the purchaser of substantially its entire business or assets or the business or assets pertaining to a major product line, provided such assignee or purchaser assumes and agrees to perform after the effective date of such assignment all of the terms, conditions and provisions imposed by this Plan upon the Corporation. Upon such assignment, all of the rights, as well as all obligations, of the Corporation under this Plan shall thereupon cease and terminate.</w:t>
      </w:r>
    </w:p>
    <w:p>
      <w:pPr>
        <w:spacing w:after="0" w:line="198" w:lineRule="exact"/>
        <w:rPr>
          <w:sz w:val="20"/>
          <w:szCs w:val="20"/>
          <w:color w:val="auto"/>
        </w:rPr>
      </w:pPr>
    </w:p>
    <w:p>
      <w:pPr>
        <w:jc w:val="both"/>
        <w:ind w:firstLine="729"/>
        <w:spacing w:after="0" w:line="257" w:lineRule="auto"/>
        <w:rPr>
          <w:sz w:val="20"/>
          <w:szCs w:val="20"/>
          <w:color w:val="auto"/>
        </w:rPr>
      </w:pPr>
      <w:r>
        <w:rPr>
          <w:rFonts w:ascii="Arial" w:cs="Arial" w:eastAsia="Arial" w:hAnsi="Arial"/>
          <w:sz w:val="20"/>
          <w:szCs w:val="20"/>
          <w:color w:val="auto"/>
        </w:rPr>
        <w:t xml:space="preserve">8.9 </w:t>
      </w:r>
      <w:r>
        <w:rPr>
          <w:rFonts w:ascii="Arial" w:cs="Arial" w:eastAsia="Arial" w:hAnsi="Arial"/>
          <w:sz w:val="20"/>
          <w:szCs w:val="20"/>
          <w:u w:val="single" w:color="auto"/>
          <w:color w:val="auto"/>
        </w:rPr>
        <w:t>Unsecured Claim; Grantor Trust</w:t>
      </w:r>
      <w:r>
        <w:rPr>
          <w:rFonts w:ascii="Arial" w:cs="Arial" w:eastAsia="Arial" w:hAnsi="Arial"/>
          <w:sz w:val="20"/>
          <w:szCs w:val="20"/>
          <w:color w:val="auto"/>
        </w:rPr>
        <w:t>. The right of a Participant to receive payment hereunder shall be an unsecured claim against the general assets of the Corporation, and no provisions contained herein, nor any action taken hereunder shall be construed to give any individual at any time a security interest in any asset of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892" w:right="339" w:bottom="1440" w:gutter="0" w:footer="0" w:header="0"/>
        </w:sectPr>
      </w:pPr>
    </w:p>
    <w:bookmarkStart w:id="121" w:name="page122"/>
    <w:bookmarkEnd w:id="121"/>
    <w:p>
      <w:pPr>
        <w:jc w:val="both"/>
        <w:spacing w:after="0" w:line="255" w:lineRule="auto"/>
        <w:rPr>
          <w:sz w:val="20"/>
          <w:szCs w:val="20"/>
          <w:color w:val="auto"/>
        </w:rPr>
      </w:pPr>
      <w:r>
        <w:rPr>
          <w:rFonts w:ascii="Arial" w:cs="Arial" w:eastAsia="Arial" w:hAnsi="Arial"/>
          <w:sz w:val="20"/>
          <w:szCs w:val="20"/>
          <w:color w:val="auto"/>
        </w:rPr>
        <w:t>Corporation, of any affiliated corporation, or of the stockholders of the Corporation. The liabilities of the Corporation to a Participant hereunder shall be those of a debtor pursuant to such contractual obligations as are created hereunder and to the extent any person acquires a right to receive payment from the Corporation hereunder, such right shall be no greater than the right of any unsecured general creditor of the Corporation.</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20"/>
          <w:szCs w:val="20"/>
          <w:color w:val="auto"/>
        </w:rPr>
        <w:t>The Corporation may establish a grantor trust (but shall not be required to do so) to which the Corporation may in its discretion contribute (subject to the claims of the general creditors of the Corporation) the amounts credited to the Account. If a grantor trust is so established, payment by the trust of the amounts due the Participant or their Beneficiary hereunder shall be considered a payment by the Corporation for purposes of this Plan.</w:t>
      </w:r>
    </w:p>
    <w:p>
      <w:pPr>
        <w:spacing w:after="0" w:line="224" w:lineRule="exact"/>
        <w:rPr>
          <w:sz w:val="20"/>
          <w:szCs w:val="20"/>
          <w:color w:val="auto"/>
        </w:rPr>
      </w:pPr>
    </w:p>
    <w:p>
      <w:pPr>
        <w:jc w:val="both"/>
        <w:ind w:firstLine="729"/>
        <w:spacing w:after="0" w:line="260" w:lineRule="auto"/>
        <w:rPr>
          <w:sz w:val="20"/>
          <w:szCs w:val="20"/>
          <w:color w:val="auto"/>
        </w:rPr>
      </w:pPr>
      <w:r>
        <w:rPr>
          <w:rFonts w:ascii="Arial" w:cs="Arial" w:eastAsia="Arial" w:hAnsi="Arial"/>
          <w:sz w:val="20"/>
          <w:szCs w:val="20"/>
          <w:color w:val="auto"/>
        </w:rPr>
        <w:t xml:space="preserve">8.10 </w:t>
      </w:r>
      <w:r>
        <w:rPr>
          <w:rFonts w:ascii="Arial" w:cs="Arial" w:eastAsia="Arial" w:hAnsi="Arial"/>
          <w:sz w:val="20"/>
          <w:szCs w:val="20"/>
          <w:u w:val="single" w:color="auto"/>
          <w:color w:val="auto"/>
        </w:rPr>
        <w:t>Notices or Filings</w:t>
      </w:r>
      <w:r>
        <w:rPr>
          <w:rFonts w:ascii="Arial" w:cs="Arial" w:eastAsia="Arial" w:hAnsi="Arial"/>
          <w:sz w:val="20"/>
          <w:szCs w:val="20"/>
          <w:color w:val="auto"/>
        </w:rPr>
        <w:t>. Any notice or filing required or permitted to be given to the Administrator hereunder shall be sufficient if in writing and hand-delivered, or sent by registered or certified mail, to the address below:</w:t>
      </w:r>
    </w:p>
    <w:p>
      <w:pPr>
        <w:spacing w:after="0" w:line="21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Corporate Treasurer</w:t>
      </w:r>
    </w:p>
    <w:p>
      <w:pPr>
        <w:spacing w:after="0" w:line="2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Brady Corporation</w:t>
      </w:r>
    </w:p>
    <w:p>
      <w:pPr>
        <w:spacing w:after="0" w:line="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P.O. Box 571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Milwaukee, WI 53201-0571</w:t>
      </w:r>
    </w:p>
    <w:p>
      <w:pPr>
        <w:spacing w:after="0" w:line="23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0"/>
          <w:szCs w:val="20"/>
          <w:color w:val="auto"/>
        </w:rPr>
        <w:t>Such notice shall be deemed given as of the date of delivery or, if delivery is made by mail, as of the date shown on the postmark on the receipt for registration or certification.</w:t>
      </w:r>
    </w:p>
    <w:p>
      <w:pPr>
        <w:spacing w:after="0" w:line="20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Any notice or filing required or permitted to be given to a Participant hereunder shall be sufficient if in writing and hand-delivered, or sent by mail, to the last known address of the Participant.</w:t>
      </w:r>
    </w:p>
    <w:p>
      <w:pPr>
        <w:spacing w:after="0" w:line="217" w:lineRule="exact"/>
        <w:rPr>
          <w:sz w:val="20"/>
          <w:szCs w:val="20"/>
          <w:color w:val="auto"/>
        </w:rPr>
      </w:pPr>
    </w:p>
    <w:p>
      <w:pPr>
        <w:jc w:val="both"/>
        <w:ind w:firstLine="729"/>
        <w:spacing w:after="0" w:line="260" w:lineRule="auto"/>
        <w:rPr>
          <w:sz w:val="20"/>
          <w:szCs w:val="20"/>
          <w:color w:val="auto"/>
        </w:rPr>
      </w:pPr>
      <w:r>
        <w:rPr>
          <w:rFonts w:ascii="Arial" w:cs="Arial" w:eastAsia="Arial" w:hAnsi="Arial"/>
          <w:sz w:val="20"/>
          <w:szCs w:val="20"/>
          <w:color w:val="auto"/>
        </w:rPr>
        <w:t xml:space="preserve">8.11 </w:t>
      </w:r>
      <w:r>
        <w:rPr>
          <w:rFonts w:ascii="Arial" w:cs="Arial" w:eastAsia="Arial" w:hAnsi="Arial"/>
          <w:sz w:val="20"/>
          <w:szCs w:val="20"/>
          <w:u w:val="single" w:color="auto"/>
          <w:color w:val="auto"/>
        </w:rPr>
        <w:t>Special rules for 2005-2007</w:t>
      </w:r>
      <w:r>
        <w:rPr>
          <w:rFonts w:ascii="Arial" w:cs="Arial" w:eastAsia="Arial" w:hAnsi="Arial"/>
          <w:sz w:val="20"/>
          <w:szCs w:val="20"/>
          <w:color w:val="auto"/>
        </w:rPr>
        <w:t>. Notwithstanding the usual rules required regarding the deferral elections and distribution elections:</w:t>
      </w:r>
    </w:p>
    <w:p>
      <w:pPr>
        <w:spacing w:after="0" w:line="217" w:lineRule="exact"/>
        <w:rPr>
          <w:sz w:val="20"/>
          <w:szCs w:val="20"/>
          <w:color w:val="auto"/>
        </w:rPr>
      </w:pPr>
    </w:p>
    <w:p>
      <w:pPr>
        <w:jc w:val="both"/>
        <w:ind w:left="660" w:firstLine="725"/>
        <w:spacing w:after="0" w:line="299" w:lineRule="auto"/>
        <w:tabs>
          <w:tab w:leader="none" w:pos="19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Participant may on or before March 15, 2005 make a new deferral election to apply to amounts which would otherwise be paid in calendar year 2005; provided that such amounts have not been paid or become payable at the time of the election. Such election shall remain in effect for future years until modified pursuant to Section 3.3(a) and/or (b), as the case may be.</w:t>
      </w:r>
    </w:p>
    <w:p>
      <w:pPr>
        <w:spacing w:after="0" w:line="184" w:lineRule="exact"/>
        <w:rPr>
          <w:rFonts w:ascii="Arial" w:cs="Arial" w:eastAsia="Arial" w:hAnsi="Arial"/>
          <w:sz w:val="18"/>
          <w:szCs w:val="18"/>
          <w:color w:val="auto"/>
        </w:rPr>
      </w:pPr>
    </w:p>
    <w:p>
      <w:pPr>
        <w:jc w:val="both"/>
        <w:ind w:left="660" w:firstLine="725"/>
        <w:spacing w:after="0" w:line="282" w:lineRule="auto"/>
        <w:tabs>
          <w:tab w:leader="none" w:pos="194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 or before December 31, 2007, a Participant may make an election as to distribution of their Account from among the choices described at Section 6.1 hereof without complying with the rules described in Section 6.2 hereof as long as the effect of the election is not to accelerate payments into 2006 or to defer payments which would otherwise have been made in 2006, and as long as the effect of the election is not to accelerate the payments into 2007 or to defer payments which would otherwise have been made in 2007. Such election shall become effective after the last day upon which it is permitted to be made. However, in order to subsequently change such special election after December 31, 2007, the requirements of Section 6.2 hereof must be satisfied. (This election will not apply to distribution of the Participant’s accounts holding amounts earned and vested prior to January 1, 2005, if any, (and earnings credited thereon) since such accounts are not governed by this document but are governed by the Frozen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892" w:right="339" w:bottom="1440" w:gutter="0" w:footer="0" w:header="0"/>
        </w:sectPr>
      </w:pPr>
    </w:p>
    <w:bookmarkStart w:id="122" w:name="page123"/>
    <w:bookmarkEnd w:id="122"/>
    <w:p>
      <w:pPr>
        <w:ind w:firstLine="648"/>
        <w:spacing w:after="0" w:line="274" w:lineRule="auto"/>
        <w:rPr>
          <w:sz w:val="20"/>
          <w:szCs w:val="20"/>
          <w:color w:val="auto"/>
        </w:rPr>
      </w:pPr>
      <w:r>
        <w:rPr>
          <w:rFonts w:ascii="Arial" w:cs="Arial" w:eastAsia="Arial" w:hAnsi="Arial"/>
          <w:sz w:val="20"/>
          <w:szCs w:val="20"/>
          <w:color w:val="auto"/>
        </w:rPr>
        <w:t>IN WITNESS WHEREOF, the Corporation has caused its duly authorized officer to execute this Plan document on its behalf as of the 5th day of September, 2023.</w:t>
      </w:r>
    </w:p>
    <w:p>
      <w:pPr>
        <w:spacing w:after="0" w:line="231"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BRADY CORPORATION</w:t>
      </w:r>
    </w:p>
    <w:p>
      <w:pPr>
        <w:spacing w:after="0" w:line="200" w:lineRule="exact"/>
        <w:rPr>
          <w:sz w:val="20"/>
          <w:szCs w:val="20"/>
          <w:color w:val="auto"/>
        </w:rPr>
      </w:pPr>
    </w:p>
    <w:p>
      <w:pPr>
        <w:spacing w:after="0" w:line="367" w:lineRule="exact"/>
        <w:rPr>
          <w:sz w:val="20"/>
          <w:szCs w:val="20"/>
          <w:color w:val="auto"/>
        </w:rPr>
      </w:pPr>
    </w:p>
    <w:p>
      <w:pPr>
        <w:ind w:left="5060"/>
        <w:spacing w:after="0"/>
        <w:tabs>
          <w:tab w:leader="none" w:pos="5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19050</wp:posOffset>
            </wp:positionV>
            <wp:extent cx="34290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5">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4" w:lineRule="exact"/>
        <w:rPr>
          <w:sz w:val="20"/>
          <w:szCs w:val="20"/>
          <w:color w:val="auto"/>
        </w:rPr>
      </w:pPr>
    </w:p>
    <w:p>
      <w:pPr>
        <w:ind w:left="5060"/>
        <w:spacing w:after="0"/>
        <w:tabs>
          <w:tab w:leader="none" w:pos="5840" w:val="left"/>
        </w:tabs>
        <w:rPr>
          <w:sz w:val="20"/>
          <w:szCs w:val="20"/>
          <w:color w:val="auto"/>
        </w:rPr>
      </w:pPr>
      <w:r>
        <w:rPr>
          <w:rFonts w:ascii="Arial" w:cs="Arial" w:eastAsia="Arial" w:hAnsi="Arial"/>
          <w:sz w:val="20"/>
          <w:szCs w:val="20"/>
          <w:color w:val="auto"/>
        </w:rPr>
        <w:t>Attest:</w:t>
        <w:tab/>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19050</wp:posOffset>
            </wp:positionV>
            <wp:extent cx="34290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892"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2"/>
          </w:tcPr>
          <w:p>
            <w:pPr>
              <w:ind w:left="1000"/>
              <w:spacing w:after="0"/>
              <w:rPr>
                <w:sz w:val="20"/>
                <w:szCs w:val="20"/>
                <w:color w:val="auto"/>
              </w:rPr>
            </w:pPr>
            <w:r>
              <w:rPr>
                <w:rFonts w:ascii="Arial" w:cs="Arial" w:eastAsia="Arial" w:hAnsi="Arial"/>
                <w:sz w:val="18"/>
                <w:szCs w:val="18"/>
                <w:b w:val="1"/>
                <w:bCs w:val="1"/>
                <w:color w:val="auto"/>
              </w:rPr>
              <w:t>EXHIBIT 21</w:t>
            </w:r>
          </w:p>
        </w:tc>
      </w:tr>
      <w:tr>
        <w:trPr>
          <w:trHeight w:val="562"/>
        </w:trPr>
        <w:tc>
          <w:tcPr>
            <w:tcW w:w="2920" w:type="dxa"/>
            <w:vAlign w:val="bottom"/>
          </w:tcPr>
          <w:p>
            <w:pPr>
              <w:spacing w:after="0"/>
              <w:rPr>
                <w:sz w:val="24"/>
                <w:szCs w:val="24"/>
                <w:color w:val="auto"/>
              </w:rPr>
            </w:pPr>
          </w:p>
        </w:tc>
        <w:tc>
          <w:tcPr>
            <w:tcW w:w="6320" w:type="dxa"/>
            <w:vAlign w:val="bottom"/>
            <w:gridSpan w:val="4"/>
          </w:tcPr>
          <w:p>
            <w:pPr>
              <w:jc w:val="center"/>
              <w:ind w:right="900"/>
              <w:spacing w:after="0"/>
              <w:rPr>
                <w:sz w:val="20"/>
                <w:szCs w:val="20"/>
                <w:color w:val="auto"/>
              </w:rPr>
            </w:pPr>
            <w:r>
              <w:rPr>
                <w:rFonts w:ascii="Arial" w:cs="Arial" w:eastAsia="Arial" w:hAnsi="Arial"/>
                <w:sz w:val="18"/>
                <w:szCs w:val="18"/>
                <w:b w:val="1"/>
                <w:bCs w:val="1"/>
                <w:color w:val="auto"/>
                <w:w w:val="99"/>
              </w:rPr>
              <w:t>SCHEDULE OF SUBSIDIARIES OF BRADY CORPORATION</w:t>
            </w:r>
          </w:p>
        </w:tc>
        <w:tc>
          <w:tcPr>
            <w:tcW w:w="1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2920" w:type="dxa"/>
            <w:vAlign w:val="bottom"/>
          </w:tcPr>
          <w:p>
            <w:pPr>
              <w:spacing w:after="0"/>
              <w:rPr>
                <w:sz w:val="20"/>
                <w:szCs w:val="20"/>
                <w:color w:val="auto"/>
              </w:rPr>
            </w:pPr>
          </w:p>
        </w:tc>
        <w:tc>
          <w:tcPr>
            <w:tcW w:w="6320" w:type="dxa"/>
            <w:vAlign w:val="bottom"/>
            <w:gridSpan w:val="4"/>
          </w:tcPr>
          <w:p>
            <w:pPr>
              <w:jc w:val="center"/>
              <w:ind w:right="920"/>
              <w:spacing w:after="0"/>
              <w:rPr>
                <w:sz w:val="20"/>
                <w:szCs w:val="20"/>
                <w:color w:val="auto"/>
              </w:rPr>
            </w:pPr>
            <w:r>
              <w:rPr>
                <w:rFonts w:ascii="Arial" w:cs="Arial" w:eastAsia="Arial" w:hAnsi="Arial"/>
                <w:sz w:val="18"/>
                <w:szCs w:val="18"/>
                <w:b w:val="1"/>
                <w:bCs w:val="1"/>
                <w:color w:val="auto"/>
                <w:w w:val="89"/>
              </w:rPr>
              <w:t>July 31, 2023</w:t>
            </w:r>
          </w:p>
        </w:tc>
        <w:tc>
          <w:tcPr>
            <w:tcW w:w="19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80"/>
        </w:trPr>
        <w:tc>
          <w:tcPr>
            <w:tcW w:w="29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b w:val="1"/>
                <w:bCs w:val="1"/>
                <w:i w:val="1"/>
                <w:iCs w:val="1"/>
                <w:color w:val="auto"/>
                <w:w w:val="89"/>
              </w:rPr>
              <w:t>State (Country)</w:t>
            </w:r>
          </w:p>
        </w:tc>
        <w:tc>
          <w:tcPr>
            <w:tcW w:w="2000" w:type="dxa"/>
            <w:vAlign w:val="bottom"/>
            <w:gridSpan w:val="2"/>
          </w:tcPr>
          <w:p>
            <w:pPr>
              <w:jc w:val="center"/>
              <w:ind w:right="40"/>
              <w:spacing w:after="0"/>
              <w:rPr>
                <w:sz w:val="20"/>
                <w:szCs w:val="20"/>
                <w:color w:val="auto"/>
              </w:rPr>
            </w:pPr>
            <w:r>
              <w:rPr>
                <w:rFonts w:ascii="Arial" w:cs="Arial" w:eastAsia="Arial" w:hAnsi="Arial"/>
                <w:sz w:val="16"/>
                <w:szCs w:val="16"/>
                <w:b w:val="1"/>
                <w:bCs w:val="1"/>
                <w:i w:val="1"/>
                <w:iCs w:val="1"/>
                <w:color w:val="auto"/>
                <w:w w:val="87"/>
              </w:rPr>
              <w:t>Percentage of Voting</w:t>
            </w:r>
          </w:p>
        </w:tc>
      </w:tr>
      <w:tr>
        <w:trPr>
          <w:trHeight w:val="21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Name of Company</w:t>
            </w:r>
          </w:p>
        </w:tc>
        <w:tc>
          <w:tcPr>
            <w:tcW w:w="40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91"/>
              </w:rPr>
              <w:t>of Incorporation</w:t>
            </w:r>
          </w:p>
        </w:tc>
        <w:tc>
          <w:tcPr>
            <w:tcW w:w="14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i w:val="1"/>
                <w:iCs w:val="1"/>
                <w:color w:val="auto"/>
                <w:w w:val="86"/>
              </w:rPr>
              <w:t>Securities Owned</w:t>
            </w:r>
          </w:p>
        </w:tc>
        <w:tc>
          <w:tcPr>
            <w:tcW w:w="40" w:type="dxa"/>
            <w:vAlign w:val="bottom"/>
          </w:tcPr>
          <w:p>
            <w:pPr>
              <w:spacing w:after="0"/>
              <w:rPr>
                <w:sz w:val="19"/>
                <w:szCs w:val="19"/>
                <w:color w:val="auto"/>
              </w:rPr>
            </w:pPr>
          </w:p>
        </w:tc>
      </w:tr>
      <w:tr>
        <w:trPr>
          <w:trHeight w:val="21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Corporation</w:t>
            </w:r>
          </w:p>
        </w:tc>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Wisconsin</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4"/>
              </w:rPr>
              <w:t>Parent</w:t>
            </w:r>
          </w:p>
        </w:tc>
        <w:tc>
          <w:tcPr>
            <w:tcW w:w="40" w:type="dxa"/>
            <w:vAlign w:val="bottom"/>
          </w:tcPr>
          <w:p>
            <w:pPr>
              <w:spacing w:after="0"/>
              <w:rPr>
                <w:sz w:val="18"/>
                <w:szCs w:val="18"/>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AIO Acquisition Inc.</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Arial" w:cs="Arial" w:eastAsia="Arial" w:hAnsi="Arial"/>
                <w:sz w:val="16"/>
                <w:szCs w:val="16"/>
                <w:color w:val="auto"/>
              </w:rPr>
              <w:t>All-In-One Products</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Personnel Concepts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Brady Holdings Mexico LLC</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The Code Corporation</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1"/>
              </w:rPr>
              <w:t>Delaware</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Tricor Direct, Inc.</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Arial" w:cs="Arial" w:eastAsia="Arial" w:hAnsi="Arial"/>
                <w:sz w:val="16"/>
                <w:szCs w:val="16"/>
                <w:color w:val="auto"/>
              </w:rPr>
              <w:t>Champion America</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Clement Communications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Arial" w:cs="Arial" w:eastAsia="Arial" w:hAnsi="Arial"/>
                <w:sz w:val="16"/>
                <w:szCs w:val="16"/>
                <w:color w:val="auto"/>
              </w:rPr>
              <w:t>Emedco</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Seton</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Worldmark of Wisconsin Inc.</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Delaware</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International Co.</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3"/>
              </w:rPr>
              <w:t>Wisconsin</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Brady Worldwide, Inc.</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color w:val="auto"/>
                <w:w w:val="93"/>
              </w:rPr>
              <w:t>Wisconsin</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Arial" w:cs="Arial" w:eastAsia="Arial" w:hAnsi="Arial"/>
                <w:sz w:val="16"/>
                <w:szCs w:val="16"/>
                <w:color w:val="auto"/>
              </w:rPr>
              <w:t>Electromark</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Nordic ID</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Arial" w:cs="Arial" w:eastAsia="Arial" w:hAnsi="Arial"/>
                <w:sz w:val="16"/>
                <w:szCs w:val="16"/>
                <w:color w:val="auto"/>
              </w:rPr>
              <w:t>Sorbent Products Company</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TISCOR</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Precision Dynamics Corporation</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California</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Arial" w:cs="Arial" w:eastAsia="Arial" w:hAnsi="Arial"/>
                <w:sz w:val="16"/>
                <w:szCs w:val="16"/>
                <w:color w:val="auto"/>
              </w:rPr>
              <w:t>Brady People ID</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Dual Core</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Arial" w:cs="Arial" w:eastAsia="Arial" w:hAnsi="Arial"/>
                <w:sz w:val="16"/>
                <w:szCs w:val="16"/>
                <w:color w:val="auto"/>
              </w:rPr>
              <w:t>PDC</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IDenticard</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Arial" w:cs="Arial" w:eastAsia="Arial" w:hAnsi="Arial"/>
                <w:sz w:val="16"/>
                <w:szCs w:val="16"/>
                <w:color w:val="auto"/>
              </w:rPr>
              <w:t>PDC IDenticard</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Pharmex</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Arial" w:cs="Arial" w:eastAsia="Arial" w:hAnsi="Arial"/>
                <w:sz w:val="16"/>
                <w:szCs w:val="16"/>
                <w:color w:val="auto"/>
              </w:rPr>
              <w:t>PromoVision</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TimeMed Labeling Systems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6"/>
        </w:trPr>
        <w:tc>
          <w:tcPr>
            <w:tcW w:w="2920" w:type="dxa"/>
            <w:vAlign w:val="bottom"/>
          </w:tcPr>
          <w:p>
            <w:pPr>
              <w:ind w:left="20"/>
              <w:spacing w:after="0"/>
              <w:rPr>
                <w:sz w:val="20"/>
                <w:szCs w:val="20"/>
                <w:color w:val="auto"/>
              </w:rPr>
            </w:pPr>
            <w:r>
              <w:rPr>
                <w:rFonts w:ascii="Arial" w:cs="Arial" w:eastAsia="Arial" w:hAnsi="Arial"/>
                <w:sz w:val="16"/>
                <w:szCs w:val="16"/>
                <w:color w:val="auto"/>
              </w:rPr>
              <w:t>Magicard US, Inc.</w:t>
            </w:r>
          </w:p>
        </w:tc>
        <w:tc>
          <w:tcPr>
            <w:tcW w:w="4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Washington</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9"/>
                <w:szCs w:val="19"/>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Australia Holdings Pty. Ltd.</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Australia</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Brady Australia Pty. Ltd.</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Australia</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Arial" w:cs="Arial" w:eastAsia="Arial" w:hAnsi="Arial"/>
                <w:sz w:val="16"/>
                <w:szCs w:val="16"/>
                <w:color w:val="auto"/>
              </w:rPr>
              <w:t>ID Card Printers</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ID Warehouse</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Arial" w:cs="Arial" w:eastAsia="Arial" w:hAnsi="Arial"/>
                <w:sz w:val="16"/>
                <w:szCs w:val="16"/>
                <w:color w:val="auto"/>
              </w:rPr>
              <w:t>ID Wholesaler</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IDW Technologies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Arial" w:cs="Arial" w:eastAsia="Arial" w:hAnsi="Arial"/>
                <w:sz w:val="16"/>
                <w:szCs w:val="16"/>
                <w:color w:val="auto"/>
              </w:rPr>
              <w:t>OZ-ID Identification Products</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Safety Signs Service</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Arial" w:cs="Arial" w:eastAsia="Arial" w:hAnsi="Arial"/>
                <w:sz w:val="16"/>
                <w:szCs w:val="16"/>
                <w:color w:val="auto"/>
              </w:rPr>
              <w:t>Scafftag Australia</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Seton Australia</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760"/>
              <w:spacing w:after="0"/>
              <w:rPr>
                <w:sz w:val="20"/>
                <w:szCs w:val="20"/>
                <w:color w:val="auto"/>
              </w:rPr>
            </w:pPr>
            <w:r>
              <w:rPr>
                <w:rFonts w:ascii="Arial" w:cs="Arial" w:eastAsia="Arial" w:hAnsi="Arial"/>
                <w:sz w:val="16"/>
                <w:szCs w:val="16"/>
                <w:color w:val="auto"/>
              </w:rPr>
              <w:t>Trafalgar First Aid</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Visisign</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Carroll Australasia Pty. Ltd.</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Australia</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Precision Dynamics Europe SRL</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6"/>
              </w:rPr>
              <w:t>Belgium</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W.H. Brady N.V.</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Belgium</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W.H.B. do Brasil Ltda.</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9"/>
              </w:rPr>
              <w:t>Brazil</w:t>
            </w:r>
          </w:p>
        </w:tc>
        <w:tc>
          <w:tcPr>
            <w:tcW w:w="1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9"/>
                <w:szCs w:val="19"/>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W.H.B. Identification Solutions Inc.</w:t>
            </w: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2"/>
          </w:tcPr>
          <w:p>
            <w:pPr>
              <w:jc w:val="center"/>
              <w:ind w:right="140"/>
              <w:spacing w:after="0"/>
              <w:rPr>
                <w:sz w:val="20"/>
                <w:szCs w:val="20"/>
                <w:color w:val="auto"/>
              </w:rPr>
            </w:pPr>
            <w:r>
              <w:rPr>
                <w:rFonts w:ascii="Arial" w:cs="Arial" w:eastAsia="Arial" w:hAnsi="Arial"/>
                <w:sz w:val="16"/>
                <w:szCs w:val="16"/>
                <w:color w:val="auto"/>
                <w:w w:val="85"/>
              </w:rPr>
              <w:t>Canada</w:t>
            </w:r>
          </w:p>
        </w:tc>
        <w:tc>
          <w:tcPr>
            <w:tcW w:w="1960" w:type="dxa"/>
            <w:vAlign w:val="bottom"/>
          </w:tcPr>
          <w:p>
            <w:pPr>
              <w:jc w:val="center"/>
              <w:spacing w:after="0"/>
              <w:rPr>
                <w:sz w:val="20"/>
                <w:szCs w:val="20"/>
                <w:color w:val="auto"/>
              </w:rPr>
            </w:pPr>
            <w:r>
              <w:rPr>
                <w:rFonts w:ascii="Arial" w:cs="Arial" w:eastAsia="Arial" w:hAnsi="Arial"/>
                <w:sz w:val="16"/>
                <w:szCs w:val="16"/>
                <w:color w:val="auto"/>
                <w:w w:val="87"/>
              </w:rPr>
              <w:t>100%</w:t>
            </w:r>
          </w:p>
        </w:tc>
        <w:tc>
          <w:tcPr>
            <w:tcW w:w="40" w:type="dxa"/>
            <w:vAlign w:val="bottom"/>
          </w:tcPr>
          <w:p>
            <w:pPr>
              <w:spacing w:after="0"/>
              <w:rPr>
                <w:sz w:val="18"/>
                <w:szCs w:val="18"/>
                <w:color w:val="auto"/>
              </w:rPr>
            </w:pPr>
          </w:p>
        </w:tc>
      </w:tr>
      <w:tr>
        <w:trPr>
          <w:trHeight w:val="219"/>
        </w:trPr>
        <w:tc>
          <w:tcPr>
            <w:tcW w:w="29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bl>
    <w:p>
      <w:pPr>
        <w:sectPr>
          <w:pgSz w:w="11900" w:h="16838" w:orient="portrait"/>
          <w:cols w:equalWidth="0" w:num="1">
            <w:col w:w="11240"/>
          </w:cols>
          <w:pgMar w:left="320" w:top="1242" w:right="33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80" w:type="dxa"/>
            <w:vAlign w:val="bottom"/>
          </w:tcPr>
          <w:p>
            <w:pPr>
              <w:ind w:left="760"/>
              <w:spacing w:after="0"/>
              <w:rPr>
                <w:sz w:val="20"/>
                <w:szCs w:val="20"/>
                <w:color w:val="auto"/>
              </w:rPr>
            </w:pPr>
            <w:r>
              <w:rPr>
                <w:rFonts w:ascii="Arial" w:cs="Arial" w:eastAsia="Arial" w:hAnsi="Arial"/>
                <w:sz w:val="16"/>
                <w:szCs w:val="16"/>
                <w:color w:val="auto"/>
              </w:rPr>
              <w:t>Brady</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2"/>
        </w:trPr>
        <w:tc>
          <w:tcPr>
            <w:tcW w:w="55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Identicam Systems</w:t>
            </w:r>
          </w:p>
        </w:tc>
        <w:tc>
          <w:tcPr>
            <w:tcW w:w="37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r>
      <w:tr>
        <w:trPr>
          <w:trHeight w:val="213"/>
        </w:trPr>
        <w:tc>
          <w:tcPr>
            <w:tcW w:w="5580" w:type="dxa"/>
            <w:vAlign w:val="bottom"/>
          </w:tcPr>
          <w:p>
            <w:pPr>
              <w:ind w:left="760"/>
              <w:spacing w:after="0"/>
              <w:rPr>
                <w:sz w:val="20"/>
                <w:szCs w:val="20"/>
                <w:color w:val="auto"/>
              </w:rPr>
            </w:pPr>
            <w:r>
              <w:rPr>
                <w:rFonts w:ascii="Arial" w:cs="Arial" w:eastAsia="Arial" w:hAnsi="Arial"/>
                <w:sz w:val="16"/>
                <w:szCs w:val="16"/>
                <w:color w:val="auto"/>
              </w:rPr>
              <w:t>IDenticard</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5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PDC</w:t>
            </w:r>
          </w:p>
        </w:tc>
        <w:tc>
          <w:tcPr>
            <w:tcW w:w="37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Arial" w:cs="Arial" w:eastAsia="Arial" w:hAnsi="Arial"/>
                <w:sz w:val="16"/>
                <w:szCs w:val="16"/>
                <w:color w:val="auto"/>
              </w:rPr>
              <w:t>Seton</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(Beijing) Co. Ltd.</w:t>
            </w:r>
          </w:p>
        </w:tc>
        <w:tc>
          <w:tcPr>
            <w:tcW w:w="372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90"/>
              </w:rPr>
              <w:t>China</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(Xiamen) Co., Ltd.</w:t>
            </w:r>
          </w:p>
        </w:tc>
        <w:tc>
          <w:tcPr>
            <w:tcW w:w="3720" w:type="dxa"/>
            <w:vAlign w:val="bottom"/>
          </w:tcPr>
          <w:p>
            <w:pPr>
              <w:jc w:val="center"/>
              <w:ind w:left="1339"/>
              <w:spacing w:after="0"/>
              <w:rPr>
                <w:sz w:val="20"/>
                <w:szCs w:val="20"/>
                <w:color w:val="auto"/>
              </w:rPr>
            </w:pPr>
            <w:r>
              <w:rPr>
                <w:rFonts w:ascii="Arial" w:cs="Arial" w:eastAsia="Arial" w:hAnsi="Arial"/>
                <w:sz w:val="16"/>
                <w:szCs w:val="16"/>
                <w:color w:val="auto"/>
                <w:w w:val="90"/>
              </w:rPr>
              <w:t>China</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Investment Management (Shanghai) Co., Ltd.</w:t>
            </w:r>
          </w:p>
        </w:tc>
        <w:tc>
          <w:tcPr>
            <w:tcW w:w="372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90"/>
              </w:rPr>
              <w:t>China</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Printing (Shenzhen) Co., Ltd.</w:t>
            </w:r>
          </w:p>
        </w:tc>
        <w:tc>
          <w:tcPr>
            <w:tcW w:w="3720" w:type="dxa"/>
            <w:vAlign w:val="bottom"/>
          </w:tcPr>
          <w:p>
            <w:pPr>
              <w:jc w:val="center"/>
              <w:ind w:left="1339"/>
              <w:spacing w:after="0"/>
              <w:rPr>
                <w:sz w:val="20"/>
                <w:szCs w:val="20"/>
                <w:color w:val="auto"/>
              </w:rPr>
            </w:pPr>
            <w:r>
              <w:rPr>
                <w:rFonts w:ascii="Arial" w:cs="Arial" w:eastAsia="Arial" w:hAnsi="Arial"/>
                <w:sz w:val="16"/>
                <w:szCs w:val="16"/>
                <w:color w:val="auto"/>
                <w:w w:val="90"/>
              </w:rPr>
              <w:t>China</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Technology (Wuxi) Co. Ltd.</w:t>
            </w:r>
          </w:p>
        </w:tc>
        <w:tc>
          <w:tcPr>
            <w:tcW w:w="372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90"/>
              </w:rPr>
              <w:t>China</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A/S</w:t>
            </w:r>
          </w:p>
        </w:tc>
        <w:tc>
          <w:tcPr>
            <w:tcW w:w="3720" w:type="dxa"/>
            <w:vAlign w:val="bottom"/>
          </w:tcPr>
          <w:p>
            <w:pPr>
              <w:jc w:val="center"/>
              <w:ind w:left="1319"/>
              <w:spacing w:after="0"/>
              <w:rPr>
                <w:sz w:val="20"/>
                <w:szCs w:val="20"/>
                <w:color w:val="auto"/>
              </w:rPr>
            </w:pPr>
            <w:r>
              <w:rPr>
                <w:rFonts w:ascii="Arial" w:cs="Arial" w:eastAsia="Arial" w:hAnsi="Arial"/>
                <w:sz w:val="16"/>
                <w:szCs w:val="16"/>
                <w:color w:val="auto"/>
                <w:w w:val="92"/>
              </w:rPr>
              <w:t>Denmark</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Nordic ID Oyj</w:t>
            </w:r>
          </w:p>
        </w:tc>
        <w:tc>
          <w:tcPr>
            <w:tcW w:w="372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95"/>
              </w:rPr>
              <w:t>Finland</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Braton Europe S.A.R.L.</w:t>
            </w:r>
          </w:p>
        </w:tc>
        <w:tc>
          <w:tcPr>
            <w:tcW w:w="3720" w:type="dxa"/>
            <w:vAlign w:val="bottom"/>
          </w:tcPr>
          <w:p>
            <w:pPr>
              <w:jc w:val="center"/>
              <w:ind w:left="1319"/>
              <w:spacing w:after="0"/>
              <w:rPr>
                <w:sz w:val="20"/>
                <w:szCs w:val="20"/>
                <w:color w:val="auto"/>
              </w:rPr>
            </w:pPr>
            <w:r>
              <w:rPr>
                <w:rFonts w:ascii="Arial" w:cs="Arial" w:eastAsia="Arial" w:hAnsi="Arial"/>
                <w:sz w:val="16"/>
                <w:szCs w:val="16"/>
                <w:color w:val="auto"/>
                <w:w w:val="88"/>
              </w:rPr>
              <w:t>France</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Groupe S.A.S.</w:t>
            </w:r>
          </w:p>
        </w:tc>
        <w:tc>
          <w:tcPr>
            <w:tcW w:w="3720" w:type="dxa"/>
            <w:vAlign w:val="bottom"/>
            <w:shd w:val="clear" w:color="auto" w:fill="CCEEFF"/>
          </w:tcPr>
          <w:p>
            <w:pPr>
              <w:jc w:val="center"/>
              <w:ind w:left="1319"/>
              <w:spacing w:after="0"/>
              <w:rPr>
                <w:sz w:val="20"/>
                <w:szCs w:val="20"/>
                <w:color w:val="auto"/>
              </w:rPr>
            </w:pPr>
            <w:r>
              <w:rPr>
                <w:rFonts w:ascii="Arial" w:cs="Arial" w:eastAsia="Arial" w:hAnsi="Arial"/>
                <w:sz w:val="16"/>
                <w:szCs w:val="16"/>
                <w:color w:val="auto"/>
                <w:w w:val="88"/>
              </w:rPr>
              <w:t>France</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360"/>
              <w:spacing w:after="0"/>
              <w:rPr>
                <w:sz w:val="20"/>
                <w:szCs w:val="20"/>
                <w:color w:val="auto"/>
              </w:rPr>
            </w:pPr>
            <w:r>
              <w:rPr>
                <w:rFonts w:ascii="Arial" w:cs="Arial" w:eastAsia="Arial" w:hAnsi="Arial"/>
                <w:sz w:val="16"/>
                <w:szCs w:val="16"/>
                <w:color w:val="auto"/>
              </w:rPr>
              <w:t>Doing Business As:</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5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Brady</w:t>
            </w:r>
          </w:p>
        </w:tc>
        <w:tc>
          <w:tcPr>
            <w:tcW w:w="37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Arial" w:cs="Arial" w:eastAsia="Arial" w:hAnsi="Arial"/>
                <w:sz w:val="16"/>
                <w:szCs w:val="16"/>
                <w:color w:val="auto"/>
              </w:rPr>
              <w:t>PDC</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5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Seton</w:t>
            </w:r>
          </w:p>
        </w:tc>
        <w:tc>
          <w:tcPr>
            <w:tcW w:w="37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Arial" w:cs="Arial" w:eastAsia="Arial" w:hAnsi="Arial"/>
                <w:sz w:val="16"/>
                <w:szCs w:val="16"/>
                <w:color w:val="auto"/>
              </w:rPr>
              <w:t>Signals</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Securimed S.A.S.</w:t>
            </w:r>
          </w:p>
        </w:tc>
        <w:tc>
          <w:tcPr>
            <w:tcW w:w="3720" w:type="dxa"/>
            <w:vAlign w:val="bottom"/>
            <w:shd w:val="clear" w:color="auto" w:fill="CCEEFF"/>
          </w:tcPr>
          <w:p>
            <w:pPr>
              <w:jc w:val="center"/>
              <w:ind w:left="1319"/>
              <w:spacing w:after="0"/>
              <w:rPr>
                <w:sz w:val="20"/>
                <w:szCs w:val="20"/>
                <w:color w:val="auto"/>
              </w:rPr>
            </w:pPr>
            <w:r>
              <w:rPr>
                <w:rFonts w:ascii="Arial" w:cs="Arial" w:eastAsia="Arial" w:hAnsi="Arial"/>
                <w:sz w:val="16"/>
                <w:szCs w:val="16"/>
                <w:color w:val="auto"/>
                <w:w w:val="88"/>
              </w:rPr>
              <w:t>France</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GmbH</w:t>
            </w:r>
          </w:p>
        </w:tc>
        <w:tc>
          <w:tcPr>
            <w:tcW w:w="3720" w:type="dxa"/>
            <w:vAlign w:val="bottom"/>
          </w:tcPr>
          <w:p>
            <w:pPr>
              <w:jc w:val="center"/>
              <w:ind w:left="1319"/>
              <w:spacing w:after="0"/>
              <w:rPr>
                <w:sz w:val="20"/>
                <w:szCs w:val="20"/>
                <w:color w:val="auto"/>
              </w:rPr>
            </w:pPr>
            <w:r>
              <w:rPr>
                <w:rFonts w:ascii="Arial" w:cs="Arial" w:eastAsia="Arial" w:hAnsi="Arial"/>
                <w:sz w:val="16"/>
                <w:szCs w:val="16"/>
                <w:color w:val="auto"/>
                <w:w w:val="91"/>
              </w:rPr>
              <w:t>Germany</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37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Arial" w:cs="Arial" w:eastAsia="Arial" w:hAnsi="Arial"/>
                <w:sz w:val="16"/>
                <w:szCs w:val="16"/>
                <w:color w:val="auto"/>
              </w:rPr>
              <w:t>Brady</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5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Code</w:t>
            </w:r>
          </w:p>
        </w:tc>
        <w:tc>
          <w:tcPr>
            <w:tcW w:w="37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Arial" w:cs="Arial" w:eastAsia="Arial" w:hAnsi="Arial"/>
                <w:sz w:val="16"/>
                <w:szCs w:val="16"/>
                <w:color w:val="auto"/>
              </w:rPr>
              <w:t>Nordic ID</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5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PDC</w:t>
            </w:r>
          </w:p>
        </w:tc>
        <w:tc>
          <w:tcPr>
            <w:tcW w:w="37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5580" w:type="dxa"/>
            <w:vAlign w:val="bottom"/>
          </w:tcPr>
          <w:p>
            <w:pPr>
              <w:ind w:left="760"/>
              <w:spacing w:after="0"/>
              <w:rPr>
                <w:sz w:val="20"/>
                <w:szCs w:val="20"/>
                <w:color w:val="auto"/>
              </w:rPr>
            </w:pPr>
            <w:r>
              <w:rPr>
                <w:rFonts w:ascii="Arial" w:cs="Arial" w:eastAsia="Arial" w:hAnsi="Arial"/>
                <w:sz w:val="16"/>
                <w:szCs w:val="16"/>
                <w:color w:val="auto"/>
              </w:rPr>
              <w:t>Seton</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5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Transposafe</w:t>
            </w:r>
          </w:p>
        </w:tc>
        <w:tc>
          <w:tcPr>
            <w:tcW w:w="37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Bakee Metal Manufactory Company Limited</w:t>
            </w:r>
          </w:p>
        </w:tc>
        <w:tc>
          <w:tcPr>
            <w:tcW w:w="3720" w:type="dxa"/>
            <w:vAlign w:val="bottom"/>
          </w:tcPr>
          <w:p>
            <w:pPr>
              <w:jc w:val="center"/>
              <w:ind w:left="1319"/>
              <w:spacing w:after="0"/>
              <w:rPr>
                <w:sz w:val="20"/>
                <w:szCs w:val="20"/>
                <w:color w:val="auto"/>
              </w:rPr>
            </w:pPr>
            <w:r>
              <w:rPr>
                <w:rFonts w:ascii="Arial" w:cs="Arial" w:eastAsia="Arial" w:hAnsi="Arial"/>
                <w:sz w:val="16"/>
                <w:szCs w:val="16"/>
                <w:color w:val="auto"/>
                <w:w w:val="94"/>
              </w:rPr>
              <w:t>Hong Kong</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Corporation Hong Kong Limited</w:t>
            </w:r>
          </w:p>
        </w:tc>
        <w:tc>
          <w:tcPr>
            <w:tcW w:w="3720" w:type="dxa"/>
            <w:vAlign w:val="bottom"/>
            <w:shd w:val="clear" w:color="auto" w:fill="CCEEFF"/>
          </w:tcPr>
          <w:p>
            <w:pPr>
              <w:jc w:val="center"/>
              <w:ind w:left="1319"/>
              <w:spacing w:after="0"/>
              <w:rPr>
                <w:sz w:val="20"/>
                <w:szCs w:val="20"/>
                <w:color w:val="auto"/>
              </w:rPr>
            </w:pPr>
            <w:r>
              <w:rPr>
                <w:rFonts w:ascii="Arial" w:cs="Arial" w:eastAsia="Arial" w:hAnsi="Arial"/>
                <w:sz w:val="16"/>
                <w:szCs w:val="16"/>
                <w:color w:val="auto"/>
                <w:w w:val="94"/>
              </w:rPr>
              <w:t>Hong Kong</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Company India Private Limited</w:t>
            </w:r>
          </w:p>
        </w:tc>
        <w:tc>
          <w:tcPr>
            <w:tcW w:w="3720" w:type="dxa"/>
            <w:vAlign w:val="bottom"/>
          </w:tcPr>
          <w:p>
            <w:pPr>
              <w:jc w:val="center"/>
              <w:ind w:left="1339"/>
              <w:spacing w:after="0"/>
              <w:rPr>
                <w:sz w:val="20"/>
                <w:szCs w:val="20"/>
                <w:color w:val="auto"/>
              </w:rPr>
            </w:pPr>
            <w:r>
              <w:rPr>
                <w:rFonts w:ascii="Arial" w:cs="Arial" w:eastAsia="Arial" w:hAnsi="Arial"/>
                <w:sz w:val="16"/>
                <w:szCs w:val="16"/>
                <w:color w:val="auto"/>
                <w:w w:val="97"/>
              </w:rPr>
              <w:t>India</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Italia, S.r.l.</w:t>
            </w:r>
          </w:p>
        </w:tc>
        <w:tc>
          <w:tcPr>
            <w:tcW w:w="372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rPr>
              <w:t>Italy</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Nippon Brady K.K.</w:t>
            </w:r>
          </w:p>
        </w:tc>
        <w:tc>
          <w:tcPr>
            <w:tcW w:w="3720" w:type="dxa"/>
            <w:vAlign w:val="bottom"/>
          </w:tcPr>
          <w:p>
            <w:pPr>
              <w:jc w:val="center"/>
              <w:ind w:left="1339"/>
              <w:spacing w:after="0"/>
              <w:rPr>
                <w:sz w:val="20"/>
                <w:szCs w:val="20"/>
                <w:color w:val="auto"/>
              </w:rPr>
            </w:pPr>
            <w:r>
              <w:rPr>
                <w:rFonts w:ascii="Arial" w:cs="Arial" w:eastAsia="Arial" w:hAnsi="Arial"/>
                <w:sz w:val="16"/>
                <w:szCs w:val="16"/>
                <w:color w:val="auto"/>
                <w:w w:val="87"/>
              </w:rPr>
              <w:t>Japan</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Finance Luxembourg S.à.r.l.</w:t>
            </w:r>
          </w:p>
        </w:tc>
        <w:tc>
          <w:tcPr>
            <w:tcW w:w="372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92"/>
              </w:rPr>
              <w:t>Luxembourg</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Luxembourg S.à.r.l.</w:t>
            </w:r>
          </w:p>
        </w:tc>
        <w:tc>
          <w:tcPr>
            <w:tcW w:w="3720" w:type="dxa"/>
            <w:vAlign w:val="bottom"/>
          </w:tcPr>
          <w:p>
            <w:pPr>
              <w:jc w:val="center"/>
              <w:ind w:left="1339"/>
              <w:spacing w:after="0"/>
              <w:rPr>
                <w:sz w:val="20"/>
                <w:szCs w:val="20"/>
                <w:color w:val="auto"/>
              </w:rPr>
            </w:pPr>
            <w:r>
              <w:rPr>
                <w:rFonts w:ascii="Arial" w:cs="Arial" w:eastAsia="Arial" w:hAnsi="Arial"/>
                <w:sz w:val="16"/>
                <w:szCs w:val="16"/>
                <w:color w:val="auto"/>
                <w:w w:val="92"/>
              </w:rPr>
              <w:t>Luxembourg</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S.à.r.l.</w:t>
            </w:r>
          </w:p>
        </w:tc>
        <w:tc>
          <w:tcPr>
            <w:tcW w:w="372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92"/>
              </w:rPr>
              <w:t>Luxembourg</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Technology SDN. BHD.</w:t>
            </w:r>
          </w:p>
        </w:tc>
        <w:tc>
          <w:tcPr>
            <w:tcW w:w="3720" w:type="dxa"/>
            <w:vAlign w:val="bottom"/>
          </w:tcPr>
          <w:p>
            <w:pPr>
              <w:jc w:val="center"/>
              <w:ind w:left="1339"/>
              <w:spacing w:after="0"/>
              <w:rPr>
                <w:sz w:val="20"/>
                <w:szCs w:val="20"/>
                <w:color w:val="auto"/>
              </w:rPr>
            </w:pPr>
            <w:r>
              <w:rPr>
                <w:rFonts w:ascii="Arial" w:cs="Arial" w:eastAsia="Arial" w:hAnsi="Arial"/>
                <w:sz w:val="16"/>
                <w:szCs w:val="16"/>
                <w:color w:val="auto"/>
                <w:w w:val="91"/>
              </w:rPr>
              <w:t>Malaysia</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Mexico, S. de R.L. de C.V.</w:t>
            </w:r>
          </w:p>
        </w:tc>
        <w:tc>
          <w:tcPr>
            <w:tcW w:w="372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98"/>
              </w:rPr>
              <w:t>Mexico</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W.H. Brady S. de R.L. de C.V.</w:t>
            </w:r>
          </w:p>
        </w:tc>
        <w:tc>
          <w:tcPr>
            <w:tcW w:w="3720" w:type="dxa"/>
            <w:vAlign w:val="bottom"/>
          </w:tcPr>
          <w:p>
            <w:pPr>
              <w:jc w:val="center"/>
              <w:ind w:left="1339"/>
              <w:spacing w:after="0"/>
              <w:rPr>
                <w:sz w:val="20"/>
                <w:szCs w:val="20"/>
                <w:color w:val="auto"/>
              </w:rPr>
            </w:pPr>
            <w:r>
              <w:rPr>
                <w:rFonts w:ascii="Arial" w:cs="Arial" w:eastAsia="Arial" w:hAnsi="Arial"/>
                <w:sz w:val="16"/>
                <w:szCs w:val="16"/>
                <w:color w:val="auto"/>
                <w:w w:val="98"/>
              </w:rPr>
              <w:t>Mexico</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B.V.</w:t>
            </w:r>
          </w:p>
        </w:tc>
        <w:tc>
          <w:tcPr>
            <w:tcW w:w="372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90"/>
              </w:rPr>
              <w:t>Netherlands</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360"/>
              <w:spacing w:after="0"/>
              <w:rPr>
                <w:sz w:val="20"/>
                <w:szCs w:val="20"/>
                <w:color w:val="auto"/>
              </w:rPr>
            </w:pPr>
            <w:r>
              <w:rPr>
                <w:rFonts w:ascii="Arial" w:cs="Arial" w:eastAsia="Arial" w:hAnsi="Arial"/>
                <w:sz w:val="16"/>
                <w:szCs w:val="16"/>
                <w:color w:val="auto"/>
              </w:rPr>
              <w:t>Doing Business As:</w:t>
            </w:r>
          </w:p>
        </w:tc>
        <w:tc>
          <w:tcPr>
            <w:tcW w:w="372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19"/>
        </w:trPr>
        <w:tc>
          <w:tcPr>
            <w:tcW w:w="5580" w:type="dxa"/>
            <w:vAlign w:val="bottom"/>
            <w:shd w:val="clear" w:color="auto" w:fill="CCEEFF"/>
          </w:tcPr>
          <w:p>
            <w:pPr>
              <w:ind w:left="760"/>
              <w:spacing w:after="0"/>
              <w:rPr>
                <w:sz w:val="20"/>
                <w:szCs w:val="20"/>
                <w:color w:val="auto"/>
              </w:rPr>
            </w:pPr>
            <w:r>
              <w:rPr>
                <w:rFonts w:ascii="Arial" w:cs="Arial" w:eastAsia="Arial" w:hAnsi="Arial"/>
                <w:sz w:val="16"/>
                <w:szCs w:val="16"/>
                <w:color w:val="auto"/>
              </w:rPr>
              <w:t>PDC</w:t>
            </w:r>
          </w:p>
        </w:tc>
        <w:tc>
          <w:tcPr>
            <w:tcW w:w="37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Finance B.V.</w:t>
            </w:r>
          </w:p>
        </w:tc>
        <w:tc>
          <w:tcPr>
            <w:tcW w:w="3720" w:type="dxa"/>
            <w:vAlign w:val="bottom"/>
          </w:tcPr>
          <w:p>
            <w:pPr>
              <w:jc w:val="center"/>
              <w:ind w:left="1339"/>
              <w:spacing w:after="0"/>
              <w:rPr>
                <w:sz w:val="20"/>
                <w:szCs w:val="20"/>
                <w:color w:val="auto"/>
              </w:rPr>
            </w:pPr>
            <w:r>
              <w:rPr>
                <w:rFonts w:ascii="Arial" w:cs="Arial" w:eastAsia="Arial" w:hAnsi="Arial"/>
                <w:sz w:val="16"/>
                <w:szCs w:val="16"/>
                <w:color w:val="auto"/>
                <w:w w:val="90"/>
              </w:rPr>
              <w:t>Netherlands</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Code Corporation B.V.</w:t>
            </w:r>
          </w:p>
        </w:tc>
        <w:tc>
          <w:tcPr>
            <w:tcW w:w="372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90"/>
              </w:rPr>
              <w:t>Netherlands</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AS</w:t>
            </w:r>
          </w:p>
        </w:tc>
        <w:tc>
          <w:tcPr>
            <w:tcW w:w="3720" w:type="dxa"/>
            <w:vAlign w:val="bottom"/>
          </w:tcPr>
          <w:p>
            <w:pPr>
              <w:jc w:val="center"/>
              <w:ind w:left="1319"/>
              <w:spacing w:after="0"/>
              <w:rPr>
                <w:sz w:val="20"/>
                <w:szCs w:val="20"/>
                <w:color w:val="auto"/>
              </w:rPr>
            </w:pPr>
            <w:r>
              <w:rPr>
                <w:rFonts w:ascii="Arial" w:cs="Arial" w:eastAsia="Arial" w:hAnsi="Arial"/>
                <w:sz w:val="16"/>
                <w:szCs w:val="16"/>
                <w:color w:val="auto"/>
                <w:w w:val="95"/>
              </w:rPr>
              <w:t>Norway</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Pervaco AS</w:t>
            </w:r>
          </w:p>
        </w:tc>
        <w:tc>
          <w:tcPr>
            <w:tcW w:w="3720" w:type="dxa"/>
            <w:vAlign w:val="bottom"/>
            <w:shd w:val="clear" w:color="auto" w:fill="CCEEFF"/>
          </w:tcPr>
          <w:p>
            <w:pPr>
              <w:jc w:val="center"/>
              <w:ind w:left="1319"/>
              <w:spacing w:after="0"/>
              <w:rPr>
                <w:sz w:val="20"/>
                <w:szCs w:val="20"/>
                <w:color w:val="auto"/>
              </w:rPr>
            </w:pPr>
            <w:r>
              <w:rPr>
                <w:rFonts w:ascii="Arial" w:cs="Arial" w:eastAsia="Arial" w:hAnsi="Arial"/>
                <w:sz w:val="16"/>
                <w:szCs w:val="16"/>
                <w:color w:val="auto"/>
                <w:w w:val="95"/>
              </w:rPr>
              <w:t>Norway</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Polska Sp. Z.o.o.</w:t>
            </w:r>
          </w:p>
        </w:tc>
        <w:tc>
          <w:tcPr>
            <w:tcW w:w="3720" w:type="dxa"/>
            <w:vAlign w:val="bottom"/>
          </w:tcPr>
          <w:p>
            <w:pPr>
              <w:jc w:val="center"/>
              <w:ind w:left="1339"/>
              <w:spacing w:after="0"/>
              <w:rPr>
                <w:sz w:val="20"/>
                <w:szCs w:val="20"/>
                <w:color w:val="auto"/>
              </w:rPr>
            </w:pPr>
            <w:r>
              <w:rPr>
                <w:rFonts w:ascii="Arial" w:cs="Arial" w:eastAsia="Arial" w:hAnsi="Arial"/>
                <w:sz w:val="16"/>
                <w:szCs w:val="16"/>
                <w:color w:val="auto"/>
                <w:w w:val="92"/>
              </w:rPr>
              <w:t>Poland</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Arabia Manufacturing Company</w:t>
            </w:r>
          </w:p>
        </w:tc>
        <w:tc>
          <w:tcPr>
            <w:tcW w:w="372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93"/>
              </w:rPr>
              <w:t>Saudi Arabia</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Asia Holding Pte. Ltd.</w:t>
            </w:r>
          </w:p>
        </w:tc>
        <w:tc>
          <w:tcPr>
            <w:tcW w:w="3720" w:type="dxa"/>
            <w:vAlign w:val="bottom"/>
          </w:tcPr>
          <w:p>
            <w:pPr>
              <w:jc w:val="center"/>
              <w:ind w:left="1339"/>
              <w:spacing w:after="0"/>
              <w:rPr>
                <w:sz w:val="20"/>
                <w:szCs w:val="20"/>
                <w:color w:val="auto"/>
              </w:rPr>
            </w:pPr>
            <w:r>
              <w:rPr>
                <w:rFonts w:ascii="Arial" w:cs="Arial" w:eastAsia="Arial" w:hAnsi="Arial"/>
                <w:sz w:val="16"/>
                <w:szCs w:val="16"/>
                <w:color w:val="auto"/>
                <w:w w:val="90"/>
              </w:rPr>
              <w:t>Singapore</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Asia Pacific Pte. Ltd.</w:t>
            </w:r>
          </w:p>
        </w:tc>
        <w:tc>
          <w:tcPr>
            <w:tcW w:w="372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90"/>
              </w:rPr>
              <w:t>Singapore</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Corporation Asia Pte. Ltd.</w:t>
            </w:r>
          </w:p>
        </w:tc>
        <w:tc>
          <w:tcPr>
            <w:tcW w:w="3720" w:type="dxa"/>
            <w:vAlign w:val="bottom"/>
          </w:tcPr>
          <w:p>
            <w:pPr>
              <w:jc w:val="center"/>
              <w:ind w:left="1339"/>
              <w:spacing w:after="0"/>
              <w:rPr>
                <w:sz w:val="20"/>
                <w:szCs w:val="20"/>
                <w:color w:val="auto"/>
              </w:rPr>
            </w:pPr>
            <w:r>
              <w:rPr>
                <w:rFonts w:ascii="Arial" w:cs="Arial" w:eastAsia="Arial" w:hAnsi="Arial"/>
                <w:sz w:val="16"/>
                <w:szCs w:val="16"/>
                <w:color w:val="auto"/>
                <w:w w:val="90"/>
              </w:rPr>
              <w:t>Singapore</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Singapore Pte. Ltd.</w:t>
            </w:r>
          </w:p>
        </w:tc>
        <w:tc>
          <w:tcPr>
            <w:tcW w:w="372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90"/>
              </w:rPr>
              <w:t>Singapore</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s.r.o.</w:t>
            </w:r>
          </w:p>
        </w:tc>
        <w:tc>
          <w:tcPr>
            <w:tcW w:w="3720" w:type="dxa"/>
            <w:vAlign w:val="bottom"/>
          </w:tcPr>
          <w:p>
            <w:pPr>
              <w:jc w:val="center"/>
              <w:ind w:left="1339"/>
              <w:spacing w:after="0"/>
              <w:rPr>
                <w:sz w:val="20"/>
                <w:szCs w:val="20"/>
                <w:color w:val="auto"/>
              </w:rPr>
            </w:pPr>
            <w:r>
              <w:rPr>
                <w:rFonts w:ascii="Arial" w:cs="Arial" w:eastAsia="Arial" w:hAnsi="Arial"/>
                <w:sz w:val="16"/>
                <w:szCs w:val="16"/>
                <w:color w:val="auto"/>
                <w:w w:val="95"/>
              </w:rPr>
              <w:t>Slovakia</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Grafo Wiremarkers Pty. Ltd.</w:t>
            </w:r>
          </w:p>
        </w:tc>
        <w:tc>
          <w:tcPr>
            <w:tcW w:w="372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94"/>
              </w:rPr>
              <w:t>South Africa</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Wiremarkers Africa Pty. Ltd.</w:t>
            </w:r>
          </w:p>
        </w:tc>
        <w:tc>
          <w:tcPr>
            <w:tcW w:w="3720" w:type="dxa"/>
            <w:vAlign w:val="bottom"/>
          </w:tcPr>
          <w:p>
            <w:pPr>
              <w:jc w:val="center"/>
              <w:ind w:left="1339"/>
              <w:spacing w:after="0"/>
              <w:rPr>
                <w:sz w:val="20"/>
                <w:szCs w:val="20"/>
                <w:color w:val="auto"/>
              </w:rPr>
            </w:pPr>
            <w:r>
              <w:rPr>
                <w:rFonts w:ascii="Arial" w:cs="Arial" w:eastAsia="Arial" w:hAnsi="Arial"/>
                <w:sz w:val="16"/>
                <w:szCs w:val="16"/>
                <w:color w:val="auto"/>
                <w:w w:val="94"/>
              </w:rPr>
              <w:t>South Africa</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IDS Korea LLC</w:t>
            </w:r>
          </w:p>
        </w:tc>
        <w:tc>
          <w:tcPr>
            <w:tcW w:w="3720" w:type="dxa"/>
            <w:vAlign w:val="bottom"/>
            <w:shd w:val="clear" w:color="auto" w:fill="CCEEFF"/>
          </w:tcPr>
          <w:p>
            <w:pPr>
              <w:jc w:val="center"/>
              <w:ind w:left="1339"/>
              <w:spacing w:after="0"/>
              <w:rPr>
                <w:sz w:val="20"/>
                <w:szCs w:val="20"/>
                <w:color w:val="auto"/>
              </w:rPr>
            </w:pPr>
            <w:r>
              <w:rPr>
                <w:rFonts w:ascii="Arial" w:cs="Arial" w:eastAsia="Arial" w:hAnsi="Arial"/>
                <w:sz w:val="16"/>
                <w:szCs w:val="16"/>
                <w:color w:val="auto"/>
                <w:w w:val="92"/>
              </w:rPr>
              <w:t>South Korea</w:t>
            </w:r>
          </w:p>
        </w:tc>
        <w:tc>
          <w:tcPr>
            <w:tcW w:w="1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580" w:type="dxa"/>
            <w:vAlign w:val="bottom"/>
          </w:tcPr>
          <w:p>
            <w:pPr>
              <w:ind w:left="20"/>
              <w:spacing w:after="0"/>
              <w:rPr>
                <w:sz w:val="20"/>
                <w:szCs w:val="20"/>
                <w:color w:val="auto"/>
              </w:rPr>
            </w:pPr>
            <w:r>
              <w:rPr>
                <w:rFonts w:ascii="Arial" w:cs="Arial" w:eastAsia="Arial" w:hAnsi="Arial"/>
                <w:sz w:val="16"/>
                <w:szCs w:val="16"/>
                <w:color w:val="auto"/>
              </w:rPr>
              <w:t>Brady Identificación S.L.U.</w:t>
            </w:r>
          </w:p>
        </w:tc>
        <w:tc>
          <w:tcPr>
            <w:tcW w:w="3720" w:type="dxa"/>
            <w:vAlign w:val="bottom"/>
          </w:tcPr>
          <w:p>
            <w:pPr>
              <w:jc w:val="center"/>
              <w:ind w:left="1339"/>
              <w:spacing w:after="0"/>
              <w:rPr>
                <w:sz w:val="20"/>
                <w:szCs w:val="20"/>
                <w:color w:val="auto"/>
              </w:rPr>
            </w:pPr>
            <w:r>
              <w:rPr>
                <w:rFonts w:ascii="Arial" w:cs="Arial" w:eastAsia="Arial" w:hAnsi="Arial"/>
                <w:sz w:val="16"/>
                <w:szCs w:val="16"/>
                <w:color w:val="auto"/>
                <w:w w:val="92"/>
              </w:rPr>
              <w:t>Spain</w:t>
            </w:r>
          </w:p>
        </w:tc>
        <w:tc>
          <w:tcPr>
            <w:tcW w:w="190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37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bl>
    <w:p>
      <w:pPr>
        <w:sectPr>
          <w:pgSz w:w="11900" w:h="16838" w:orient="portrait"/>
          <w:cols w:equalWidth="0" w:num="1">
            <w:col w:w="11200"/>
          </w:cols>
          <w:pgMar w:left="320" w:top="940" w:right="37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20" w:type="dxa"/>
            <w:vAlign w:val="bottom"/>
          </w:tcPr>
          <w:p>
            <w:pPr>
              <w:ind w:left="760"/>
              <w:spacing w:after="0"/>
              <w:rPr>
                <w:sz w:val="20"/>
                <w:szCs w:val="20"/>
                <w:color w:val="auto"/>
              </w:rPr>
            </w:pPr>
            <w:r>
              <w:rPr>
                <w:rFonts w:ascii="Arial" w:cs="Arial" w:eastAsia="Arial" w:hAnsi="Arial"/>
                <w:sz w:val="16"/>
                <w:szCs w:val="16"/>
                <w:color w:val="auto"/>
              </w:rPr>
              <w:t>PDC</w:t>
            </w:r>
          </w:p>
        </w:tc>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Nordic ID Iberia, S.L.</w:t>
            </w:r>
          </w:p>
        </w:tc>
        <w:tc>
          <w:tcPr>
            <w:tcW w:w="4220" w:type="dxa"/>
            <w:vAlign w:val="bottom"/>
            <w:shd w:val="clear" w:color="auto" w:fill="CCEEFF"/>
          </w:tcPr>
          <w:p>
            <w:pPr>
              <w:jc w:val="center"/>
              <w:ind w:left="1539"/>
              <w:spacing w:after="0"/>
              <w:rPr>
                <w:sz w:val="20"/>
                <w:szCs w:val="20"/>
                <w:color w:val="auto"/>
              </w:rPr>
            </w:pPr>
            <w:r>
              <w:rPr>
                <w:rFonts w:ascii="Arial" w:cs="Arial" w:eastAsia="Arial" w:hAnsi="Arial"/>
                <w:sz w:val="16"/>
                <w:szCs w:val="16"/>
                <w:color w:val="auto"/>
                <w:w w:val="87"/>
              </w:rPr>
              <w:t>Spain</w:t>
            </w:r>
          </w:p>
        </w:tc>
        <w:tc>
          <w:tcPr>
            <w:tcW w:w="17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Brady AB</w:t>
            </w:r>
          </w:p>
        </w:tc>
        <w:tc>
          <w:tcPr>
            <w:tcW w:w="4220" w:type="dxa"/>
            <w:vAlign w:val="bottom"/>
          </w:tcPr>
          <w:p>
            <w:pPr>
              <w:jc w:val="center"/>
              <w:ind w:left="1539"/>
              <w:spacing w:after="0"/>
              <w:rPr>
                <w:sz w:val="20"/>
                <w:szCs w:val="20"/>
                <w:color w:val="auto"/>
              </w:rPr>
            </w:pPr>
            <w:r>
              <w:rPr>
                <w:rFonts w:ascii="Arial" w:cs="Arial" w:eastAsia="Arial" w:hAnsi="Arial"/>
                <w:sz w:val="16"/>
                <w:szCs w:val="16"/>
                <w:color w:val="auto"/>
                <w:w w:val="89"/>
              </w:rPr>
              <w:t>Sweden</w:t>
            </w:r>
          </w:p>
        </w:tc>
        <w:tc>
          <w:tcPr>
            <w:tcW w:w="176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Sweden Holding AB</w:t>
            </w:r>
          </w:p>
        </w:tc>
        <w:tc>
          <w:tcPr>
            <w:tcW w:w="4220" w:type="dxa"/>
            <w:vAlign w:val="bottom"/>
            <w:shd w:val="clear" w:color="auto" w:fill="CCEEFF"/>
          </w:tcPr>
          <w:p>
            <w:pPr>
              <w:jc w:val="center"/>
              <w:ind w:left="1539"/>
              <w:spacing w:after="0"/>
              <w:rPr>
                <w:sz w:val="20"/>
                <w:szCs w:val="20"/>
                <w:color w:val="auto"/>
              </w:rPr>
            </w:pPr>
            <w:r>
              <w:rPr>
                <w:rFonts w:ascii="Arial" w:cs="Arial" w:eastAsia="Arial" w:hAnsi="Arial"/>
                <w:sz w:val="16"/>
                <w:szCs w:val="16"/>
                <w:color w:val="auto"/>
                <w:w w:val="89"/>
              </w:rPr>
              <w:t>Sweden</w:t>
            </w:r>
          </w:p>
        </w:tc>
        <w:tc>
          <w:tcPr>
            <w:tcW w:w="17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Brady (Thailand) Co., Ltd.</w:t>
            </w:r>
          </w:p>
        </w:tc>
        <w:tc>
          <w:tcPr>
            <w:tcW w:w="4220" w:type="dxa"/>
            <w:vAlign w:val="bottom"/>
          </w:tcPr>
          <w:p>
            <w:pPr>
              <w:jc w:val="center"/>
              <w:ind w:left="1519"/>
              <w:spacing w:after="0"/>
              <w:rPr>
                <w:sz w:val="20"/>
                <w:szCs w:val="20"/>
                <w:color w:val="auto"/>
              </w:rPr>
            </w:pPr>
            <w:r>
              <w:rPr>
                <w:rFonts w:ascii="Arial" w:cs="Arial" w:eastAsia="Arial" w:hAnsi="Arial"/>
                <w:sz w:val="16"/>
                <w:szCs w:val="16"/>
                <w:color w:val="auto"/>
                <w:w w:val="94"/>
              </w:rPr>
              <w:t>Thailand</w:t>
            </w:r>
          </w:p>
        </w:tc>
        <w:tc>
          <w:tcPr>
            <w:tcW w:w="176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Etiket ve Isaretleme Ticaret Ltd. Sirketi</w:t>
            </w:r>
          </w:p>
        </w:tc>
        <w:tc>
          <w:tcPr>
            <w:tcW w:w="4220" w:type="dxa"/>
            <w:vAlign w:val="bottom"/>
            <w:shd w:val="clear" w:color="auto" w:fill="CCEEFF"/>
          </w:tcPr>
          <w:p>
            <w:pPr>
              <w:jc w:val="center"/>
              <w:ind w:left="1519"/>
              <w:spacing w:after="0"/>
              <w:rPr>
                <w:sz w:val="20"/>
                <w:szCs w:val="20"/>
                <w:color w:val="auto"/>
              </w:rPr>
            </w:pPr>
            <w:r>
              <w:rPr>
                <w:rFonts w:ascii="Arial" w:cs="Arial" w:eastAsia="Arial" w:hAnsi="Arial"/>
                <w:sz w:val="16"/>
                <w:szCs w:val="16"/>
                <w:color w:val="auto"/>
                <w:w w:val="93"/>
              </w:rPr>
              <w:t>Turkey</w:t>
            </w:r>
          </w:p>
        </w:tc>
        <w:tc>
          <w:tcPr>
            <w:tcW w:w="17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Brady Middle East FZE</w:t>
            </w:r>
          </w:p>
        </w:tc>
        <w:tc>
          <w:tcPr>
            <w:tcW w:w="4220" w:type="dxa"/>
            <w:vAlign w:val="bottom"/>
          </w:tcPr>
          <w:p>
            <w:pPr>
              <w:jc w:val="center"/>
              <w:ind w:left="1519"/>
              <w:spacing w:after="0"/>
              <w:rPr>
                <w:sz w:val="20"/>
                <w:szCs w:val="20"/>
                <w:color w:val="auto"/>
              </w:rPr>
            </w:pPr>
            <w:r>
              <w:rPr>
                <w:rFonts w:ascii="Arial" w:cs="Arial" w:eastAsia="Arial" w:hAnsi="Arial"/>
                <w:sz w:val="16"/>
                <w:szCs w:val="16"/>
                <w:color w:val="auto"/>
                <w:w w:val="93"/>
              </w:rPr>
              <w:t>United Arab Emirates</w:t>
            </w:r>
          </w:p>
        </w:tc>
        <w:tc>
          <w:tcPr>
            <w:tcW w:w="176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 (UK) Limited</w:t>
            </w:r>
          </w:p>
        </w:tc>
        <w:tc>
          <w:tcPr>
            <w:tcW w:w="4220" w:type="dxa"/>
            <w:vAlign w:val="bottom"/>
            <w:shd w:val="clear" w:color="auto" w:fill="CCEEFF"/>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7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Brady Corporation Limited</w:t>
            </w:r>
          </w:p>
        </w:tc>
        <w:tc>
          <w:tcPr>
            <w:tcW w:w="4220" w:type="dxa"/>
            <w:vAlign w:val="bottom"/>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76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Doing Business As:</w:t>
            </w:r>
          </w:p>
        </w:tc>
        <w:tc>
          <w:tcPr>
            <w:tcW w:w="4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5220" w:type="dxa"/>
            <w:vAlign w:val="bottom"/>
          </w:tcPr>
          <w:p>
            <w:pPr>
              <w:ind w:left="760"/>
              <w:spacing w:after="0"/>
              <w:rPr>
                <w:sz w:val="20"/>
                <w:szCs w:val="20"/>
                <w:color w:val="auto"/>
              </w:rPr>
            </w:pPr>
            <w:r>
              <w:rPr>
                <w:rFonts w:ascii="Arial" w:cs="Arial" w:eastAsia="Arial" w:hAnsi="Arial"/>
                <w:sz w:val="16"/>
                <w:szCs w:val="16"/>
                <w:color w:val="auto"/>
              </w:rPr>
              <w:t>BIG</w:t>
            </w:r>
          </w:p>
        </w:tc>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52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PDC</w:t>
            </w:r>
          </w:p>
        </w:tc>
        <w:tc>
          <w:tcPr>
            <w:tcW w:w="4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5220" w:type="dxa"/>
            <w:vAlign w:val="bottom"/>
          </w:tcPr>
          <w:p>
            <w:pPr>
              <w:ind w:left="760"/>
              <w:spacing w:after="0"/>
              <w:rPr>
                <w:sz w:val="20"/>
                <w:szCs w:val="20"/>
                <w:color w:val="auto"/>
              </w:rPr>
            </w:pPr>
            <w:r>
              <w:rPr>
                <w:rFonts w:ascii="Arial" w:cs="Arial" w:eastAsia="Arial" w:hAnsi="Arial"/>
                <w:sz w:val="16"/>
                <w:szCs w:val="16"/>
                <w:color w:val="auto"/>
              </w:rPr>
              <w:t>Safetyshop</w:t>
            </w:r>
          </w:p>
        </w:tc>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52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Scafftag</w:t>
            </w:r>
          </w:p>
        </w:tc>
        <w:tc>
          <w:tcPr>
            <w:tcW w:w="4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5220" w:type="dxa"/>
            <w:vAlign w:val="bottom"/>
          </w:tcPr>
          <w:p>
            <w:pPr>
              <w:ind w:left="760"/>
              <w:spacing w:after="0"/>
              <w:rPr>
                <w:sz w:val="20"/>
                <w:szCs w:val="20"/>
                <w:color w:val="auto"/>
              </w:rPr>
            </w:pPr>
            <w:r>
              <w:rPr>
                <w:rFonts w:ascii="Arial" w:cs="Arial" w:eastAsia="Arial" w:hAnsi="Arial"/>
                <w:sz w:val="16"/>
                <w:szCs w:val="16"/>
                <w:color w:val="auto"/>
              </w:rPr>
              <w:t>Seton</w:t>
            </w:r>
          </w:p>
        </w:tc>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9"/>
        </w:trPr>
        <w:tc>
          <w:tcPr>
            <w:tcW w:w="5220" w:type="dxa"/>
            <w:vAlign w:val="bottom"/>
            <w:shd w:val="clear" w:color="auto" w:fill="CCEEFF"/>
          </w:tcPr>
          <w:p>
            <w:pPr>
              <w:ind w:left="760"/>
              <w:spacing w:after="0"/>
              <w:rPr>
                <w:sz w:val="20"/>
                <w:szCs w:val="20"/>
                <w:color w:val="auto"/>
              </w:rPr>
            </w:pPr>
            <w:r>
              <w:rPr>
                <w:rFonts w:ascii="Arial" w:cs="Arial" w:eastAsia="Arial" w:hAnsi="Arial"/>
                <w:sz w:val="16"/>
                <w:szCs w:val="16"/>
                <w:color w:val="auto"/>
              </w:rPr>
              <w:t>Signs and Labels</w:t>
            </w:r>
          </w:p>
        </w:tc>
        <w:tc>
          <w:tcPr>
            <w:tcW w:w="4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Brady European Holdings Limited</w:t>
            </w:r>
          </w:p>
        </w:tc>
        <w:tc>
          <w:tcPr>
            <w:tcW w:w="4220" w:type="dxa"/>
            <w:vAlign w:val="bottom"/>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76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Magicard Holdings Limited</w:t>
            </w:r>
          </w:p>
        </w:tc>
        <w:tc>
          <w:tcPr>
            <w:tcW w:w="4220" w:type="dxa"/>
            <w:vAlign w:val="bottom"/>
            <w:shd w:val="clear" w:color="auto" w:fill="CCEEFF"/>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7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r>
        <w:trPr>
          <w:trHeight w:val="213"/>
        </w:trPr>
        <w:tc>
          <w:tcPr>
            <w:tcW w:w="5220" w:type="dxa"/>
            <w:vAlign w:val="bottom"/>
          </w:tcPr>
          <w:p>
            <w:pPr>
              <w:ind w:left="20"/>
              <w:spacing w:after="0"/>
              <w:rPr>
                <w:sz w:val="20"/>
                <w:szCs w:val="20"/>
                <w:color w:val="auto"/>
              </w:rPr>
            </w:pPr>
            <w:r>
              <w:rPr>
                <w:rFonts w:ascii="Arial" w:cs="Arial" w:eastAsia="Arial" w:hAnsi="Arial"/>
                <w:sz w:val="16"/>
                <w:szCs w:val="16"/>
                <w:color w:val="auto"/>
              </w:rPr>
              <w:t>Magicard Ltd.</w:t>
            </w:r>
          </w:p>
        </w:tc>
        <w:tc>
          <w:tcPr>
            <w:tcW w:w="4220" w:type="dxa"/>
            <w:vAlign w:val="bottom"/>
          </w:tcPr>
          <w:p>
            <w:pPr>
              <w:jc w:val="center"/>
              <w:ind w:left="1519"/>
              <w:spacing w:after="0"/>
              <w:rPr>
                <w:sz w:val="20"/>
                <w:szCs w:val="20"/>
                <w:color w:val="auto"/>
              </w:rPr>
            </w:pPr>
            <w:r>
              <w:rPr>
                <w:rFonts w:ascii="Arial" w:cs="Arial" w:eastAsia="Arial" w:hAnsi="Arial"/>
                <w:sz w:val="16"/>
                <w:szCs w:val="16"/>
                <w:color w:val="auto"/>
                <w:w w:val="96"/>
              </w:rPr>
              <w:t>United Kingdom</w:t>
            </w:r>
          </w:p>
        </w:tc>
        <w:tc>
          <w:tcPr>
            <w:tcW w:w="1760" w:type="dxa"/>
            <w:vAlign w:val="bottom"/>
          </w:tcPr>
          <w:p>
            <w:pPr>
              <w:jc w:val="right"/>
              <w:ind w:right="719"/>
              <w:spacing w:after="0"/>
              <w:rPr>
                <w:sz w:val="20"/>
                <w:szCs w:val="20"/>
                <w:color w:val="auto"/>
              </w:rPr>
            </w:pPr>
            <w:r>
              <w:rPr>
                <w:rFonts w:ascii="Arial" w:cs="Arial" w:eastAsia="Arial" w:hAnsi="Arial"/>
                <w:sz w:val="16"/>
                <w:szCs w:val="16"/>
                <w:color w:val="auto"/>
              </w:rPr>
              <w:t>100%</w:t>
            </w:r>
          </w:p>
        </w:tc>
      </w:tr>
      <w:tr>
        <w:trPr>
          <w:trHeight w:val="21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Brady Vietnam Company Limited</w:t>
            </w:r>
          </w:p>
        </w:tc>
        <w:tc>
          <w:tcPr>
            <w:tcW w:w="4220" w:type="dxa"/>
            <w:vAlign w:val="bottom"/>
            <w:shd w:val="clear" w:color="auto" w:fill="CCEEFF"/>
          </w:tcPr>
          <w:p>
            <w:pPr>
              <w:jc w:val="center"/>
              <w:ind w:left="1519"/>
              <w:spacing w:after="0"/>
              <w:rPr>
                <w:sz w:val="20"/>
                <w:szCs w:val="20"/>
                <w:color w:val="auto"/>
              </w:rPr>
            </w:pPr>
            <w:r>
              <w:rPr>
                <w:rFonts w:ascii="Arial" w:cs="Arial" w:eastAsia="Arial" w:hAnsi="Arial"/>
                <w:sz w:val="16"/>
                <w:szCs w:val="16"/>
                <w:color w:val="auto"/>
                <w:w w:val="91"/>
              </w:rPr>
              <w:t>Vietnam</w:t>
            </w:r>
          </w:p>
        </w:tc>
        <w:tc>
          <w:tcPr>
            <w:tcW w:w="176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200"/>
          </w:cols>
          <w:pgMar w:left="320" w:top="940" w:right="37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consent to the incorporation by reference in Registration Statement Nos. 333-38857, 333-92417, 333-137686, 333-177039 and 333-212625 on Form S-8 and Registration Statement No. 333-248835 on Form S-3 of our reports dated September 5, 2023, relating to the financial statements of Brady Corporation and the effectiveness of Brady Corporation’s internal control over financial reporting, appearing in this Annual Report on Form 10-K of Brady Corporation for the year ended July 31, 2023.</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Milwaukee, Wisconsin,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5, 2023</w:t>
      </w:r>
    </w:p>
    <w:p>
      <w:pPr>
        <w:sectPr>
          <w:pgSz w:w="11900" w:h="16838" w:orient="portrait"/>
          <w:cols w:equalWidth="0" w:num="1">
            <w:col w:w="11240"/>
          </w:cols>
          <w:pgMar w:left="320" w:top="891"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Russell R. Shaller, certify that:</w:t>
      </w:r>
    </w:p>
    <w:p>
      <w:pPr>
        <w:spacing w:after="0" w:line="104" w:lineRule="exact"/>
        <w:rPr>
          <w:sz w:val="20"/>
          <w:szCs w:val="20"/>
          <w:color w:val="auto"/>
        </w:rPr>
      </w:pPr>
    </w:p>
    <w:p>
      <w:pPr>
        <w:ind w:left="700" w:hanging="247"/>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right="20" w:firstLine="453"/>
        <w:spacing w:after="0" w:line="342" w:lineRule="auto"/>
        <w:tabs>
          <w:tab w:leader="none" w:pos="70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53"/>
        <w:spacing w:after="0" w:line="263" w:lineRule="auto"/>
        <w:tabs>
          <w:tab w:leader="none" w:pos="71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jc w:val="both"/>
        <w:ind w:firstLine="453"/>
        <w:spacing w:after="0" w:line="263" w:lineRule="auto"/>
        <w:tabs>
          <w:tab w:leader="none" w:pos="65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308" w:lineRule="auto"/>
        <w:tabs>
          <w:tab w:leader="none" w:pos="71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sz w:val="20"/>
          <w:szCs w:val="20"/>
          <w:color w:val="auto"/>
        </w:rPr>
      </w:pPr>
    </w:p>
    <w:p>
      <w:pPr>
        <w:ind w:right="20" w:firstLine="453"/>
        <w:spacing w:after="0" w:line="277" w:lineRule="auto"/>
        <w:tabs>
          <w:tab w:leader="none" w:pos="64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5,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Russell R. Shaller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Ann E. Thornton, certify that:</w:t>
      </w:r>
    </w:p>
    <w:p>
      <w:pPr>
        <w:spacing w:after="0" w:line="104" w:lineRule="exact"/>
        <w:rPr>
          <w:sz w:val="20"/>
          <w:szCs w:val="20"/>
          <w:color w:val="auto"/>
        </w:rPr>
      </w:pPr>
    </w:p>
    <w:p>
      <w:pPr>
        <w:ind w:left="700" w:hanging="247"/>
        <w:spacing w:after="0"/>
        <w:tabs>
          <w:tab w:leader="none" w:pos="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Brady Corporation;</w:t>
      </w:r>
    </w:p>
    <w:p>
      <w:pPr>
        <w:spacing w:after="0" w:line="171" w:lineRule="exact"/>
        <w:rPr>
          <w:rFonts w:ascii="Arial" w:cs="Arial" w:eastAsia="Arial" w:hAnsi="Arial"/>
          <w:sz w:val="18"/>
          <w:szCs w:val="18"/>
          <w:color w:val="auto"/>
        </w:rPr>
      </w:pPr>
    </w:p>
    <w:p>
      <w:pPr>
        <w:ind w:right="20" w:firstLine="453"/>
        <w:spacing w:after="0" w:line="342" w:lineRule="auto"/>
        <w:tabs>
          <w:tab w:leader="none" w:pos="70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453"/>
        <w:spacing w:after="0" w:line="277" w:lineRule="auto"/>
        <w:tabs>
          <w:tab w:leader="none" w:pos="70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453"/>
        <w:spacing w:after="0" w:line="263" w:lineRule="auto"/>
        <w:tabs>
          <w:tab w:leader="none" w:pos="71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sz w:val="20"/>
          <w:szCs w:val="20"/>
          <w:color w:val="auto"/>
        </w:rPr>
      </w:pPr>
    </w:p>
    <w:p>
      <w:pPr>
        <w:jc w:val="both"/>
        <w:ind w:firstLine="453"/>
        <w:spacing w:after="0" w:line="263" w:lineRule="auto"/>
        <w:tabs>
          <w:tab w:leader="none" w:pos="65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firstLine="453"/>
        <w:spacing w:after="0" w:line="263" w:lineRule="auto"/>
        <w:tabs>
          <w:tab w:leader="none" w:pos="67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provided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20" w:firstLine="453"/>
        <w:spacing w:after="0" w:line="277" w:lineRule="auto"/>
        <w:tabs>
          <w:tab w:leader="none" w:pos="6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firstLine="453"/>
        <w:spacing w:after="0" w:line="263" w:lineRule="auto"/>
        <w:tabs>
          <w:tab w:leader="none" w:pos="65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0" w:lineRule="exact"/>
        <w:rPr>
          <w:sz w:val="20"/>
          <w:szCs w:val="20"/>
          <w:color w:val="auto"/>
        </w:rPr>
      </w:pPr>
    </w:p>
    <w:p>
      <w:pPr>
        <w:ind w:firstLine="453"/>
        <w:spacing w:after="0" w:line="308" w:lineRule="auto"/>
        <w:tabs>
          <w:tab w:leader="none" w:pos="71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sz w:val="20"/>
          <w:szCs w:val="20"/>
          <w:color w:val="auto"/>
        </w:rPr>
      </w:pPr>
    </w:p>
    <w:p>
      <w:pPr>
        <w:ind w:right="20" w:firstLine="453"/>
        <w:spacing w:after="0" w:line="277" w:lineRule="auto"/>
        <w:tabs>
          <w:tab w:leader="none" w:pos="64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firstLine="453"/>
        <w:spacing w:after="0" w:line="277" w:lineRule="auto"/>
        <w:tabs>
          <w:tab w:leader="none" w:pos="65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5,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Ann E. Thornton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Chief Accounting Officer and Treasurer</w:t>
      </w:r>
    </w:p>
    <w:p>
      <w:pPr>
        <w:sectPr>
          <w:pgSz w:w="11900" w:h="16838" w:orient="portrait"/>
          <w:cols w:equalWidth="0" w:num="1">
            <w:col w:w="11240"/>
          </w:cols>
          <w:pgMar w:left="320" w:top="89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his knowledge that:</w:t>
      </w:r>
    </w:p>
    <w:p>
      <w:pPr>
        <w:spacing w:after="0" w:line="49" w:lineRule="exact"/>
        <w:rPr>
          <w:sz w:val="20"/>
          <w:szCs w:val="20"/>
          <w:color w:val="auto"/>
        </w:rPr>
      </w:pPr>
    </w:p>
    <w:p>
      <w:pPr>
        <w:ind w:right="20" w:firstLine="453"/>
        <w:spacing w:after="0" w:line="277" w:lineRule="auto"/>
        <w:tabs>
          <w:tab w:leader="none" w:pos="71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2023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5,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RUSSELL R. SHALLER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151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Russell R. Shaller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p>
      <w:pPr>
        <w:sectPr>
          <w:pgSz w:w="11900" w:h="16838" w:orient="portrait"/>
          <w:cols w:equalWidth="0" w:num="1">
            <w:col w:w="11240"/>
          </w:cols>
          <w:pgMar w:left="320" w:top="89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Brady Corporation (the “Company”) certifies to her knowledge that:</w:t>
      </w:r>
    </w:p>
    <w:p>
      <w:pPr>
        <w:spacing w:after="0" w:line="49" w:lineRule="exact"/>
        <w:rPr>
          <w:sz w:val="20"/>
          <w:szCs w:val="20"/>
          <w:color w:val="auto"/>
        </w:rPr>
      </w:pPr>
    </w:p>
    <w:p>
      <w:pPr>
        <w:ind w:right="20" w:firstLine="453"/>
        <w:spacing w:after="0" w:line="277" w:lineRule="auto"/>
        <w:tabs>
          <w:tab w:leader="none" w:pos="71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July 31, 2023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firstLine="453"/>
        <w:spacing w:after="0" w:line="277" w:lineRule="auto"/>
        <w:tabs>
          <w:tab w:leader="none" w:pos="7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information contained in that Form 10-K fairly presents, in all material respects, the financial conditions and results of operations of the Company.</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September 5,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ANN E. THORNTON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Chief Accounting Officer and Treasurer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 This certification accompanies this report pursuant to Section 906 of the Sarbanes-Oxley Act of 2002 and shall not be deemed filed by the Company for purposes of Section 18 of the Securities Exchange Act of 1934, as amended.</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7398C89"/>
    <w:multiLevelType w:val="hybridMultilevel"/>
    <w:lvl w:ilvl="0">
      <w:lvlJc w:val="left"/>
      <w:lvlText w:val="☑"/>
      <w:numFmt w:val="bullet"/>
      <w:start w:val="1"/>
    </w:lvl>
    <w:lvl w:ilvl="1">
      <w:lvlJc w:val="left"/>
      <w:lvlText w:val="☐"/>
      <w:numFmt w:val="bullet"/>
      <w:start w:val="1"/>
    </w:lvl>
  </w:abstractNum>
  <w:abstractNum w:abstractNumId="1">
    <w:nsid w:val="354FE9F9"/>
    <w:multiLevelType w:val="hybridMultilevel"/>
    <w:lvl w:ilvl="0">
      <w:lvlJc w:val="left"/>
      <w:lvlText w:val="•"/>
      <w:numFmt w:val="bullet"/>
      <w:start w:val="1"/>
    </w:lvl>
  </w:abstractNum>
  <w:abstractNum w:abstractNumId="2">
    <w:nsid w:val="15B5AF5C"/>
    <w:multiLevelType w:val="hybridMultilevel"/>
    <w:lvl w:ilvl="0">
      <w:lvlJc w:val="left"/>
      <w:lvlText w:val="&amp;"/>
      <w:numFmt w:val="bullet"/>
      <w:start w:val="1"/>
    </w:lvl>
  </w:abstractNum>
  <w:abstractNum w:abstractNumId="3">
    <w:nsid w:val="741226BB"/>
    <w:multiLevelType w:val="hybridMultilevel"/>
    <w:lvl w:ilvl="0">
      <w:lvlJc w:val="left"/>
      <w:lvlText w:val="•"/>
      <w:numFmt w:val="bullet"/>
      <w:start w:val="1"/>
    </w:lvl>
  </w:abstractNum>
  <w:abstractNum w:abstractNumId="4">
    <w:nsid w:val="D34B6A8"/>
    <w:multiLevelType w:val="hybridMultilevel"/>
    <w:lvl w:ilvl="0">
      <w:lvlJc w:val="left"/>
      <w:lvlText w:val="•"/>
      <w:numFmt w:val="bullet"/>
      <w:start w:val="1"/>
    </w:lvl>
  </w:abstractNum>
  <w:abstractNum w:abstractNumId="5">
    <w:nsid w:val="10233C99"/>
    <w:multiLevelType w:val="hybridMultilevel"/>
    <w:lvl w:ilvl="0">
      <w:lvlJc w:val="left"/>
      <w:lvlText w:val="•"/>
      <w:numFmt w:val="bullet"/>
      <w:start w:val="1"/>
    </w:lvl>
  </w:abstractNum>
  <w:abstractNum w:abstractNumId="6">
    <w:nsid w:val="3F6AB60F"/>
    <w:multiLevelType w:val="hybridMultilevel"/>
    <w:lvl w:ilvl="0">
      <w:lvlJc w:val="left"/>
      <w:lvlText w:val="•"/>
      <w:numFmt w:val="bullet"/>
      <w:start w:val="1"/>
    </w:lvl>
  </w:abstractNum>
  <w:abstractNum w:abstractNumId="7">
    <w:nsid w:val="61574095"/>
    <w:multiLevelType w:val="hybridMultilevel"/>
    <w:lvl w:ilvl="0">
      <w:lvlJc w:val="left"/>
      <w:lvlText w:val="•"/>
      <w:numFmt w:val="bullet"/>
      <w:start w:val="1"/>
    </w:lvl>
  </w:abstractNum>
  <w:abstractNum w:abstractNumId="8">
    <w:nsid w:val="7E0C57B1"/>
    <w:multiLevelType w:val="hybridMultilevel"/>
    <w:lvl w:ilvl="0">
      <w:lvlJc w:val="left"/>
      <w:lvlText w:val="•"/>
      <w:numFmt w:val="bullet"/>
      <w:start w:val="1"/>
    </w:lvl>
  </w:abstractNum>
  <w:abstractNum w:abstractNumId="9">
    <w:nsid w:val="77AE35EB"/>
    <w:multiLevelType w:val="hybridMultilevel"/>
    <w:lvl w:ilvl="0">
      <w:lvlJc w:val="left"/>
      <w:lvlText w:val="•"/>
      <w:numFmt w:val="bullet"/>
      <w:start w:val="1"/>
    </w:lvl>
  </w:abstractNum>
  <w:abstractNum w:abstractNumId="10">
    <w:nsid w:val="579BE4F1"/>
    <w:multiLevelType w:val="hybridMultilevel"/>
    <w:lvl w:ilvl="0">
      <w:lvlJc w:val="left"/>
      <w:lvlText w:val="•"/>
      <w:numFmt w:val="bullet"/>
      <w:start w:val="1"/>
    </w:lvl>
  </w:abstractNum>
  <w:abstractNum w:abstractNumId="11">
    <w:nsid w:val="310C50B3"/>
    <w:multiLevelType w:val="hybridMultilevel"/>
    <w:lvl w:ilvl="0">
      <w:lvlJc w:val="left"/>
      <w:lvlText w:val="•"/>
      <w:numFmt w:val="bullet"/>
      <w:start w:val="1"/>
    </w:lvl>
  </w:abstractNum>
  <w:abstractNum w:abstractNumId="12">
    <w:nsid w:val="5FF87E05"/>
    <w:multiLevelType w:val="hybridMultilevel"/>
    <w:lvl w:ilvl="0">
      <w:lvlJc w:val="left"/>
      <w:lvlText w:val="(%1)"/>
      <w:numFmt w:val="lowerRoman"/>
      <w:start w:val="3"/>
    </w:lvl>
  </w:abstractNum>
  <w:abstractNum w:abstractNumId="13">
    <w:nsid w:val="2F305DEF"/>
    <w:multiLevelType w:val="hybridMultilevel"/>
    <w:lvl w:ilvl="0">
      <w:lvlJc w:val="left"/>
      <w:lvlText w:val="•"/>
      <w:numFmt w:val="bullet"/>
      <w:start w:val="1"/>
    </w:lvl>
  </w:abstractNum>
  <w:abstractNum w:abstractNumId="14">
    <w:nsid w:val="25A70BF7"/>
    <w:multiLevelType w:val="hybridMultilevel"/>
    <w:lvl w:ilvl="0">
      <w:lvlJc w:val="left"/>
      <w:lvlText w:val="%1."/>
      <w:numFmt w:val="decimal"/>
      <w:start w:val="10"/>
    </w:lvl>
    <w:lvl w:ilvl="1">
      <w:lvlJc w:val="left"/>
      <w:lvlText w:val="**"/>
      <w:numFmt w:val="bullet"/>
      <w:start w:val="1"/>
    </w:lvl>
  </w:abstractNum>
  <w:abstractNum w:abstractNumId="15">
    <w:nsid w:val="1DBABF00"/>
    <w:multiLevelType w:val="hybridMultilevel"/>
    <w:lvl w:ilvl="0">
      <w:lvlJc w:val="left"/>
      <w:lvlText w:val="•"/>
      <w:numFmt w:val="bullet"/>
      <w:start w:val="1"/>
    </w:lvl>
  </w:abstractNum>
  <w:abstractNum w:abstractNumId="16">
    <w:nsid w:val="4AD084E9"/>
    <w:multiLevelType w:val="hybridMultilevel"/>
    <w:lvl w:ilvl="0">
      <w:lvlJc w:val="left"/>
      <w:lvlText w:val="•"/>
      <w:numFmt w:val="bullet"/>
      <w:start w:val="1"/>
    </w:lvl>
  </w:abstractNum>
  <w:abstractNum w:abstractNumId="17">
    <w:nsid w:val="1F48EAA1"/>
    <w:multiLevelType w:val="hybridMultilevel"/>
    <w:lvl w:ilvl="0">
      <w:lvlJc w:val="left"/>
      <w:lvlText w:val="(%1)"/>
      <w:numFmt w:val="decimal"/>
      <w:start w:val="1"/>
    </w:lvl>
  </w:abstractNum>
  <w:abstractNum w:abstractNumId="18">
    <w:nsid w:val="1381823A"/>
    <w:multiLevelType w:val="hybridMultilevel"/>
    <w:lvl w:ilvl="0">
      <w:lvlJc w:val="left"/>
      <w:lvlText w:val="$"/>
      <w:numFmt w:val="bullet"/>
      <w:start w:val="1"/>
    </w:lvl>
  </w:abstractNum>
  <w:abstractNum w:abstractNumId="19">
    <w:nsid w:val="5DB70AE5"/>
    <w:multiLevelType w:val="hybridMultilevel"/>
    <w:lvl w:ilvl="0">
      <w:lvlJc w:val="left"/>
      <w:lvlText w:val="$"/>
      <w:numFmt w:val="bullet"/>
      <w:start w:val="1"/>
    </w:lvl>
  </w:abstractNum>
  <w:abstractNum w:abstractNumId="20">
    <w:nsid w:val="100F8FCA"/>
    <w:multiLevelType w:val="hybridMultilevel"/>
    <w:lvl w:ilvl="0">
      <w:lvlJc w:val="left"/>
      <w:lvlText w:val="$"/>
      <w:numFmt w:val="bullet"/>
      <w:start w:val="1"/>
    </w:lvl>
  </w:abstractNum>
  <w:abstractNum w:abstractNumId="21">
    <w:nsid w:val="6590700B"/>
    <w:multiLevelType w:val="hybridMultilevel"/>
    <w:lvl w:ilvl="0">
      <w:lvlJc w:val="left"/>
      <w:lvlText w:val="$"/>
      <w:numFmt w:val="bullet"/>
      <w:start w:val="1"/>
    </w:lvl>
  </w:abstractNum>
  <w:abstractNum w:abstractNumId="22">
    <w:nsid w:val="15014ACB"/>
    <w:multiLevelType w:val="hybridMultilevel"/>
    <w:lvl w:ilvl="0">
      <w:lvlJc w:val="left"/>
      <w:lvlText w:val="•"/>
      <w:numFmt w:val="bullet"/>
      <w:start w:val="1"/>
    </w:lvl>
  </w:abstractNum>
  <w:abstractNum w:abstractNumId="23">
    <w:nsid w:val="5F5E7FD0"/>
    <w:multiLevelType w:val="hybridMultilevel"/>
    <w:lvl w:ilvl="0">
      <w:lvlJc w:val="left"/>
      <w:lvlText w:val="•"/>
      <w:numFmt w:val="bullet"/>
      <w:start w:val="1"/>
    </w:lvl>
  </w:abstractNum>
  <w:abstractNum w:abstractNumId="24">
    <w:nsid w:val="98A3148"/>
    <w:multiLevelType w:val="hybridMultilevel"/>
    <w:lvl w:ilvl="0">
      <w:lvlJc w:val="left"/>
      <w:lvlText w:val="•"/>
      <w:numFmt w:val="bullet"/>
      <w:start w:val="1"/>
    </w:lvl>
  </w:abstractNum>
  <w:abstractNum w:abstractNumId="25">
    <w:nsid w:val="799D0247"/>
    <w:multiLevelType w:val="hybridMultilevel"/>
    <w:lvl w:ilvl="0">
      <w:lvlJc w:val="left"/>
      <w:lvlText w:val="•"/>
      <w:numFmt w:val="bullet"/>
      <w:start w:val="1"/>
    </w:lvl>
  </w:abstractNum>
  <w:abstractNum w:abstractNumId="26">
    <w:nsid w:val="6B94764"/>
    <w:multiLevelType w:val="hybridMultilevel"/>
    <w:lvl w:ilvl="0">
      <w:lvlJc w:val="left"/>
      <w:lvlText w:val="(%1)"/>
      <w:numFmt w:val="decimal"/>
      <w:start w:val="1"/>
    </w:lvl>
  </w:abstractNum>
  <w:abstractNum w:abstractNumId="27">
    <w:nsid w:val="42C296BD"/>
    <w:multiLevelType w:val="hybridMultilevel"/>
    <w:lvl w:ilvl="0">
      <w:lvlJc w:val="left"/>
      <w:lvlText w:val="&amp;"/>
      <w:numFmt w:val="bullet"/>
      <w:start w:val="1"/>
    </w:lvl>
  </w:abstractNum>
  <w:abstractNum w:abstractNumId="28">
    <w:nsid w:val="168E121F"/>
    <w:multiLevelType w:val="hybridMultilevel"/>
    <w:lvl w:ilvl="0">
      <w:lvlJc w:val="left"/>
      <w:lvlText w:val="(%1)"/>
      <w:numFmt w:val="decimal"/>
      <w:start w:val="1"/>
    </w:lvl>
  </w:abstractNum>
  <w:abstractNum w:abstractNumId="29">
    <w:nsid w:val="1EBA5D23"/>
    <w:multiLevelType w:val="hybridMultilevel"/>
    <w:lvl w:ilvl="0">
      <w:lvlJc w:val="left"/>
      <w:lvlText w:val="(%1)"/>
      <w:numFmt w:val="decimal"/>
      <w:start w:val="1"/>
    </w:lvl>
  </w:abstractNum>
  <w:abstractNum w:abstractNumId="30">
    <w:nsid w:val="661E3F1E"/>
    <w:multiLevelType w:val="hybridMultilevel"/>
    <w:lvl w:ilvl="0">
      <w:lvlJc w:val="left"/>
      <w:lvlText w:val="•"/>
      <w:numFmt w:val="bullet"/>
      <w:start w:val="1"/>
    </w:lvl>
  </w:abstractNum>
  <w:abstractNum w:abstractNumId="31">
    <w:nsid w:val="5DC79EA8"/>
    <w:multiLevelType w:val="hybridMultilevel"/>
    <w:lvl w:ilvl="0">
      <w:lvlJc w:val="left"/>
      <w:lvlText w:val="•"/>
      <w:numFmt w:val="bullet"/>
      <w:start w:val="1"/>
    </w:lvl>
  </w:abstractNum>
  <w:abstractNum w:abstractNumId="32">
    <w:nsid w:val="540A471C"/>
    <w:multiLevelType w:val="hybridMultilevel"/>
    <w:lvl w:ilvl="0">
      <w:lvlJc w:val="left"/>
      <w:lvlText w:val="•"/>
      <w:numFmt w:val="bullet"/>
      <w:start w:val="1"/>
    </w:lvl>
  </w:abstractNum>
  <w:abstractNum w:abstractNumId="33">
    <w:nsid w:val="7BD3EE7B"/>
    <w:multiLevelType w:val="hybridMultilevel"/>
    <w:lvl w:ilvl="0">
      <w:lvlJc w:val="left"/>
      <w:lvlText w:val="•"/>
      <w:numFmt w:val="bullet"/>
      <w:start w:val="1"/>
    </w:lvl>
  </w:abstractNum>
  <w:abstractNum w:abstractNumId="34">
    <w:nsid w:val="51D9C564"/>
    <w:multiLevelType w:val="hybridMultilevel"/>
    <w:lvl w:ilvl="0">
      <w:lvlJc w:val="left"/>
      <w:lvlText w:val="•"/>
      <w:numFmt w:val="bullet"/>
      <w:start w:val="1"/>
    </w:lvl>
  </w:abstractNum>
  <w:abstractNum w:abstractNumId="35">
    <w:nsid w:val="613EFDC5"/>
    <w:multiLevelType w:val="hybridMultilevel"/>
    <w:lvl w:ilvl="0">
      <w:lvlJc w:val="left"/>
      <w:lvlText w:val="•"/>
      <w:numFmt w:val="bullet"/>
      <w:start w:val="1"/>
    </w:lvl>
  </w:abstractNum>
  <w:abstractNum w:abstractNumId="36">
    <w:nsid w:val="BF72B14"/>
    <w:multiLevelType w:val="hybridMultilevel"/>
    <w:lvl w:ilvl="0">
      <w:lvlJc w:val="left"/>
      <w:lvlText w:val="(%1)"/>
      <w:numFmt w:val="decimal"/>
      <w:start w:val="1"/>
    </w:lvl>
  </w:abstractNum>
  <w:abstractNum w:abstractNumId="37">
    <w:nsid w:val="11447B73"/>
    <w:multiLevelType w:val="hybridMultilevel"/>
    <w:lvl w:ilvl="0">
      <w:lvlJc w:val="left"/>
      <w:lvlText w:val="(%1)"/>
      <w:numFmt w:val="decimal"/>
      <w:start w:val="1"/>
    </w:lvl>
  </w:abstractNum>
  <w:abstractNum w:abstractNumId="38">
    <w:nsid w:val="42963E5A"/>
    <w:multiLevelType w:val="hybridMultilevel"/>
    <w:lvl w:ilvl="0">
      <w:lvlJc w:val="left"/>
      <w:lvlText w:val="•"/>
      <w:numFmt w:val="bullet"/>
      <w:start w:val="1"/>
    </w:lvl>
  </w:abstractNum>
  <w:abstractNum w:abstractNumId="39">
    <w:nsid w:val="A0382C5"/>
    <w:multiLevelType w:val="hybridMultilevel"/>
    <w:lvl w:ilvl="0">
      <w:lvlJc w:val="left"/>
      <w:lvlText w:val="(%1)"/>
      <w:numFmt w:val="decimal"/>
      <w:start w:val="1"/>
    </w:lvl>
  </w:abstractNum>
  <w:abstractNum w:abstractNumId="40">
    <w:nsid w:val="8F2B15E"/>
    <w:multiLevelType w:val="hybridMultilevel"/>
    <w:lvl w:ilvl="0">
      <w:lvlJc w:val="left"/>
      <w:lvlText w:val="(%1)"/>
      <w:numFmt w:val="decimal"/>
      <w:start w:val="5"/>
    </w:lvl>
  </w:abstractNum>
  <w:abstractNum w:abstractNumId="41">
    <w:nsid w:val="1A32234B"/>
    <w:multiLevelType w:val="hybridMultilevel"/>
    <w:lvl w:ilvl="0">
      <w:lvlJc w:val="left"/>
      <w:lvlText w:val="(%1)"/>
      <w:numFmt w:val="decimal"/>
      <w:start w:val="1"/>
    </w:lvl>
  </w:abstractNum>
  <w:abstractNum w:abstractNumId="42">
    <w:nsid w:val="3B0FD379"/>
    <w:multiLevelType w:val="hybridMultilevel"/>
    <w:lvl w:ilvl="0">
      <w:lvlJc w:val="left"/>
      <w:lvlText w:val="(%1)"/>
      <w:numFmt w:val="decimal"/>
      <w:start w:val="1"/>
    </w:lvl>
  </w:abstractNum>
  <w:abstractNum w:abstractNumId="43">
    <w:nsid w:val="68EB2F63"/>
    <w:multiLevelType w:val="hybridMultilevel"/>
    <w:lvl w:ilvl="0">
      <w:lvlJc w:val="left"/>
      <w:lvlText w:val="(%1)"/>
      <w:numFmt w:val="decimal"/>
      <w:start w:val="2"/>
    </w:lvl>
  </w:abstractNum>
  <w:abstractNum w:abstractNumId="44">
    <w:nsid w:val="4962813B"/>
    <w:multiLevelType w:val="hybridMultilevel"/>
    <w:lvl w:ilvl="0">
      <w:lvlJc w:val="left"/>
      <w:lvlText w:val="(%1)"/>
      <w:numFmt w:val="decimal"/>
      <w:start w:val="1"/>
    </w:lvl>
  </w:abstractNum>
  <w:abstractNum w:abstractNumId="45">
    <w:nsid w:val="60B6DF70"/>
    <w:multiLevelType w:val="hybridMultilevel"/>
    <w:lvl w:ilvl="0">
      <w:lvlJc w:val="left"/>
      <w:lvlText w:val="(%1)"/>
      <w:numFmt w:val="decimal"/>
      <w:start w:val="9"/>
    </w:lvl>
  </w:abstractNum>
  <w:abstractNum w:abstractNumId="46">
    <w:nsid w:val="6A5EE64"/>
    <w:multiLevelType w:val="hybridMultilevel"/>
    <w:lvl w:ilvl="0">
      <w:lvlJc w:val="left"/>
      <w:lvlText w:val="(%1)"/>
      <w:numFmt w:val="decimal"/>
      <w:start w:val="1"/>
    </w:lvl>
  </w:abstractNum>
  <w:abstractNum w:abstractNumId="47">
    <w:nsid w:val="14330624"/>
    <w:multiLevelType w:val="hybridMultilevel"/>
    <w:lvl w:ilvl="0">
      <w:lvlJc w:val="left"/>
      <w:lvlText w:val="(%1)"/>
      <w:numFmt w:val="decimal"/>
      <w:start w:val="1"/>
    </w:lvl>
  </w:abstractNum>
  <w:abstractNum w:abstractNumId="48">
    <w:nsid w:val="7FFFCA11"/>
    <w:multiLevelType w:val="hybridMultilevel"/>
    <w:lvl w:ilvl="0">
      <w:lvlJc w:val="left"/>
      <w:lvlText w:val="•"/>
      <w:numFmt w:val="bullet"/>
      <w:start w:val="1"/>
    </w:lvl>
  </w:abstractNum>
  <w:abstractNum w:abstractNumId="49">
    <w:nsid w:val="1A27709E"/>
    <w:multiLevelType w:val="hybridMultilevel"/>
    <w:lvl w:ilvl="0">
      <w:lvlJc w:val="left"/>
      <w:lvlText w:val="(%1)"/>
      <w:numFmt w:val="decimal"/>
      <w:start w:val="1"/>
    </w:lvl>
  </w:abstractNum>
  <w:abstractNum w:abstractNumId="50">
    <w:nsid w:val="71EA1109"/>
    <w:multiLevelType w:val="hybridMultilevel"/>
    <w:lvl w:ilvl="0">
      <w:lvlJc w:val="left"/>
      <w:lvlText w:val="(%1)"/>
      <w:numFmt w:val="decimal"/>
      <w:start w:val="1"/>
    </w:lvl>
  </w:abstractNum>
  <w:abstractNum w:abstractNumId="51">
    <w:nsid w:val="100F59DC"/>
    <w:multiLevelType w:val="hybridMultilevel"/>
    <w:lvl w:ilvl="0">
      <w:lvlJc w:val="left"/>
      <w:lvlText w:val="(%1)"/>
      <w:numFmt w:val="decimal"/>
      <w:start w:val="1"/>
    </w:lvl>
  </w:abstractNum>
  <w:abstractNum w:abstractNumId="52">
    <w:nsid w:val="7FB7E0AA"/>
    <w:multiLevelType w:val="hybridMultilevel"/>
    <w:lvl w:ilvl="0">
      <w:lvlJc w:val="left"/>
      <w:lvlText w:val="(%1)"/>
      <w:numFmt w:val="decimal"/>
      <w:start w:val="1"/>
    </w:lvl>
  </w:abstractNum>
  <w:abstractNum w:abstractNumId="53">
    <w:nsid w:val="6EB5BD4"/>
    <w:multiLevelType w:val="hybridMultilevel"/>
    <w:lvl w:ilvl="0">
      <w:lvlJc w:val="left"/>
      <w:lvlText w:val="(%1)"/>
      <w:numFmt w:val="decimal"/>
      <w:start w:val="1"/>
    </w:lvl>
  </w:abstractNum>
  <w:abstractNum w:abstractNumId="54">
    <w:nsid w:val="6F6DD9AC"/>
    <w:multiLevelType w:val="hybridMultilevel"/>
    <w:lvl w:ilvl="0">
      <w:lvlJc w:val="left"/>
      <w:lvlText w:val="(%1)"/>
      <w:numFmt w:val="decimal"/>
      <w:start w:val="1"/>
    </w:lvl>
  </w:abstractNum>
  <w:abstractNum w:abstractNumId="55">
    <w:nsid w:val="94211F2"/>
    <w:multiLevelType w:val="hybridMultilevel"/>
    <w:lvl w:ilvl="0">
      <w:lvlJc w:val="left"/>
      <w:lvlText w:val="(%1)"/>
      <w:numFmt w:val="decimal"/>
      <w:start w:val="1"/>
    </w:lvl>
  </w:abstractNum>
  <w:abstractNum w:abstractNumId="56">
    <w:nsid w:val="885E1B"/>
    <w:multiLevelType w:val="hybridMultilevel"/>
    <w:lvl w:ilvl="0">
      <w:lvlJc w:val="left"/>
      <w:lvlText w:val="•"/>
      <w:numFmt w:val="bullet"/>
      <w:start w:val="1"/>
    </w:lvl>
  </w:abstractNum>
  <w:abstractNum w:abstractNumId="57">
    <w:nsid w:val="76272110"/>
    <w:multiLevelType w:val="hybridMultilevel"/>
    <w:lvl w:ilvl="0">
      <w:lvlJc w:val="left"/>
      <w:lvlText w:val="•"/>
      <w:numFmt w:val="bullet"/>
      <w:start w:val="1"/>
    </w:lvl>
  </w:abstractNum>
  <w:abstractNum w:abstractNumId="58">
    <w:nsid w:val="4C04A8AF"/>
    <w:multiLevelType w:val="hybridMultilevel"/>
    <w:lvl w:ilvl="0">
      <w:lvlJc w:val="left"/>
      <w:lvlText w:val="(%1)"/>
      <w:numFmt w:val="decimal"/>
      <w:start w:val="1"/>
    </w:lvl>
  </w:abstractNum>
  <w:abstractNum w:abstractNumId="59">
    <w:nsid w:val="1716703B"/>
    <w:multiLevelType w:val="hybridMultilevel"/>
    <w:lvl w:ilvl="0">
      <w:lvlJc w:val="left"/>
      <w:lvlText w:val="(%1)"/>
      <w:numFmt w:val="decimal"/>
      <w:start w:val="3"/>
    </w:lvl>
  </w:abstractNum>
  <w:abstractNum w:abstractNumId="60">
    <w:nsid w:val="14E17E33"/>
    <w:multiLevelType w:val="hybridMultilevel"/>
    <w:lvl w:ilvl="0">
      <w:lvlJc w:val="left"/>
      <w:lvlText w:val="(%1)"/>
      <w:numFmt w:val="decimal"/>
      <w:start w:val="4"/>
    </w:lvl>
  </w:abstractNum>
  <w:abstractNum w:abstractNumId="61">
    <w:nsid w:val="3222E7CD"/>
    <w:multiLevelType w:val="hybridMultilevel"/>
    <w:lvl w:ilvl="0">
      <w:lvlJc w:val="left"/>
      <w:lvlText w:val="(%1)"/>
      <w:numFmt w:val="decimal"/>
      <w:start w:val="1"/>
    </w:lvl>
  </w:abstractNum>
  <w:abstractNum w:abstractNumId="62">
    <w:nsid w:val="74DE0EE3"/>
    <w:multiLevelType w:val="hybridMultilevel"/>
    <w:lvl w:ilvl="0">
      <w:lvlJc w:val="left"/>
      <w:lvlText w:val="(%1)"/>
      <w:numFmt w:val="decimal"/>
      <w:start w:val="1"/>
    </w:lvl>
  </w:abstractNum>
  <w:abstractNum w:abstractNumId="63">
    <w:nsid w:val="68EBC550"/>
    <w:multiLevelType w:val="hybridMultilevel"/>
    <w:lvl w:ilvl="0">
      <w:lvlJc w:val="left"/>
      <w:lvlText w:val="(%1)"/>
      <w:numFmt w:val="decimal"/>
      <w:start w:val="1"/>
    </w:lvl>
  </w:abstractNum>
  <w:abstractNum w:abstractNumId="64">
    <w:nsid w:val="2DF6D648"/>
    <w:multiLevelType w:val="hybridMultilevel"/>
    <w:lvl w:ilvl="0">
      <w:lvlJc w:val="left"/>
      <w:lvlText w:val="(%1)"/>
      <w:numFmt w:val="lowerLetter"/>
      <w:start w:val="1"/>
    </w:lvl>
  </w:abstractNum>
  <w:abstractNum w:abstractNumId="65">
    <w:nsid w:val="46B7D447"/>
    <w:multiLevelType w:val="hybridMultilevel"/>
    <w:lvl w:ilvl="0">
      <w:lvlJc w:val="left"/>
      <w:lvlText w:val="%1"/>
      <w:numFmt w:val="lowerLetter"/>
      <w:start w:val="1"/>
    </w:lvl>
    <w:lvl w:ilvl="1">
      <w:lvlJc w:val="left"/>
      <w:lvlText w:val="(%2)"/>
      <w:numFmt w:val="decimal"/>
      <w:start w:val="1"/>
    </w:lvl>
  </w:abstractNum>
  <w:abstractNum w:abstractNumId="66">
    <w:nsid w:val="4A2AC315"/>
    <w:multiLevelType w:val="hybridMultilevel"/>
    <w:lvl w:ilvl="0">
      <w:lvlJc w:val="left"/>
      <w:lvlText w:val="(%1)"/>
      <w:numFmt w:val="lowerLetter"/>
      <w:start w:val="2"/>
    </w:lvl>
    <w:lvl w:ilvl="1">
      <w:lvlJc w:val="left"/>
      <w:lvlText w:val="%2"/>
      <w:numFmt w:val="decimal"/>
      <w:start w:val="1"/>
    </w:lvl>
  </w:abstractNum>
  <w:abstractNum w:abstractNumId="67">
    <w:nsid w:val="39EE015C"/>
    <w:multiLevelType w:val="hybridMultilevel"/>
    <w:lvl w:ilvl="0">
      <w:lvlJc w:val="left"/>
      <w:lvlText w:val="*"/>
      <w:numFmt w:val="bullet"/>
      <w:start w:val="1"/>
    </w:lvl>
    <w:lvl w:ilvl="1">
      <w:lvlJc w:val="left"/>
      <w:lvlText w:val="(%2)"/>
      <w:numFmt w:val="decimal"/>
      <w:start w:val="1"/>
    </w:lvl>
  </w:abstractNum>
  <w:abstractNum w:abstractNumId="68">
    <w:nsid w:val="57FC4FBB"/>
    <w:multiLevelType w:val="hybridMultilevel"/>
    <w:lvl w:ilvl="0">
      <w:lvlJc w:val="left"/>
      <w:lvlText w:val="%1"/>
      <w:numFmt w:val="lowerLetter"/>
      <w:start w:val="1"/>
    </w:lvl>
    <w:lvl w:ilvl="1">
      <w:lvlJc w:val="left"/>
      <w:lvlText w:val="(%2)"/>
      <w:numFmt w:val="decimal"/>
      <w:start w:val="2"/>
    </w:lvl>
  </w:abstractNum>
  <w:abstractNum w:abstractNumId="69">
    <w:nsid w:val="CC1016F"/>
    <w:multiLevelType w:val="hybridMultilevel"/>
    <w:lvl w:ilvl="0">
      <w:lvlJc w:val="left"/>
      <w:lvlText w:val="(%1)"/>
      <w:numFmt w:val="lowerLetter"/>
      <w:start w:val="3"/>
    </w:lvl>
    <w:lvl w:ilvl="1">
      <w:lvlJc w:val="left"/>
      <w:lvlText w:val="%2"/>
      <w:numFmt w:val="decimal"/>
      <w:start w:val="1"/>
    </w:lvl>
  </w:abstractNum>
  <w:abstractNum w:abstractNumId="70">
    <w:nsid w:val="43F18422"/>
    <w:multiLevelType w:val="hybridMultilevel"/>
    <w:lvl w:ilvl="0">
      <w:lvlJc w:val="left"/>
      <w:lvlText w:val="(%1)"/>
      <w:numFmt w:val="lowerLetter"/>
      <w:start w:val="4"/>
    </w:lvl>
  </w:abstractNum>
  <w:abstractNum w:abstractNumId="71">
    <w:nsid w:val="60EF0119"/>
    <w:multiLevelType w:val="hybridMultilevel"/>
    <w:lvl w:ilvl="0">
      <w:lvlJc w:val="left"/>
      <w:lvlText w:val="(%1)"/>
      <w:numFmt w:val="decimal"/>
      <w:start w:val="1"/>
    </w:lvl>
  </w:abstractNum>
  <w:abstractNum w:abstractNumId="72">
    <w:nsid w:val="26F324BA"/>
    <w:multiLevelType w:val="hybridMultilevel"/>
    <w:lvl w:ilvl="0">
      <w:lvlJc w:val="left"/>
      <w:lvlText w:val="%1)"/>
      <w:numFmt w:val="decimal"/>
      <w:start w:val="1"/>
    </w:lvl>
  </w:abstractNum>
  <w:abstractNum w:abstractNumId="73">
    <w:nsid w:val="7F01579B"/>
    <w:multiLevelType w:val="hybridMultilevel"/>
    <w:lvl w:ilvl="0">
      <w:lvlJc w:val="left"/>
      <w:lvlText w:val="%1"/>
      <w:numFmt w:val="decimal"/>
      <w:start w:val="21"/>
    </w:lvl>
  </w:abstractNum>
  <w:abstractNum w:abstractNumId="74">
    <w:nsid w:val="49DA307D"/>
    <w:multiLevelType w:val="hybridMultilevel"/>
    <w:lvl w:ilvl="0">
      <w:lvlJc w:val="left"/>
      <w:lvlText w:val="*"/>
      <w:numFmt w:val="bullet"/>
      <w:start w:val="1"/>
    </w:lvl>
    <w:lvl w:ilvl="1">
      <w:lvlJc w:val="left"/>
      <w:lvlText w:val="%2"/>
      <w:numFmt w:val="decimal"/>
      <w:start w:val="1"/>
    </w:lvl>
    <w:lvl w:ilvl="2">
      <w:lvlJc w:val="left"/>
      <w:lvlText w:val="%3"/>
      <w:numFmt w:val="decimal"/>
      <w:start w:val="23"/>
    </w:lvl>
  </w:abstractNum>
  <w:abstractNum w:abstractNumId="75">
    <w:nsid w:val="7055A5F5"/>
    <w:multiLevelType w:val="hybridMultilevel"/>
    <w:lvl w:ilvl="0">
      <w:lvlJc w:val="left"/>
      <w:lvlText w:val="*"/>
      <w:numFmt w:val="bullet"/>
      <w:start w:val="1"/>
    </w:lvl>
    <w:lvl w:ilvl="1">
      <w:lvlJc w:val="left"/>
      <w:lvlText w:val="%2"/>
      <w:numFmt w:val="decimal"/>
      <w:start w:val="1"/>
    </w:lvl>
    <w:lvl w:ilvl="2">
      <w:lvlJc w:val="left"/>
      <w:lvlText w:val="%3"/>
      <w:numFmt w:val="decimal"/>
      <w:start w:val="101"/>
    </w:lvl>
  </w:abstractNum>
  <w:abstractNum w:abstractNumId="76">
    <w:nsid w:val="5FB8370B"/>
    <w:multiLevelType w:val="hybridMultilevel"/>
    <w:lvl w:ilvl="0">
      <w:lvlJc w:val="left"/>
      <w:lvlText w:val="*"/>
      <w:numFmt w:val="bullet"/>
      <w:start w:val="1"/>
    </w:lvl>
    <w:lvl w:ilvl="1">
      <w:lvlJc w:val="left"/>
      <w:lvlText w:val="%2"/>
      <w:numFmt w:val="decimal"/>
      <w:start w:val="1"/>
    </w:lvl>
    <w:lvl w:ilvl="2">
      <w:lvlJc w:val="left"/>
      <w:lvlText w:val="%3"/>
      <w:numFmt w:val="decimal"/>
      <w:start w:val="104"/>
    </w:lvl>
  </w:abstractNum>
  <w:abstractNum w:abstractNumId="77">
    <w:nsid w:val="50801EE1"/>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78">
    <w:nsid w:val="488AC1A"/>
    <w:multiLevelType w:val="hybridMultilevel"/>
    <w:lvl w:ilvl="0">
      <w:lvlJc w:val="left"/>
      <w:lvlText w:val="(%1)"/>
      <w:numFmt w:val="decimal"/>
      <w:start w:val="22"/>
    </w:lvl>
  </w:abstractNum>
  <w:abstractNum w:abstractNumId="79">
    <w:nsid w:val="5FB8011C"/>
    <w:multiLevelType w:val="hybridMultilevel"/>
    <w:lvl w:ilvl="0">
      <w:lvlJc w:val="left"/>
      <w:lvlText w:val="*"/>
      <w:numFmt w:val="bullet"/>
      <w:start w:val="1"/>
    </w:lvl>
  </w:abstractNum>
  <w:abstractNum w:abstractNumId="80">
    <w:nsid w:val="6AA78F7F"/>
    <w:multiLevelType w:val="hybridMultilevel"/>
    <w:lvl w:ilvl="0">
      <w:lvlJc w:val="left"/>
      <w:lvlText w:val="(%1)"/>
      <w:numFmt w:val="lowerLetter"/>
      <w:start w:val="1"/>
    </w:lvl>
  </w:abstractNum>
  <w:abstractNum w:abstractNumId="81">
    <w:nsid w:val="7672BD23"/>
    <w:multiLevelType w:val="hybridMultilevel"/>
    <w:lvl w:ilvl="0">
      <w:lvlJc w:val="left"/>
      <w:lvlText w:val="(%1)"/>
      <w:numFmt w:val="lowerLetter"/>
      <w:start w:val="2"/>
    </w:lvl>
  </w:abstractNum>
  <w:abstractNum w:abstractNumId="82">
    <w:nsid w:val="6FC75AF8"/>
    <w:multiLevelType w:val="hybridMultilevel"/>
    <w:lvl w:ilvl="0">
      <w:lvlJc w:val="left"/>
      <w:lvlText w:val="(%1)"/>
      <w:numFmt w:val="lowerLetter"/>
      <w:start w:val="3"/>
    </w:lvl>
  </w:abstractNum>
  <w:abstractNum w:abstractNumId="83">
    <w:nsid w:val="6A5F7029"/>
    <w:multiLevelType w:val="hybridMultilevel"/>
    <w:lvl w:ilvl="0">
      <w:lvlJc w:val="left"/>
      <w:lvlText w:val="(%1)"/>
      <w:numFmt w:val="lowerLetter"/>
      <w:start w:val="1"/>
    </w:lvl>
  </w:abstractNum>
  <w:abstractNum w:abstractNumId="84">
    <w:nsid w:val="7D5E18F8"/>
    <w:multiLevelType w:val="hybridMultilevel"/>
    <w:lvl w:ilvl="0">
      <w:lvlJc w:val="left"/>
      <w:lvlText w:val="(%1)"/>
      <w:numFmt w:val="lowerLetter"/>
      <w:start w:val="1"/>
    </w:lvl>
  </w:abstractNum>
  <w:abstractNum w:abstractNumId="85">
    <w:nsid w:val="5F3534A4"/>
    <w:multiLevelType w:val="hybridMultilevel"/>
    <w:lvl w:ilvl="0">
      <w:lvlJc w:val="left"/>
      <w:lvlText w:val="(%1)"/>
      <w:numFmt w:val="lowerLetter"/>
      <w:start w:val="3"/>
    </w:lvl>
  </w:abstractNum>
  <w:abstractNum w:abstractNumId="86">
    <w:nsid w:val="73A1821B"/>
    <w:multiLevelType w:val="hybridMultilevel"/>
    <w:lvl w:ilvl="0">
      <w:lvlJc w:val="left"/>
      <w:lvlText w:val="(%1)"/>
      <w:numFmt w:val="lowerLetter"/>
      <w:start w:val="1"/>
    </w:lvl>
  </w:abstractNum>
  <w:abstractNum w:abstractNumId="87">
    <w:nsid w:val="7DE67713"/>
    <w:multiLevelType w:val="hybridMultilevel"/>
    <w:lvl w:ilvl="0">
      <w:lvlJc w:val="left"/>
      <w:lvlText w:val="(%1)"/>
      <w:numFmt w:val="lowerLetter"/>
      <w:start w:val="1"/>
    </w:lvl>
  </w:abstractNum>
  <w:abstractNum w:abstractNumId="88">
    <w:nsid w:val="555C55B5"/>
    <w:multiLevelType w:val="hybridMultilevel"/>
    <w:lvl w:ilvl="0">
      <w:lvlJc w:val="left"/>
      <w:lvlText w:val="(%1)"/>
      <w:numFmt w:val="lowerRoman"/>
      <w:start w:val="1"/>
    </w:lvl>
  </w:abstractNum>
  <w:abstractNum w:abstractNumId="89">
    <w:nsid w:val="3FA62ACA"/>
    <w:multiLevelType w:val="hybridMultilevel"/>
    <w:lvl w:ilvl="0">
      <w:lvlJc w:val="left"/>
      <w:lvlText w:val="%1"/>
      <w:numFmt w:val="lowerLetter"/>
      <w:start w:val="1"/>
    </w:lvl>
    <w:lvl w:ilvl="1">
      <w:lvlJc w:val="left"/>
      <w:lvlText w:val="(%2)"/>
      <w:numFmt w:val="lowerRoman"/>
      <w:start w:val="4"/>
    </w:lvl>
  </w:abstractNum>
  <w:abstractNum w:abstractNumId="90">
    <w:nsid w:val="14FCE74E"/>
    <w:multiLevelType w:val="hybridMultilevel"/>
    <w:lvl w:ilvl="0">
      <w:lvlJc w:val="left"/>
      <w:lvlText w:val="(%1)"/>
      <w:numFmt w:val="lowerLetter"/>
      <w:start w:val="3"/>
    </w:lvl>
    <w:lvl w:ilvl="1">
      <w:lvlJc w:val="left"/>
      <w:lvlText w:val="%2"/>
      <w:numFmt w:val="lowerRoman"/>
      <w:start w:val="1"/>
    </w:lvl>
  </w:abstractNum>
  <w:abstractNum w:abstractNumId="91">
    <w:nsid w:val="6A3DD3E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2">
    <w:nsid w:val="71C91298"/>
    <w:multiLevelType w:val="hybridMultilevel"/>
    <w:lvl w:ilvl="0">
      <w:lvlJc w:val="left"/>
      <w:lvlText w:val="%1"/>
      <w:numFmt w:val="lowerRoman"/>
      <w:start w:val="1"/>
    </w:lvl>
    <w:lvl w:ilvl="1">
      <w:lvlJc w:val="left"/>
      <w:lvlText w:val="(%2)"/>
      <w:numFmt w:val="upperLetter"/>
      <w:start w:val="3"/>
    </w:lvl>
  </w:abstractNum>
  <w:abstractNum w:abstractNumId="93">
    <w:nsid w:val="9DAF632"/>
    <w:multiLevelType w:val="hybridMultilevel"/>
    <w:lvl w:ilvl="0">
      <w:lvlJc w:val="left"/>
      <w:lvlText w:val="(%1)"/>
      <w:numFmt w:val="lowerRoman"/>
      <w:start w:val="4"/>
    </w:lvl>
    <w:lvl w:ilvl="1">
      <w:lvlJc w:val="left"/>
      <w:lvlText w:val="%2"/>
      <w:numFmt w:val="upperLetter"/>
      <w:start w:val="1"/>
    </w:lvl>
  </w:abstractNum>
  <w:abstractNum w:abstractNumId="94">
    <w:nsid w:val="53299938"/>
    <w:multiLevelType w:val="hybridMultilevel"/>
    <w:lvl w:ilvl="0">
      <w:lvlJc w:val="left"/>
      <w:lvlText w:val="(%1)"/>
      <w:numFmt w:val="lowerLetter"/>
      <w:start w:val="2"/>
    </w:lvl>
    <w:lvl w:ilvl="1">
      <w:lvlJc w:val="left"/>
      <w:lvlText w:val="(%2)"/>
      <w:numFmt w:val="lowerRoman"/>
      <w:start w:val="1"/>
    </w:lvl>
  </w:abstractNum>
  <w:abstractNum w:abstractNumId="95">
    <w:nsid w:val="1FBFE8E0"/>
    <w:multiLevelType w:val="hybridMultilevel"/>
    <w:lvl w:ilvl="0">
      <w:lvlJc w:val="left"/>
      <w:lvlText w:val="(%1)"/>
      <w:numFmt w:val="lowerLetter"/>
      <w:start w:val="1"/>
    </w:lvl>
  </w:abstractNum>
  <w:abstractNum w:abstractNumId="96">
    <w:nsid w:val="5092CA79"/>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1"/>
    </w:lvl>
  </w:abstractNum>
  <w:abstractNum w:abstractNumId="97">
    <w:nsid w:val="1D545C4D"/>
    <w:multiLevelType w:val="hybridMultilevel"/>
    <w:lvl w:ilvl="0">
      <w:lvlJc w:val="left"/>
      <w:lvlText w:val="(%1)"/>
      <w:numFmt w:val="lowerRoman"/>
      <w:start w:val="2"/>
    </w:lvl>
  </w:abstractNum>
  <w:abstractNum w:abstractNumId="98">
    <w:nsid w:val="59ADEA3D"/>
    <w:multiLevelType w:val="hybridMultilevel"/>
    <w:lvl w:ilvl="0">
      <w:lvlJc w:val="left"/>
      <w:lvlText w:val="%1"/>
      <w:numFmt w:val="lowerRoman"/>
      <w:start w:val="1"/>
    </w:lvl>
    <w:lvl w:ilvl="1">
      <w:lvlJc w:val="left"/>
      <w:lvlText w:val="(%2)"/>
      <w:numFmt w:val="lowerLetter"/>
      <w:start w:val="1"/>
    </w:lvl>
  </w:abstractNum>
  <w:abstractNum w:abstractNumId="99">
    <w:nsid w:val="288F1A34"/>
    <w:multiLevelType w:val="hybridMultilevel"/>
    <w:lvl w:ilvl="0">
      <w:lvlJc w:val="left"/>
      <w:lvlText w:val="(%1)"/>
      <w:numFmt w:val="lowerRoman"/>
      <w:start w:val="3"/>
    </w:lvl>
    <w:lvl w:ilvl="1">
      <w:lvlJc w:val="left"/>
      <w:lvlText w:val="%2"/>
      <w:numFmt w:val="lowerLetter"/>
      <w:start w:val="1"/>
    </w:lvl>
  </w:abstractNum>
  <w:abstractNum w:abstractNumId="100">
    <w:nsid w:val="2A155DBC"/>
    <w:multiLevelType w:val="hybridMultilevel"/>
    <w:lvl w:ilvl="0">
      <w:lvlJc w:val="left"/>
      <w:lvlText w:val="(%1)"/>
      <w:numFmt w:val="lowerLetter"/>
      <w:start w:val="4"/>
    </w:lvl>
  </w:abstractNum>
  <w:abstractNum w:abstractNumId="101">
    <w:nsid w:val="1D9F6E5F"/>
    <w:multiLevelType w:val="hybridMultilevel"/>
    <w:lvl w:ilvl="0">
      <w:lvlJc w:val="left"/>
      <w:lvlText w:val="(%1)"/>
      <w:numFmt w:val="lowerLetter"/>
      <w:start w:val="1"/>
    </w:lvl>
  </w:abstractNum>
  <w:abstractNum w:abstractNumId="102">
    <w:nsid w:val="97E1B4E"/>
    <w:multiLevelType w:val="hybridMultilevel"/>
    <w:lvl w:ilvl="0">
      <w:lvlJc w:val="left"/>
      <w:lvlText w:val="(%1)"/>
      <w:numFmt w:val="lowerLetter"/>
      <w:start w:val="1"/>
    </w:lvl>
  </w:abstractNum>
  <w:abstractNum w:abstractNumId="103">
    <w:nsid w:val="5108827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4">
    <w:nsid w:val="1CA0C5FA"/>
    <w:multiLevelType w:val="hybridMultilevel"/>
    <w:lvl w:ilvl="0">
      <w:lvlJc w:val="left"/>
      <w:lvlText w:val="(%1)"/>
      <w:numFmt w:val="lowerLetter"/>
      <w:start w:val="3"/>
    </w:lvl>
    <w:lvl w:ilvl="1">
      <w:lvlJc w:val="left"/>
      <w:lvlText w:val="(%2)"/>
      <w:numFmt w:val="lowerRoman"/>
      <w:start w:val="1"/>
    </w:lvl>
  </w:abstractNum>
  <w:abstractNum w:abstractNumId="105">
    <w:nsid w:val="53584BCB"/>
    <w:multiLevelType w:val="hybridMultilevel"/>
    <w:lvl w:ilvl="0">
      <w:lvlJc w:val="left"/>
      <w:lvlText w:val="(%1)"/>
      <w:numFmt w:val="lowerLetter"/>
      <w:start w:val="1"/>
    </w:lvl>
  </w:abstractNum>
  <w:abstractNum w:abstractNumId="106">
    <w:nsid w:val="415E286C"/>
    <w:multiLevelType w:val="hybridMultilevel"/>
    <w:lvl w:ilvl="0">
      <w:lvlJc w:val="left"/>
      <w:lvlText w:val="(%1)"/>
      <w:numFmt w:val="decimal"/>
      <w:start w:val="1"/>
    </w:lvl>
  </w:abstractNum>
  <w:abstractNum w:abstractNumId="107">
    <w:nsid w:val="7C58FD05"/>
    <w:multiLevelType w:val="hybridMultilevel"/>
    <w:lvl w:ilvl="0">
      <w:lvlJc w:val="left"/>
      <w:lvlText w:val="%1)"/>
      <w:numFmt w:val="lowerLetter"/>
      <w:start w:val="1"/>
    </w:lvl>
  </w:abstractNum>
  <w:abstractNum w:abstractNumId="108">
    <w:nsid w:val="23D86AAC"/>
    <w:multiLevelType w:val="hybridMultilevel"/>
    <w:lvl w:ilvl="0">
      <w:lvlJc w:val="left"/>
      <w:lvlText w:val="(%1)"/>
      <w:numFmt w:val="decimal"/>
      <w:start w:val="5"/>
    </w:lvl>
  </w:abstractNum>
  <w:abstractNum w:abstractNumId="109">
    <w:nsid w:val="45E6D486"/>
    <w:multiLevelType w:val="hybridMultilevel"/>
    <w:lvl w:ilvl="0">
      <w:lvlJc w:val="left"/>
      <w:lvlText w:val="%1)"/>
      <w:numFmt w:val="lowerLetter"/>
      <w:start w:val="1"/>
    </w:lvl>
  </w:abstractNum>
  <w:abstractNum w:abstractNumId="110">
    <w:nsid w:val="5C10FE21"/>
    <w:multiLevelType w:val="hybridMultilevel"/>
    <w:lvl w:ilvl="0">
      <w:lvlJc w:val="left"/>
      <w:lvlText w:val="(%1)"/>
      <w:numFmt w:val="decimal"/>
      <w:start w:val="1"/>
    </w:lvl>
  </w:abstractNum>
  <w:abstractNum w:abstractNumId="111">
    <w:nsid w:val="E7FFA2B"/>
    <w:multiLevelType w:val="hybridMultilevel"/>
    <w:lvl w:ilvl="0">
      <w:lvlJc w:val="left"/>
      <w:lvlText w:val="%1)"/>
      <w:numFmt w:val="lowerLetter"/>
      <w:start w:val="1"/>
    </w:lvl>
  </w:abstractNum>
  <w:abstractNum w:abstractNumId="112">
    <w:nsid w:val="3C5991AA"/>
    <w:multiLevelType w:val="hybridMultilevel"/>
    <w:lvl w:ilvl="0">
      <w:lvlJc w:val="left"/>
      <w:lvlText w:val="(%1)"/>
      <w:numFmt w:val="decimal"/>
      <w:start w:val="5"/>
    </w:lvl>
  </w:abstractNum>
  <w:abstractNum w:abstractNumId="113">
    <w:nsid w:val="4BD8591A"/>
    <w:multiLevelType w:val="hybridMultilevel"/>
    <w:lvl w:ilvl="0">
      <w:lvlJc w:val="left"/>
      <w:lvlText w:val="%1)"/>
      <w:numFmt w:val="lowerLetter"/>
      <w:start w:val="1"/>
    </w:lvl>
  </w:abstractNum>
  <w:abstractNum w:abstractNumId="114">
    <w:nsid w:val="78DF6A55"/>
    <w:multiLevelType w:val="hybridMultilevel"/>
    <w:lvl w:ilvl="0">
      <w:lvlJc w:val="left"/>
      <w:lvlText w:val="(%1)"/>
      <w:numFmt w:val="decimal"/>
      <w:start w:val="1"/>
    </w:lvl>
  </w:abstractNum>
  <w:abstractNum w:abstractNumId="115">
    <w:nsid w:val="39B7AAA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81"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8"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4" Type="http://schemas.openxmlformats.org/officeDocument/2006/relationships/image" Target="media/image177.png"/><Relationship Id="rId197" Type="http://schemas.openxmlformats.org/officeDocument/2006/relationships/image" Target="media/image178.png"/><Relationship Id="rId199" Type="http://schemas.openxmlformats.org/officeDocument/2006/relationships/image" Target="media/image179.png"/><Relationship Id="rId203" Type="http://schemas.openxmlformats.org/officeDocument/2006/relationships/image" Target="media/image180.png"/><Relationship Id="rId206" Type="http://schemas.openxmlformats.org/officeDocument/2006/relationships/image" Target="media/image181.png"/><Relationship Id="rId209" Type="http://schemas.openxmlformats.org/officeDocument/2006/relationships/image" Target="media/image182.png"/><Relationship Id="rId211" Type="http://schemas.openxmlformats.org/officeDocument/2006/relationships/image" Target="media/image183.png"/><Relationship Id="rId213" Type="http://schemas.openxmlformats.org/officeDocument/2006/relationships/image" Target="media/image184.png"/><Relationship Id="rId216" Type="http://schemas.openxmlformats.org/officeDocument/2006/relationships/image" Target="media/image185.png"/><Relationship Id="rId218" Type="http://schemas.openxmlformats.org/officeDocument/2006/relationships/image" Target="media/image186.png"/><Relationship Id="rId221" Type="http://schemas.openxmlformats.org/officeDocument/2006/relationships/image" Target="media/image187.png"/><Relationship Id="rId224" Type="http://schemas.openxmlformats.org/officeDocument/2006/relationships/image" Target="media/image188.png"/><Relationship Id="rId227" Type="http://schemas.openxmlformats.org/officeDocument/2006/relationships/image" Target="media/image189.png"/><Relationship Id="rId230" Type="http://schemas.openxmlformats.org/officeDocument/2006/relationships/image" Target="media/image190.png"/><Relationship Id="rId232" Type="http://schemas.openxmlformats.org/officeDocument/2006/relationships/image" Target="media/image191.png"/><Relationship Id="rId235" Type="http://schemas.openxmlformats.org/officeDocument/2006/relationships/image" Target="media/image192.png"/><Relationship Id="rId239" Type="http://schemas.openxmlformats.org/officeDocument/2006/relationships/image" Target="media/image193.png"/><Relationship Id="rId241" Type="http://schemas.openxmlformats.org/officeDocument/2006/relationships/image" Target="media/image194.png"/><Relationship Id="rId245" Type="http://schemas.openxmlformats.org/officeDocument/2006/relationships/image" Target="media/image195.png"/><Relationship Id="rId248" Type="http://schemas.openxmlformats.org/officeDocument/2006/relationships/image" Target="media/image196.png"/><Relationship Id="rId251" Type="http://schemas.openxmlformats.org/officeDocument/2006/relationships/image" Target="media/image197.png"/><Relationship Id="rId252" Type="http://schemas.openxmlformats.org/officeDocument/2006/relationships/image" Target="media/image198.png"/><Relationship Id="rId255" Type="http://schemas.openxmlformats.org/officeDocument/2006/relationships/image" Target="media/image199.png"/><Relationship Id="rId257" Type="http://schemas.openxmlformats.org/officeDocument/2006/relationships/image" Target="media/image200.png"/><Relationship Id="rId260" Type="http://schemas.openxmlformats.org/officeDocument/2006/relationships/image" Target="media/image201.png"/><Relationship Id="rId263" Type="http://schemas.openxmlformats.org/officeDocument/2006/relationships/image" Target="media/image202.png"/><Relationship Id="rId265" Type="http://schemas.openxmlformats.org/officeDocument/2006/relationships/image" Target="media/image203.png"/><Relationship Id="rId266" Type="http://schemas.openxmlformats.org/officeDocument/2006/relationships/image" Target="media/image204.png"/><Relationship Id="rId267" Type="http://schemas.openxmlformats.org/officeDocument/2006/relationships/image" Target="media/image205.png"/><Relationship Id="rId268" Type="http://schemas.openxmlformats.org/officeDocument/2006/relationships/image" Target="media/image206.png"/><Relationship Id="rId269" Type="http://schemas.openxmlformats.org/officeDocument/2006/relationships/image" Target="media/image207.png"/><Relationship Id="rId270" Type="http://schemas.openxmlformats.org/officeDocument/2006/relationships/image" Target="media/image208.png"/><Relationship Id="rId271" Type="http://schemas.openxmlformats.org/officeDocument/2006/relationships/image" Target="media/image209.png"/><Relationship Id="rId272" Type="http://schemas.openxmlformats.org/officeDocument/2006/relationships/image" Target="media/image210.png"/><Relationship Id="rId273" Type="http://schemas.openxmlformats.org/officeDocument/2006/relationships/image" Target="media/image211.png"/><Relationship Id="rId274" Type="http://schemas.openxmlformats.org/officeDocument/2006/relationships/image" Target="media/image212.png"/><Relationship Id="rId275" Type="http://schemas.openxmlformats.org/officeDocument/2006/relationships/image" Target="media/image213.png"/><Relationship Id="rId276" Type="http://schemas.openxmlformats.org/officeDocument/2006/relationships/image" Target="media/image214.png"/><Relationship Id="rId277" Type="http://schemas.openxmlformats.org/officeDocument/2006/relationships/image" Target="media/image215.png"/><Relationship Id="rId278" Type="http://schemas.openxmlformats.org/officeDocument/2006/relationships/image" Target="media/image216.png"/><Relationship Id="rId279" Type="http://schemas.openxmlformats.org/officeDocument/2006/relationships/image" Target="media/image217.png"/><Relationship Id="rId280" Type="http://schemas.openxmlformats.org/officeDocument/2006/relationships/image" Target="media/image218.png"/><Relationship Id="rId178" Type="http://schemas.openxmlformats.org/officeDocument/2006/relationships/hyperlink" Target="http://www.sec.gov/Archives/edgar/data/746598/000074659812000124/exhibit21-agreement.htm" TargetMode="External"/><Relationship Id="rId179" Type="http://schemas.openxmlformats.org/officeDocument/2006/relationships/hyperlink" Target="http://www.sec.gov/Archives/edgar/data/746598/000074659814000038/exhibit21precisepurchaseag.htm" TargetMode="External"/><Relationship Id="rId180" Type="http://schemas.openxmlformats.org/officeDocument/2006/relationships/hyperlink" Target="https://www.sec.gov/Archives/edgar/data/746598/000074659821000057/exhibit21combinationagreem.htm" TargetMode="External"/><Relationship Id="rId182" Type="http://schemas.openxmlformats.org/officeDocument/2006/relationships/hyperlink" Target="https://www.sec.gov/Archives/edgar/data/746598/000074659821000070/exhibit21agreementforpurch.htm" TargetMode="External"/><Relationship Id="rId183" Type="http://schemas.openxmlformats.org/officeDocument/2006/relationships/hyperlink" Target="https://www.sec.gov/Archives/edgar/data/746598/000074659821000080/exhibit21agreementforpurch.htm" TargetMode="External"/><Relationship Id="rId186" Type="http://schemas.openxmlformats.org/officeDocument/2006/relationships/hyperlink" Target="https://www.sec.gov/Archives/edgar/data/746598/000074659820000095/exhibit31bylawsasamend.htm" TargetMode="External"/><Relationship Id="rId187" Type="http://schemas.openxmlformats.org/officeDocument/2006/relationships/hyperlink" Target="https://www.sec.gov/Archives/edgar/data/746598/000074659819000128/brc-20190731xex41.htm" TargetMode="External"/><Relationship Id="rId189" Type="http://schemas.openxmlformats.org/officeDocument/2006/relationships/hyperlink" Target="https://www.sec.gov/Archives/edgar/data/746598/000074659820000097/brc-20200731xex101.htm" TargetMode="External"/><Relationship Id="rId192" Type="http://schemas.openxmlformats.org/officeDocument/2006/relationships/hyperlink" Target="http://www.sec.gov/Archives/edgar/data/746598/000074659818000086/brc-2018731xex104.htm" TargetMode="External"/><Relationship Id="rId193" Type="http://schemas.openxmlformats.org/officeDocument/2006/relationships/hyperlink" Target="http://www.sec.gov/Archives/edgar/data/746598/000074659818000086/brc-2018731xex105.htm" TargetMode="External"/><Relationship Id="rId195" Type="http://schemas.openxmlformats.org/officeDocument/2006/relationships/hyperlink" Target="https://www.sec.gov/Archives/edgar/data/746598/000074659822000067/brc-20220731xex106changeof.htm" TargetMode="External"/><Relationship Id="rId196" Type="http://schemas.openxmlformats.org/officeDocument/2006/relationships/hyperlink" Target="http://www.sec.gov/Archives/edgar/data/746598/000074659816000242/exhibit1012017omnibusincen.htm" TargetMode="External"/><Relationship Id="rId198" Type="http://schemas.openxmlformats.org/officeDocument/2006/relationships/hyperlink" Target="http://www.sec.gov/Archives/edgar/data/746598/000074659816000259/exhibit101-stockoptionagre.htm" TargetMode="External"/><Relationship Id="rId200" Type="http://schemas.openxmlformats.org/officeDocument/2006/relationships/hyperlink" Target="https://www.sec.gov/Archives/edgar/data/746598/000074659822000136/exhibit101settlementagreem.htm" TargetMode="External"/><Relationship Id="rId201" Type="http://schemas.openxmlformats.org/officeDocument/2006/relationships/hyperlink" Target="https://www.sec.gov/Archives/edgar/data/746598/000074659820000097/brc-20200731xex1011.htm" TargetMode="External"/><Relationship Id="rId202" Type="http://schemas.openxmlformats.org/officeDocument/2006/relationships/hyperlink" Target="https://www.sec.gov/Archives/edgar/data/746598/000074659823000004/exhibit101employmentcontra.htm" TargetMode="External"/><Relationship Id="rId204" Type="http://schemas.openxmlformats.org/officeDocument/2006/relationships/hyperlink" Target="https://www.sec.gov/Archives/edgar/data/746598/000074659819000128/brc-20190731xex1057.htm" TargetMode="External"/><Relationship Id="rId205" Type="http://schemas.openxmlformats.org/officeDocument/2006/relationships/hyperlink" Target="http://www.sec.gov/Archives/edgar/data/746598/000074659818000086/brc-2018731xex1014.htm" TargetMode="External"/><Relationship Id="rId207" Type="http://schemas.openxmlformats.org/officeDocument/2006/relationships/hyperlink" Target="https://www.sec.gov/Archives/edgar/data/746598/000074659823000027/exhibit101completeandperma.htm" TargetMode="External"/><Relationship Id="rId208" Type="http://schemas.openxmlformats.org/officeDocument/2006/relationships/hyperlink" Target="https://www.sec.gov/Archives/edgar/data/746598/000074659819000128/brc-20190731xex1058.htm" TargetMode="External"/><Relationship Id="rId210" Type="http://schemas.openxmlformats.org/officeDocument/2006/relationships/hyperlink" Target="https://www.sec.gov/Archives/edgar/data/746598/000074659822000022/exhibit102offerletterrusse.htm" TargetMode="External"/><Relationship Id="rId212" Type="http://schemas.openxmlformats.org/officeDocument/2006/relationships/hyperlink" Target="http://www.sec.gov/Archives/edgar/data/746598/000074659815000132/brc-2015731xex1059.htm" TargetMode="External"/><Relationship Id="rId214" Type="http://schemas.openxmlformats.org/officeDocument/2006/relationships/hyperlink" Target="http://www.sec.gov/Archives/edgar/data/746598/000074659818000086/brc-2018731xex1058.htm" TargetMode="External"/><Relationship Id="rId215" Type="http://schemas.openxmlformats.org/officeDocument/2006/relationships/hyperlink" Target="https://www.sec.gov/Archives/edgar/data/746598/000074659822000022/exhibit103restrictedstocku.htm" TargetMode="External"/><Relationship Id="rId217" Type="http://schemas.openxmlformats.org/officeDocument/2006/relationships/hyperlink" Target="http://www.sec.gov/Archives/edgar/data/746598/000074659818000086/brc-2018731xex1021.htm" TargetMode="External"/><Relationship Id="rId219" Type="http://schemas.openxmlformats.org/officeDocument/2006/relationships/hyperlink" Target="https://www.sec.gov/Archives/edgar/data/746598/000074659822000022/exhibit104changeofcontrola.htm" TargetMode="External"/><Relationship Id="rId220" Type="http://schemas.openxmlformats.org/officeDocument/2006/relationships/hyperlink" Target="https://www.sec.gov/Archives/edgar/data/746598/000074659822000067/brc-20220731xex1023offerle.htm" TargetMode="External"/><Relationship Id="rId222" Type="http://schemas.openxmlformats.org/officeDocument/2006/relationships/hyperlink" Target="https://www.sec.gov/Archives/edgar/data/746598/000074659822000067/brc-20220731xex1024.htm" TargetMode="External"/><Relationship Id="rId223" Type="http://schemas.openxmlformats.org/officeDocument/2006/relationships/hyperlink" Target="https://www.sec.gov/Archives/edgar/data/746598/000074659821000102/brc-20210731xex1025.htm" TargetMode="External"/><Relationship Id="rId225" Type="http://schemas.openxmlformats.org/officeDocument/2006/relationships/hyperlink" Target="https://www.sec.gov/Archives/edgar/data/746598/000074659822000057/exhibit101offerletterolivi.htm" TargetMode="External"/><Relationship Id="rId226" Type="http://schemas.openxmlformats.org/officeDocument/2006/relationships/hyperlink" Target="http://www.sec.gov/Archives/edgar/data/746598/000074659818000086/brc-2018731xex1059.htm" TargetMode="External"/><Relationship Id="rId228" Type="http://schemas.openxmlformats.org/officeDocument/2006/relationships/hyperlink" Target="https://www.sec.gov/Archives/edgar/data/746598/000074659822000057/exhibit102non-competeolivi.htm" TargetMode="External"/><Relationship Id="rId229" Type="http://schemas.openxmlformats.org/officeDocument/2006/relationships/hyperlink" Target="https://www.sec.gov/Archives/edgar/data/0000746598/000074659821000203/exhibit101creditagreementa.htm" TargetMode="External"/><Relationship Id="rId231" Type="http://schemas.openxmlformats.org/officeDocument/2006/relationships/hyperlink" Target="http://www.sec.gov/Archives/edgar/data/746598/000074659814000040/brc-20140131xex102.htm" TargetMode="External"/><Relationship Id="rId233" Type="http://schemas.openxmlformats.org/officeDocument/2006/relationships/hyperlink" Target="https://www.sec.gov/Archives/edgar/data/746598/000074659821000102/brc-20210731xex1034.htm" TargetMode="External"/><Relationship Id="rId234" Type="http://schemas.openxmlformats.org/officeDocument/2006/relationships/hyperlink" Target="https://www.sec.gov/Archives/edgar/data/746598/000074659820000097/brc-20200731xex1035.htm" TargetMode="External"/><Relationship Id="rId236" Type="http://schemas.openxmlformats.org/officeDocument/2006/relationships/hyperlink" Target="https://www.sec.gov/Archives/edgar/data/746598/000074659820000097/brc-20200731xex1036.htm" TargetMode="External"/><Relationship Id="rId237" Type="http://schemas.openxmlformats.org/officeDocument/2006/relationships/hyperlink" Target="http://www.sec.gov/Archives/edgar/data/746598/000095012311087053/c21968exv10w39.htm" TargetMode="External"/><Relationship Id="rId238" Type="http://schemas.openxmlformats.org/officeDocument/2006/relationships/hyperlink" Target="http://www.sec.gov/Archives/edgar/data/746598/000095012311087053/c21968exv10w40.htm" TargetMode="External"/><Relationship Id="rId240" Type="http://schemas.openxmlformats.org/officeDocument/2006/relationships/hyperlink" Target="http://www.sec.gov/Archives/edgar/data/746598/000095012311087053/c21968exv10w41.htm" TargetMode="External"/><Relationship Id="rId242" Type="http://schemas.openxmlformats.org/officeDocument/2006/relationships/hyperlink" Target="http://www.sec.gov/Archives/edgar/data/746598/000119312512406801/d385957dex1044.htm" TargetMode="External"/><Relationship Id="rId243" Type="http://schemas.openxmlformats.org/officeDocument/2006/relationships/hyperlink" Target="http://www.sec.gov/Archives/edgar/data/746598/000119312512406801/d385957dex1045.htm" TargetMode="External"/><Relationship Id="rId244" Type="http://schemas.openxmlformats.org/officeDocument/2006/relationships/hyperlink" Target="http://www.sec.gov/Archives/edgar/data/746598/000074659819000121/exhibit101creditagreement-.htm" TargetMode="External"/><Relationship Id="rId246" Type="http://schemas.openxmlformats.org/officeDocument/2006/relationships/hyperlink" Target="http://www.sec.gov/Archives/edgar/data/746598/000074659813000223/brc-2013731xex1048.htm" TargetMode="External"/><Relationship Id="rId247" Type="http://schemas.openxmlformats.org/officeDocument/2006/relationships/hyperlink" Target="http://www.sec.gov/Archives/edgar/data/746598/000074659813000223/brc-2013731xex1049.htm" TargetMode="External"/><Relationship Id="rId249" Type="http://schemas.openxmlformats.org/officeDocument/2006/relationships/hyperlink" Target="http://www.sec.gov/Archives/edgar/data/746598/000074659815000132/brc-2015731xex1060.htm" TargetMode="External"/><Relationship Id="rId250" Type="http://schemas.openxmlformats.org/officeDocument/2006/relationships/hyperlink" Target="http://www.sec.gov/Archives/edgar/data/746598/000074659814000167/brc-2014731xex1061.htm" TargetMode="External"/><Relationship Id="rId253" Type="http://schemas.openxmlformats.org/officeDocument/2006/relationships/hyperlink" Target="http://www.sec.gov/Archives/edgar/data/746598/000074659814000167/brc-2014731xex1062.htm" TargetMode="External"/><Relationship Id="rId254" Type="http://schemas.openxmlformats.org/officeDocument/2006/relationships/hyperlink" Target="https://www.sec.gov/Archives/edgar/data/746598/000074659820000097/brc-20200731xex1056.htm" TargetMode="External"/><Relationship Id="rId256" Type="http://schemas.openxmlformats.org/officeDocument/2006/relationships/hyperlink" Target="https://www.sec.gov/Archives/edgar/data/746598/000074659820000097/brc-20200731xex1057.htm" TargetMode="External"/><Relationship Id="rId258" Type="http://schemas.openxmlformats.org/officeDocument/2006/relationships/hyperlink" Target="https://www.sec.gov/Archives/edgar/data/746598/000074659822000142/exhibit101creditagreementa.htm" TargetMode="External"/><Relationship Id="rId259" Type="http://schemas.openxmlformats.org/officeDocument/2006/relationships/hyperlink" Target="https://www.sec.gov/Archives/edgar/data/746598/000074659823000027/exhibit102offerletterannth.htm" TargetMode="External"/><Relationship Id="rId261" Type="http://schemas.openxmlformats.org/officeDocument/2006/relationships/hyperlink" Target="https://www.sec.gov/Archives/edgar/data/746598/000074659823000027/exhibit103changeofcontrola.htm" TargetMode="External"/><Relationship Id="rId262" Type="http://schemas.openxmlformats.org/officeDocument/2006/relationships/hyperlink" Target="https://www.sec.gov/Archives/edgar/data/746598/000074659823000004/exhibit102addendumemployme.htm" TargetMode="External"/><Relationship Id="rId264" Type="http://schemas.openxmlformats.org/officeDocument/2006/relationships/hyperlink" Target="https://www.sec.gov/Archives/edgar/data/746598/000074659823000004/exhibit103changeofcontro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2023-09-05T06:30:37Z</dcterms:created>
  <dcterms:modified xsi:type="dcterms:W3CDTF">2023-09-05T06:30:37Z</dcterms:modified>
</cp:coreProperties>
</file>