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March 30, 2011</w:t>
      </w:r>
    </w:p>
    <w:p>
      <w:pPr>
        <w:spacing w:after="0" w:line="200"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6"/>
              </w:rPr>
              <w:t>Wisconsin</w:t>
            </w:r>
          </w:p>
        </w:tc>
        <w:tc>
          <w:tcPr>
            <w:tcW w:w="25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3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8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6555 West Good Hope Road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3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Milwaukee, Wisconsin</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53223</w:t>
            </w:r>
          </w:p>
        </w:tc>
      </w:tr>
      <w:tr>
        <w:trPr>
          <w:trHeight w:val="224"/>
        </w:trPr>
        <w:tc>
          <w:tcPr>
            <w:tcW w:w="3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29"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1663700</wp:posOffset>
            </wp:positionH>
            <wp:positionV relativeFrom="paragraph">
              <wp:posOffset>-130175</wp:posOffset>
            </wp:positionV>
            <wp:extent cx="284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97" w:lineRule="exact"/>
        <w:rPr>
          <w:sz w:val="24"/>
          <w:szCs w:val="24"/>
          <w:color w:val="auto"/>
        </w:rPr>
      </w:pPr>
    </w:p>
    <w:p>
      <w:pPr>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ind w:left="340" w:right="210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43" w:lineRule="exact"/>
        <w:rPr>
          <w:sz w:val="20"/>
          <w:szCs w:val="20"/>
          <w:color w:val="auto"/>
        </w:rPr>
      </w:pPr>
    </w:p>
    <w:p>
      <w:pPr>
        <w:ind w:left="340" w:right="1360" w:firstLine="389"/>
        <w:spacing w:after="0" w:line="255" w:lineRule="auto"/>
        <w:rPr>
          <w:sz w:val="20"/>
          <w:szCs w:val="20"/>
          <w:color w:val="auto"/>
        </w:rPr>
      </w:pPr>
      <w:r>
        <w:rPr>
          <w:rFonts w:ascii="Arial" w:cs="Arial" w:eastAsia="Arial" w:hAnsi="Arial"/>
          <w:sz w:val="18"/>
          <w:szCs w:val="18"/>
          <w:color w:val="auto"/>
        </w:rPr>
        <w:t>On March 30, 2011, Brady Corporation (the “Company”) issued a press release announcing that Stephen Millar has been appointed President — Brady Asia-Pacific, effective as of April 1, 2011. Mr. Millar, 50, joined the Company in 1999 and has held a variety of leadership positions at the Company. Mr. Millar currently serves as the MRO Director of the Asia-Pacific region. Mr. Millar has no family relationships with any director or executive officer of the Company, nor is he a party to any related party transactions with the Company. Pursuant to the Company’s Bylaws, Mr. Millar will serve in his executive position at the discretion of the Company’s Board of Directors. Mr. Millar will be eligible to participate in the Company’s equity incentive and other benefit plans on a basis similar to other executive officers.</w:t>
      </w:r>
    </w:p>
    <w:p>
      <w:pPr>
        <w:spacing w:after="0" w:line="149" w:lineRule="exact"/>
        <w:rPr>
          <w:sz w:val="20"/>
          <w:szCs w:val="20"/>
          <w:color w:val="auto"/>
        </w:rPr>
      </w:pPr>
    </w:p>
    <w:p>
      <w:pPr>
        <w:ind w:left="340" w:right="1600" w:firstLine="389"/>
        <w:spacing w:after="0" w:line="264" w:lineRule="auto"/>
        <w:rPr>
          <w:sz w:val="20"/>
          <w:szCs w:val="20"/>
          <w:color w:val="auto"/>
        </w:rPr>
      </w:pPr>
      <w:r>
        <w:rPr>
          <w:rFonts w:ascii="Arial" w:cs="Arial" w:eastAsia="Arial" w:hAnsi="Arial"/>
          <w:sz w:val="18"/>
          <w:szCs w:val="18"/>
          <w:color w:val="auto"/>
        </w:rPr>
        <w:t>Following Mr. Millar’s appointment, Allan J. Klotsche, who previously served as President — Brady Asia-Pacific and who remained in that position while a search for his successor was conducted, will remain Senior Vice President — Human Resources, a position he was named to on October 22, 2010.</w:t>
      </w:r>
    </w:p>
    <w:p>
      <w:pPr>
        <w:spacing w:after="0" w:line="141" w:lineRule="exact"/>
        <w:rPr>
          <w:sz w:val="20"/>
          <w:szCs w:val="20"/>
          <w:color w:val="auto"/>
        </w:rPr>
      </w:pPr>
    </w:p>
    <w:p>
      <w:pPr>
        <w:ind w:left="340" w:right="1480" w:firstLine="389"/>
        <w:spacing w:after="0" w:line="277" w:lineRule="auto"/>
        <w:rPr>
          <w:sz w:val="20"/>
          <w:szCs w:val="20"/>
          <w:color w:val="auto"/>
        </w:rPr>
      </w:pPr>
      <w:r>
        <w:rPr>
          <w:rFonts w:ascii="Arial" w:cs="Arial" w:eastAsia="Arial" w:hAnsi="Arial"/>
          <w:sz w:val="18"/>
          <w:szCs w:val="18"/>
          <w:color w:val="auto"/>
        </w:rPr>
        <w:t>A copy of the press release announcing Mr. Millar’s appointment is being provided to the Securities and Exchange Commission as Exhibit 99.1 attached herewith and is incorporated herein by reference.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80" w:type="dxa"/>
            <w:vAlign w:val="bottom"/>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128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6"/>
                <w:szCs w:val="16"/>
                <w:color w:val="auto"/>
              </w:rPr>
            </w:pPr>
          </w:p>
        </w:tc>
        <w:tc>
          <w:tcPr>
            <w:tcW w:w="8160" w:type="dxa"/>
            <w:vAlign w:val="bottom"/>
          </w:tcPr>
          <w:p>
            <w:pPr>
              <w:spacing w:after="0" w:line="195" w:lineRule="exact"/>
              <w:rPr>
                <w:sz w:val="20"/>
                <w:szCs w:val="20"/>
                <w:color w:val="auto"/>
              </w:rPr>
            </w:pPr>
            <w:r>
              <w:rPr>
                <w:rFonts w:ascii="Arial" w:cs="Arial" w:eastAsia="Arial" w:hAnsi="Arial"/>
                <w:sz w:val="18"/>
                <w:szCs w:val="18"/>
                <w:color w:val="auto"/>
                <w:w w:val="96"/>
              </w:rPr>
              <w:t>Press Release of Brady Corporation, dated March 30, 2011, announcing Stephen Millar as the Company’s</w:t>
            </w: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President — Brady Asia-Pacific.</w:t>
            </w:r>
          </w:p>
        </w:tc>
        <w:tc>
          <w:tcPr>
            <w:tcW w:w="13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04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left="340" w:right="1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BRADY CORPORATION</w:t>
            </w:r>
          </w:p>
        </w:tc>
        <w:tc>
          <w:tcPr>
            <w:tcW w:w="2820" w:type="dxa"/>
            <w:vAlign w:val="bottom"/>
          </w:tcPr>
          <w:p>
            <w:pPr>
              <w:spacing w:after="0"/>
              <w:rPr>
                <w:sz w:val="20"/>
                <w:szCs w:val="20"/>
                <w:color w:val="auto"/>
              </w:rPr>
            </w:pPr>
          </w:p>
        </w:tc>
      </w:tr>
      <w:tr>
        <w:trPr>
          <w:trHeight w:val="432"/>
        </w:trPr>
        <w:tc>
          <w:tcPr>
            <w:tcW w:w="5000" w:type="dxa"/>
            <w:vAlign w:val="bottom"/>
          </w:tcPr>
          <w:p>
            <w:pPr>
              <w:ind w:left="340"/>
              <w:spacing w:after="0"/>
              <w:rPr>
                <w:sz w:val="20"/>
                <w:szCs w:val="20"/>
                <w:color w:val="auto"/>
              </w:rPr>
            </w:pPr>
            <w:r>
              <w:rPr>
                <w:rFonts w:ascii="Arial" w:cs="Arial" w:eastAsia="Arial" w:hAnsi="Arial"/>
                <w:sz w:val="18"/>
                <w:szCs w:val="18"/>
                <w:color w:val="auto"/>
              </w:rPr>
              <w:t>Date: April 1,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2820" w:type="dxa"/>
            <w:vAlign w:val="bottom"/>
          </w:tcPr>
          <w:p>
            <w:pPr>
              <w:spacing w:after="0"/>
              <w:rPr>
                <w:sz w:val="24"/>
                <w:szCs w:val="24"/>
                <w:color w:val="auto"/>
              </w:rPr>
            </w:pPr>
          </w:p>
        </w:tc>
      </w:tr>
      <w:tr>
        <w:trPr>
          <w:trHeight w:val="195"/>
        </w:trPr>
        <w:tc>
          <w:tcPr>
            <w:tcW w:w="50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c>
          <w:tcPr>
            <w:tcW w:w="2820" w:type="dxa"/>
            <w:vAlign w:val="bottom"/>
          </w:tcPr>
          <w:p>
            <w:pPr>
              <w:spacing w:after="0"/>
              <w:rPr>
                <w:sz w:val="16"/>
                <w:szCs w:val="16"/>
                <w:color w:val="auto"/>
              </w:rPr>
            </w:pPr>
          </w:p>
        </w:tc>
      </w:tr>
      <w:tr>
        <w:trPr>
          <w:trHeight w:val="230"/>
        </w:trPr>
        <w:tc>
          <w:tcPr>
            <w:tcW w:w="50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6"/>
              </w:rPr>
              <w:t>Senior Vice President &amp; Chief Financial Officer</w:t>
            </w:r>
          </w:p>
        </w:tc>
        <w:tc>
          <w:tcPr>
            <w:tcW w:w="2820" w:type="dxa"/>
            <w:vAlign w:val="bottom"/>
          </w:tcPr>
          <w:p>
            <w:pPr>
              <w:spacing w:after="0"/>
              <w:rPr>
                <w:sz w:val="20"/>
                <w:szCs w:val="20"/>
                <w:color w:val="auto"/>
              </w:rPr>
            </w:pPr>
          </w:p>
        </w:tc>
      </w:tr>
      <w:tr>
        <w:trPr>
          <w:trHeight w:val="1010"/>
        </w:trPr>
        <w:tc>
          <w:tcPr>
            <w:tcW w:w="500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2660"/>
              <w:spacing w:after="0"/>
              <w:rPr>
                <w:sz w:val="20"/>
                <w:szCs w:val="20"/>
                <w:color w:val="auto"/>
              </w:rPr>
            </w:pPr>
            <w:r>
              <w:rPr>
                <w:rFonts w:ascii="Arial" w:cs="Arial" w:eastAsia="Arial" w:hAnsi="Arial"/>
                <w:sz w:val="18"/>
                <w:szCs w:val="18"/>
                <w:color w:val="auto"/>
              </w:rPr>
              <w:t>EXHIBIT INDEX</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99"/>
              </w:rPr>
              <w:t>NUMBER</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DESCRIPTION</w:t>
            </w:r>
          </w:p>
        </w:tc>
      </w:tr>
      <w:tr>
        <w:trPr>
          <w:trHeight w:val="195"/>
        </w:trPr>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99.1</w:t>
            </w:r>
          </w:p>
        </w:tc>
        <w:tc>
          <w:tcPr>
            <w:tcW w:w="280" w:type="dxa"/>
            <w:vAlign w:val="bottom"/>
          </w:tcPr>
          <w:p>
            <w:pPr>
              <w:spacing w:after="0"/>
              <w:rPr>
                <w:sz w:val="16"/>
                <w:szCs w:val="16"/>
                <w:color w:val="auto"/>
              </w:rPr>
            </w:pPr>
          </w:p>
        </w:tc>
        <w:tc>
          <w:tcPr>
            <w:tcW w:w="8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Press Release of Brady Corporation, dated March 30, 2011, announcing Stephen Millar as the Company’s</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President — Brady Asia-Pacific.</w:t>
            </w:r>
          </w:p>
        </w:tc>
      </w:tr>
    </w:tbl>
    <w:p>
      <w:pPr>
        <w:sectPr>
          <w:pgSz w:w="11900" w:h="16838" w:orient="portrait"/>
          <w:cols w:equalWidth="0" w:num="1">
            <w:col w:w="9879"/>
          </w:cols>
          <w:pgMar w:left="580" w:top="1341"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99.1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Carole Herbstreit (414) 438-6882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names Stephen Millar President — Brady Asia-Pacific</w:t>
      </w:r>
    </w:p>
    <w:p>
      <w:pPr>
        <w:spacing w:after="0" w:line="189" w:lineRule="exact"/>
        <w:rPr>
          <w:sz w:val="20"/>
          <w:szCs w:val="20"/>
          <w:color w:val="auto"/>
        </w:rPr>
      </w:pPr>
    </w:p>
    <w:p>
      <w:pPr>
        <w:ind w:right="219"/>
        <w:spacing w:after="0" w:line="259" w:lineRule="auto"/>
        <w:rPr>
          <w:sz w:val="20"/>
          <w:szCs w:val="20"/>
          <w:color w:val="auto"/>
        </w:rPr>
      </w:pPr>
      <w:r>
        <w:rPr>
          <w:rFonts w:ascii="Arial" w:cs="Arial" w:eastAsia="Arial" w:hAnsi="Arial"/>
          <w:sz w:val="18"/>
          <w:szCs w:val="18"/>
          <w:color w:val="auto"/>
        </w:rPr>
        <w:t>MILWAUKEE (March 30, 2011)—Brady Corporation (NYSE:BRC), a world leader in identification solutions, announced today that Stephen Millar has been named President — Brady Asia-Pacific, effective April 1, 2011. Millar, 50, will be responsible for the growth and development of all Brady business across the Asia-Pacific region, with operations in Australia, China, Japan, Korea, Taiwan, Hong Kong, Malaysia, Thailand, Singapore, India and the Philippines.</w:t>
      </w:r>
    </w:p>
    <w:p>
      <w:pPr>
        <w:spacing w:after="0" w:line="146" w:lineRule="exact"/>
        <w:rPr>
          <w:sz w:val="20"/>
          <w:szCs w:val="20"/>
          <w:color w:val="auto"/>
        </w:rPr>
      </w:pPr>
    </w:p>
    <w:p>
      <w:pPr>
        <w:ind w:right="179" w:firstLine="389"/>
        <w:spacing w:after="0" w:line="291" w:lineRule="auto"/>
        <w:rPr>
          <w:sz w:val="20"/>
          <w:szCs w:val="20"/>
          <w:color w:val="auto"/>
        </w:rPr>
      </w:pPr>
      <w:r>
        <w:rPr>
          <w:rFonts w:ascii="Arial" w:cs="Arial" w:eastAsia="Arial" w:hAnsi="Arial"/>
          <w:sz w:val="16"/>
          <w:szCs w:val="16"/>
          <w:color w:val="auto"/>
        </w:rPr>
        <w:t>Millar joined Brady Australia in 1999 and served as managing director until 2008. Under his leadership, Brady’s base business in Australia nearly tripled and four acquisitions were completed to further grow Brady’s presence in Australia. In 2008, Millar joined Brady America’s leadership team as vice-president and general manager responsible for its portfolio of people identification, medical and education businesses. In 2010, he returned to Asia in the newly created role of MRO director for the region. Prior to joining Brady, Millar served in a variety of leadership positions in Australia and New Zealand with GNB Technologies, a global manufacturer of automotive and industrial batteries. He holds a Bachelor of Commerce and Administration degree from Victoria University of Wellington, New Zealand, and is a member of the Institute of Chartered Accountants of New Zealand.</w:t>
      </w:r>
    </w:p>
    <w:p>
      <w:pPr>
        <w:spacing w:after="0" w:line="140" w:lineRule="exact"/>
        <w:rPr>
          <w:sz w:val="20"/>
          <w:szCs w:val="20"/>
          <w:color w:val="auto"/>
        </w:rPr>
      </w:pPr>
    </w:p>
    <w:p>
      <w:pPr>
        <w:ind w:right="179" w:firstLine="389"/>
        <w:spacing w:after="0" w:line="312" w:lineRule="auto"/>
        <w:rPr>
          <w:sz w:val="20"/>
          <w:szCs w:val="20"/>
          <w:color w:val="auto"/>
        </w:rPr>
      </w:pPr>
      <w:r>
        <w:rPr>
          <w:rFonts w:ascii="Arial" w:cs="Arial" w:eastAsia="Arial" w:hAnsi="Arial"/>
          <w:sz w:val="16"/>
          <w:szCs w:val="16"/>
          <w:color w:val="auto"/>
        </w:rPr>
        <w:t>“Stephen’s impressive track record of profitable growth and his knowledge of our business and people in Asia make him the perfect choice to lead the next wave of growth in the Asia Pacific region, including executing our strategy to expand our MRO product lines and strengthening our OEM business in the region,” said Frank M. Jaehnert, Brady president and chief executive officer.</w:t>
      </w:r>
    </w:p>
    <w:p>
      <w:pPr>
        <w:spacing w:after="0" w:line="106" w:lineRule="exact"/>
        <w:rPr>
          <w:sz w:val="20"/>
          <w:szCs w:val="20"/>
          <w:color w:val="auto"/>
        </w:rPr>
      </w:pPr>
    </w:p>
    <w:p>
      <w:pPr>
        <w:ind w:right="299" w:firstLine="389"/>
        <w:spacing w:after="0" w:line="264" w:lineRule="auto"/>
        <w:rPr>
          <w:sz w:val="20"/>
          <w:szCs w:val="20"/>
          <w:color w:val="auto"/>
        </w:rPr>
      </w:pPr>
      <w:r>
        <w:rPr>
          <w:rFonts w:ascii="Arial" w:cs="Arial" w:eastAsia="Arial" w:hAnsi="Arial"/>
          <w:sz w:val="18"/>
          <w:szCs w:val="18"/>
          <w:color w:val="auto"/>
        </w:rPr>
        <w:t>“I’m excited about this opportunity to lead Brady’s Asia Pacific team and I’m looking forward to continuing to strengthen our business in the region,” said Millar. “We have a well-established footprint throughout the region, with strong and passionate business leaders, and a committed team of employees driving for growth every day.”</w:t>
      </w:r>
    </w:p>
    <w:p>
      <w:pPr>
        <w:spacing w:after="0" w:line="141" w:lineRule="exact"/>
        <w:rPr>
          <w:sz w:val="20"/>
          <w:szCs w:val="20"/>
          <w:color w:val="auto"/>
        </w:rPr>
      </w:pPr>
    </w:p>
    <w:p>
      <w:pPr>
        <w:ind w:right="179" w:firstLine="389"/>
        <w:spacing w:after="0" w:line="284"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and employs more than 6,600 people at operations in the Americas, Europe and Asia-Pacific. Brady’s fiscal 2010 sales were approximately $1.26 billion. In fiscal 2010, the Asia-Pacific region accounted for</w:t>
      </w:r>
    </w:p>
    <w:p>
      <w:pPr>
        <w:spacing w:after="0" w:line="5" w:lineRule="exact"/>
        <w:rPr>
          <w:sz w:val="20"/>
          <w:szCs w:val="20"/>
          <w:color w:val="auto"/>
        </w:rPr>
      </w:pPr>
    </w:p>
    <w:p>
      <w:pPr>
        <w:ind w:right="779"/>
        <w:spacing w:after="0" w:line="261" w:lineRule="auto"/>
        <w:rPr>
          <w:sz w:val="20"/>
          <w:szCs w:val="20"/>
          <w:color w:val="auto"/>
        </w:rPr>
      </w:pPr>
      <w:r>
        <w:rPr>
          <w:rFonts w:ascii="Arial" w:cs="Arial" w:eastAsia="Arial" w:hAnsi="Arial"/>
          <w:sz w:val="18"/>
          <w:szCs w:val="18"/>
          <w:color w:val="auto"/>
        </w:rPr>
        <w:t>26 percent of Brady’s sales. Brady stock trades on the New York Stock Exchange under the symbol BRC. More information is available on the Internet at www.bradycorp.com.</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right="179"/>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2010. These uncertainties may cause Brady’s actual future results to be materially different than those expressed in its forward-looking statements. Brady does not undertake to update its forward-looking statements.</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2019-12-10T06:25:14Z</dcterms:created>
  <dcterms:modified xsi:type="dcterms:W3CDTF">2019-12-10T06:25:14Z</dcterms:modified>
</cp:coreProperties>
</file>