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-633730</wp:posOffset>
            </wp:positionV>
            <wp:extent cx="5842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0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-633730</wp:posOffset>
            </wp:positionV>
            <wp:extent cx="58420" cy="647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06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562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62737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46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0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06/05/2009</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20" w:firstLine="4"/>
        <w:spacing w:after="0" w:line="24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56"/>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40" w:space="720"/>
            <w:col w:w="3264" w:space="720"/>
            <w:col w:w="3476"/>
          </w:cols>
          <w:pgMar w:left="240" w:top="223" w:right="139" w:bottom="1440" w:gutter="0" w:footer="0" w:header="0"/>
          <w:type w:val="continuous"/>
        </w:sectPr>
      </w:pP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tcBorders>
              <w:right w:val="single" w:sz="8" w:color="9A9A9A"/>
            </w:tcBorders>
            <w:shd w:val="clear" w:color="auto" w:fill="9A9A9A"/>
          </w:tcPr>
          <w:p>
            <w:pPr>
              <w:spacing w:after="0"/>
              <w:rPr>
                <w:sz w:val="2"/>
                <w:szCs w:val="2"/>
                <w:color w:val="auto"/>
              </w:rPr>
            </w:pPr>
          </w:p>
        </w:tc>
        <w:tc>
          <w:tcPr>
            <w:tcW w:w="3780" w:type="dxa"/>
            <w:vAlign w:val="bottom"/>
            <w:gridSpan w:val="9"/>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MILWAUKEE</w:t>
            </w:r>
          </w:p>
        </w:tc>
        <w:tc>
          <w:tcPr>
            <w:tcW w:w="580" w:type="dxa"/>
            <w:vAlign w:val="bottom"/>
          </w:tcPr>
          <w:p>
            <w:pPr>
              <w:ind w:left="200"/>
              <w:spacing w:after="0"/>
              <w:rPr>
                <w:sz w:val="20"/>
                <w:szCs w:val="20"/>
                <w:color w:val="auto"/>
              </w:rPr>
            </w:pPr>
            <w:r>
              <w:rPr>
                <w:rFonts w:ascii="Arial" w:cs="Arial" w:eastAsia="Arial" w:hAnsi="Arial"/>
                <w:sz w:val="17"/>
                <w:szCs w:val="17"/>
                <w:color w:val="0000FF"/>
              </w:rPr>
              <w:t>WI</w:t>
            </w:r>
          </w:p>
        </w:tc>
        <w:tc>
          <w:tcPr>
            <w:tcW w:w="84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gridSpan w:val="9"/>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13"/>
                <w:szCs w:val="13"/>
                <w:color w:val="auto"/>
              </w:rPr>
            </w:pPr>
          </w:p>
        </w:tc>
        <w:tc>
          <w:tcPr>
            <w:tcW w:w="1420" w:type="dxa"/>
            <w:vAlign w:val="bottom"/>
            <w:gridSpan w:val="2"/>
            <w:vMerge w:val="restart"/>
          </w:tcPr>
          <w:p>
            <w:pPr>
              <w:ind w:left="20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gridSpan w:val="4"/>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840" w:type="dxa"/>
            <w:vAlign w:val="bottom"/>
          </w:tcPr>
          <w:p>
            <w:pPr>
              <w:spacing w:after="0"/>
              <w:rPr>
                <w:sz w:val="14"/>
                <w:szCs w:val="14"/>
                <w:color w:val="auto"/>
              </w:rPr>
            </w:pPr>
          </w:p>
        </w:tc>
        <w:tc>
          <w:tcPr>
            <w:tcW w:w="192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8"/>
              </w:rPr>
              <w:t>16,301.1968</w:t>
            </w:r>
          </w:p>
        </w:tc>
        <w:tc>
          <w:tcPr>
            <w:tcW w:w="3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7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80"/>
              <w:spacing w:after="0"/>
              <w:rPr>
                <w:sz w:val="20"/>
                <w:szCs w:val="20"/>
                <w:color w:val="auto"/>
              </w:rPr>
            </w:pPr>
            <w:r>
              <w:rPr>
                <w:rFonts w:ascii="Arial" w:cs="Arial" w:eastAsia="Arial" w:hAnsi="Arial"/>
                <w:sz w:val="17"/>
                <w:szCs w:val="17"/>
                <w:color w:val="0000FF"/>
              </w:rPr>
              <w:t>06/05/2009</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17,200</w:t>
            </w:r>
            <w:r>
              <w:rPr>
                <w:rFonts w:ascii="Arial" w:cs="Arial" w:eastAsia="Arial" w:hAnsi="Arial"/>
                <w:sz w:val="21"/>
                <w:szCs w:val="21"/>
                <w:color w:val="008000"/>
                <w:vertAlign w:val="superscript"/>
              </w:rPr>
              <w:t>(3)</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15.28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2"/>
              </w:rPr>
              <w:t>19,220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80"/>
              <w:spacing w:after="0"/>
              <w:rPr>
                <w:sz w:val="20"/>
                <w:szCs w:val="20"/>
                <w:color w:val="auto"/>
              </w:rPr>
            </w:pPr>
            <w:r>
              <w:rPr>
                <w:rFonts w:ascii="Arial" w:cs="Arial" w:eastAsia="Arial" w:hAnsi="Arial"/>
                <w:sz w:val="17"/>
                <w:szCs w:val="17"/>
                <w:color w:val="0000FF"/>
              </w:rPr>
              <w:t>06/05/2009</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12,590</w:t>
            </w:r>
            <w:r>
              <w:rPr>
                <w:rFonts w:ascii="Arial" w:cs="Arial" w:eastAsia="Arial" w:hAnsi="Arial"/>
                <w:sz w:val="21"/>
                <w:szCs w:val="21"/>
                <w:color w:val="008000"/>
                <w:vertAlign w:val="superscript"/>
              </w:rPr>
              <w:t>(3)</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25.52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6,630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Underlying Derivative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Security (Instr. 3 and</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280" w:type="dxa"/>
            <w:vAlign w:val="bottom"/>
          </w:tcPr>
          <w:p>
            <w:pPr>
              <w:spacing w:after="0"/>
              <w:rPr>
                <w:sz w:val="16"/>
                <w:szCs w:val="16"/>
                <w:color w:val="auto"/>
              </w:rPr>
            </w:pPr>
          </w:p>
        </w:tc>
        <w:tc>
          <w:tcPr>
            <w:tcW w:w="580" w:type="dxa"/>
            <w:vAlign w:val="bottom"/>
            <w:vMerge w:val="restart"/>
          </w:tcPr>
          <w:p>
            <w:pPr>
              <w:jc w:val="right"/>
              <w:ind w:right="332"/>
              <w:spacing w:after="0"/>
              <w:rPr>
                <w:sz w:val="20"/>
                <w:szCs w:val="20"/>
                <w:color w:val="auto"/>
              </w:rPr>
            </w:pPr>
            <w:r>
              <w:rPr>
                <w:rFonts w:ascii="Arial" w:cs="Arial" w:eastAsia="Arial" w:hAnsi="Arial"/>
                <w:sz w:val="11"/>
                <w:szCs w:val="11"/>
                <w:color w:val="008000"/>
              </w:rPr>
              <w:t>(4)</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5"/>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6"/>
                <w:szCs w:val="16"/>
                <w:color w:val="auto"/>
              </w:rPr>
            </w:pPr>
          </w:p>
        </w:tc>
        <w:tc>
          <w:tcPr>
            <w:tcW w:w="560" w:type="dxa"/>
            <w:vAlign w:val="bottom"/>
          </w:tcPr>
          <w:p>
            <w:pPr>
              <w:jc w:val="center"/>
              <w:ind w:right="51"/>
              <w:spacing w:after="0"/>
              <w:rPr>
                <w:sz w:val="20"/>
                <w:szCs w:val="20"/>
                <w:color w:val="auto"/>
              </w:rPr>
            </w:pPr>
            <w:r>
              <w:rPr>
                <w:rFonts w:ascii="Arial" w:cs="Arial" w:eastAsia="Arial" w:hAnsi="Arial"/>
                <w:sz w:val="13"/>
                <w:szCs w:val="13"/>
                <w:color w:val="0000FF"/>
                <w:w w:val="89"/>
              </w:rPr>
              <w:t>Class A</w:t>
            </w:r>
          </w:p>
        </w:tc>
        <w:tc>
          <w:tcPr>
            <w:tcW w:w="700" w:type="dxa"/>
            <w:vAlign w:val="bottom"/>
            <w:vMerge w:val="restart"/>
          </w:tcPr>
          <w:p>
            <w:pPr>
              <w:jc w:val="right"/>
              <w:ind w:right="231"/>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gridSpan w:val="2"/>
          </w:tcPr>
          <w:p>
            <w:pPr>
              <w:ind w:left="60"/>
              <w:spacing w:after="0" w:line="144" w:lineRule="exact"/>
              <w:rPr>
                <w:sz w:val="20"/>
                <w:szCs w:val="20"/>
                <w:color w:val="auto"/>
              </w:rPr>
            </w:pPr>
            <w:r>
              <w:rPr>
                <w:rFonts w:ascii="Arial" w:cs="Arial" w:eastAsia="Arial" w:hAnsi="Arial"/>
                <w:sz w:val="13"/>
                <w:szCs w:val="13"/>
                <w:color w:val="0000FF"/>
                <w:w w:val="95"/>
              </w:rPr>
              <w:t>Compensation</w:t>
            </w: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gridSpan w:val="2"/>
          </w:tcPr>
          <w:p>
            <w:pPr>
              <w:ind w:left="80"/>
              <w:spacing w:after="0" w:line="144"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tcPr>
          <w:p>
            <w:pPr>
              <w:jc w:val="right"/>
              <w:ind w:right="81"/>
              <w:spacing w:after="0" w:line="144" w:lineRule="exact"/>
              <w:rPr>
                <w:sz w:val="20"/>
                <w:szCs w:val="20"/>
                <w:color w:val="auto"/>
              </w:rPr>
            </w:pPr>
            <w:r>
              <w:rPr>
                <w:rFonts w:ascii="Arial" w:cs="Arial" w:eastAsia="Arial" w:hAnsi="Arial"/>
                <w:sz w:val="13"/>
                <w:szCs w:val="13"/>
                <w:color w:val="0000FF"/>
              </w:rPr>
              <w:t>78,300.6065</w:t>
            </w:r>
          </w:p>
        </w:tc>
        <w:tc>
          <w:tcPr>
            <w:tcW w:w="66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51"/>
              <w:spacing w:after="0"/>
              <w:rPr>
                <w:sz w:val="20"/>
                <w:szCs w:val="20"/>
                <w:color w:val="auto"/>
              </w:rPr>
            </w:pPr>
            <w:r>
              <w:rPr>
                <w:rFonts w:ascii="Arial" w:cs="Arial" w:eastAsia="Arial" w:hAnsi="Arial"/>
                <w:sz w:val="13"/>
                <w:szCs w:val="13"/>
                <w:color w:val="0000FF"/>
                <w:w w:val="85"/>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ind w:right="51"/>
              <w:spacing w:after="0"/>
              <w:rPr>
                <w:sz w:val="20"/>
                <w:szCs w:val="20"/>
                <w:color w:val="auto"/>
              </w:rPr>
            </w:pPr>
            <w:r>
              <w:rPr>
                <w:rFonts w:ascii="Arial" w:cs="Arial" w:eastAsia="Arial" w:hAnsi="Arial"/>
                <w:sz w:val="13"/>
                <w:szCs w:val="13"/>
                <w:color w:val="0000FF"/>
                <w:w w:val="89"/>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17,200</w:t>
            </w:r>
            <w:r>
              <w:rPr>
                <w:rFonts w:ascii="Arial" w:cs="Arial" w:eastAsia="Arial" w:hAnsi="Arial"/>
                <w:sz w:val="21"/>
                <w:szCs w:val="21"/>
                <w:color w:val="008000"/>
                <w:w w:val="89"/>
                <w:vertAlign w:val="superscript"/>
              </w:rPr>
              <w:t>(5)</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Stock Option</w:t>
            </w:r>
          </w:p>
        </w:tc>
        <w:tc>
          <w:tcPr>
            <w:tcW w:w="860" w:type="dxa"/>
            <w:vAlign w:val="bottom"/>
            <w:gridSpan w:val="2"/>
          </w:tcPr>
          <w:p>
            <w:pPr>
              <w:jc w:val="center"/>
              <w:ind w:right="192"/>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15.28</w:t>
            </w:r>
          </w:p>
        </w:tc>
        <w:tc>
          <w:tcPr>
            <w:tcW w:w="840" w:type="dxa"/>
            <w:vAlign w:val="bottom"/>
          </w:tcPr>
          <w:p>
            <w:pPr>
              <w:ind w:left="180"/>
              <w:spacing w:after="0"/>
              <w:rPr>
                <w:sz w:val="20"/>
                <w:szCs w:val="20"/>
                <w:color w:val="auto"/>
              </w:rPr>
            </w:pPr>
            <w:r>
              <w:rPr>
                <w:rFonts w:ascii="Arial" w:cs="Arial" w:eastAsia="Arial" w:hAnsi="Arial"/>
                <w:sz w:val="13"/>
                <w:szCs w:val="13"/>
                <w:color w:val="0000FF"/>
                <w:w w:val="98"/>
              </w:rPr>
              <w:t>06/05/2009</w:t>
            </w:r>
          </w:p>
        </w:tc>
        <w:tc>
          <w:tcPr>
            <w:tcW w:w="130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3"/>
                <w:szCs w:val="13"/>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0000FF"/>
              </w:rPr>
              <w:t>17,200</w:t>
            </w:r>
          </w:p>
        </w:tc>
        <w:tc>
          <w:tcPr>
            <w:tcW w:w="280" w:type="dxa"/>
            <w:vAlign w:val="bottom"/>
          </w:tcPr>
          <w:p>
            <w:pPr>
              <w:spacing w:after="0"/>
              <w:rPr>
                <w:sz w:val="13"/>
                <w:szCs w:val="13"/>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3"/>
                <w:szCs w:val="13"/>
                <w:color w:val="0000FF"/>
                <w:w w:val="98"/>
              </w:rPr>
              <w:t>10/14/1999</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10/14/2009</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00"/>
        <w:spacing w:after="0"/>
        <w:rPr>
          <w:sz w:val="20"/>
          <w:szCs w:val="20"/>
          <w:color w:val="auto"/>
        </w:rPr>
      </w:pPr>
      <w:r>
        <w:rPr>
          <w:rFonts w:ascii="Arial" w:cs="Arial" w:eastAsia="Arial" w:hAnsi="Arial"/>
          <w:sz w:val="13"/>
          <w:szCs w:val="13"/>
          <w:color w:val="0000FF"/>
        </w:rPr>
        <w:t>Stock</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2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6" w:lineRule="exact"/>
        <w:rPr>
          <w:rFonts w:ascii="Arial" w:cs="Arial" w:eastAsia="Arial" w:hAnsi="Arial"/>
          <w:sz w:val="13"/>
          <w:szCs w:val="13"/>
          <w:color w:val="008000"/>
        </w:rPr>
      </w:pPr>
    </w:p>
    <w:p>
      <w:pPr>
        <w:ind w:left="40" w:right="14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5, 2009 Mr. Jaehnert did a "net exercise" of 17,200 stock options (each with an expiration date of October 14, 2009). In that "net exercise", Mr. Jaehnert acquired 4,610 shares of common stock. The number of shares was net of the 12,590 shares that Brady withheld for the payment of the options' exercise price and taxes incident to the exercise.</w:t>
      </w:r>
    </w:p>
    <w:p>
      <w:pPr>
        <w:spacing w:after="0" w:line="22" w:lineRule="exact"/>
        <w:rPr>
          <w:rFonts w:ascii="Arial" w:cs="Arial" w:eastAsia="Arial" w:hAnsi="Arial"/>
          <w:sz w:val="13"/>
          <w:szCs w:val="13"/>
          <w:color w:val="008000"/>
        </w:rPr>
      </w:pPr>
    </w:p>
    <w:p>
      <w:pPr>
        <w:ind w:left="40" w:right="520" w:firstLine="4"/>
        <w:spacing w:after="0" w:line="321"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ectPr>
          <w:pgSz w:w="11900" w:h="16838" w:orient="portrait"/>
          <w:cols w:equalWidth="0" w:num="1">
            <w:col w:w="11520"/>
          </w:cols>
          <w:pgMar w:left="240" w:top="223" w:right="13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5. Options exercised pursuant to a net exercise.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Barbara Bolens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55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spacing w:after="0" w:line="47"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42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5"/>
          <w:szCs w:val="15"/>
          <w:color w:val="0000FF"/>
        </w:rPr>
        <w:t>06/08/2009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90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3" w:lineRule="exact"/>
        <w:rPr>
          <w:sz w:val="24"/>
          <w:szCs w:val="24"/>
          <w:color w:val="auto"/>
        </w:rPr>
      </w:pPr>
    </w:p>
    <w:p>
      <w:pPr>
        <w:sectPr>
          <w:pgSz w:w="11900" w:h="16838" w:orient="portrait"/>
          <w:cols w:equalWidth="0" w:num="2">
            <w:col w:w="9000" w:space="160"/>
            <w:col w:w="236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2019-12-18T13:25:18Z</dcterms:created>
  <dcterms:modified xsi:type="dcterms:W3CDTF">2019-12-18T13:25:18Z</dcterms:modified>
</cp:coreProperties>
</file>