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2023</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71120</wp:posOffset>
            </wp:positionV>
            <wp:extent cx="1499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95"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800" w:type="dxa"/>
            <w:vAlign w:val="bottom"/>
          </w:tcPr>
          <w:p>
            <w:pPr>
              <w:jc w:val="center"/>
              <w:ind w:left="1464"/>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00" w:type="dxa"/>
            <w:vAlign w:val="bottom"/>
            <w:gridSpan w:val="2"/>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90"/>
        </w:trPr>
        <w:tc>
          <w:tcPr>
            <w:tcW w:w="6760" w:type="dxa"/>
            <w:vAlign w:val="bottom"/>
            <w:gridSpan w:val="4"/>
          </w:tcPr>
          <w:p>
            <w:pPr>
              <w:jc w:val="center"/>
              <w:ind w:right="134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0" w:type="dxa"/>
            <w:vAlign w:val="bottom"/>
          </w:tcPr>
          <w:p>
            <w:pPr>
              <w:spacing w:after="0"/>
              <w:rPr>
                <w:sz w:val="16"/>
                <w:szCs w:val="16"/>
                <w:color w:val="auto"/>
              </w:rPr>
            </w:pPr>
          </w:p>
        </w:tc>
        <w:tc>
          <w:tcPr>
            <w:tcW w:w="44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12"/>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460" w:type="dxa"/>
            <w:vAlign w:val="bottom"/>
            <w:gridSpan w:val="5"/>
          </w:tcPr>
          <w:p>
            <w:pPr>
              <w:jc w:val="center"/>
              <w:ind w:right="3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0" w:type="dxa"/>
            <w:vAlign w:val="bottom"/>
          </w:tcPr>
          <w:p>
            <w:pPr>
              <w:spacing w:after="0"/>
              <w:rPr>
                <w:sz w:val="1"/>
                <w:szCs w:val="1"/>
                <w:color w:val="auto"/>
              </w:rPr>
            </w:pPr>
          </w:p>
        </w:tc>
      </w:tr>
      <w:tr>
        <w:trPr>
          <w:trHeight w:val="350"/>
        </w:trPr>
        <w:tc>
          <w:tcPr>
            <w:tcW w:w="3800" w:type="dxa"/>
            <w:vAlign w:val="bottom"/>
          </w:tcPr>
          <w:p>
            <w:pPr>
              <w:spacing w:after="0"/>
              <w:rPr>
                <w:sz w:val="24"/>
                <w:szCs w:val="24"/>
                <w:color w:val="auto"/>
              </w:rPr>
            </w:pPr>
          </w:p>
        </w:tc>
        <w:tc>
          <w:tcPr>
            <w:tcW w:w="2960" w:type="dxa"/>
            <w:vAlign w:val="bottom"/>
            <w:gridSpan w:val="3"/>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7460" w:type="dxa"/>
            <w:vAlign w:val="bottom"/>
            <w:gridSpan w:val="5"/>
          </w:tcPr>
          <w:p>
            <w:pPr>
              <w:jc w:val="center"/>
              <w:ind w:right="37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91"/>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20" w:lineRule="exact"/>
        <w:rPr>
          <w:sz w:val="24"/>
          <w:szCs w:val="24"/>
          <w:color w:val="auto"/>
        </w:rPr>
      </w:pPr>
    </w:p>
    <w:p>
      <w:pPr>
        <w:jc w:val="both"/>
        <w:ind w:right="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right="2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As of February 22, 2023, there were 46,121,200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FORM 10-Q</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5"/>
          </w:tcPr>
          <w:p>
            <w:pPr>
              <w:jc w:val="center"/>
              <w:ind w:right="2840"/>
              <w:spacing w:after="0"/>
              <w:rPr>
                <w:sz w:val="20"/>
                <w:szCs w:val="20"/>
                <w:color w:val="auto"/>
              </w:rPr>
            </w:pPr>
            <w:r>
              <w:rPr>
                <w:rFonts w:ascii="Times New Roman" w:cs="Times New Roman" w:eastAsia="Times New Roman" w:hAnsi="Times New Roman"/>
                <w:sz w:val="18"/>
                <w:szCs w:val="18"/>
                <w:color w:val="auto"/>
                <w:w w:val="99"/>
              </w:rPr>
              <w:t>BRADY CORPORATION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0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INDEX</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280" w:type="dxa"/>
            <w:vAlign w:val="bottom"/>
            <w:gridSpan w:val="10"/>
            <w:vMerge w:val="restart"/>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bottom w:val="single" w:sz="8" w:color="0000FF"/>
            </w:tcBorders>
            <w:gridSpan w:val="8"/>
            <w:vMerge w:val="continue"/>
          </w:tcPr>
          <w:p>
            <w:pPr>
              <w:spacing w:after="0"/>
              <w:rPr>
                <w:sz w:val="15"/>
                <w:szCs w:val="15"/>
                <w:color w:val="auto"/>
              </w:rPr>
            </w:pPr>
          </w:p>
        </w:tc>
        <w:tc>
          <w:tcPr>
            <w:tcW w:w="7280" w:type="dxa"/>
            <w:vAlign w:val="bottom"/>
            <w:gridSpan w:val="10"/>
            <w:vMerge w:val="continue"/>
          </w:tcPr>
          <w:p>
            <w:pPr>
              <w:spacing w:after="0"/>
              <w:rPr>
                <w:sz w:val="15"/>
                <w:szCs w:val="15"/>
                <w:color w:val="auto"/>
              </w:rPr>
            </w:pPr>
          </w:p>
        </w:tc>
        <w:tc>
          <w:tcPr>
            <w:tcW w:w="13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6000" w:type="dxa"/>
            <w:vAlign w:val="bottom"/>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4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78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5040" w:type="dxa"/>
            <w:vAlign w:val="bottom"/>
            <w:gridSpan w:val="4"/>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18"/>
                <w:szCs w:val="18"/>
                <w:color w:val="auto"/>
              </w:rPr>
            </w:pPr>
          </w:p>
        </w:tc>
        <w:tc>
          <w:tcPr>
            <w:tcW w:w="4700" w:type="dxa"/>
            <w:vAlign w:val="bottom"/>
            <w:gridSpan w:val="2"/>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18"/>
                <w:szCs w:val="18"/>
                <w:color w:val="auto"/>
              </w:rPr>
            </w:pPr>
          </w:p>
        </w:tc>
        <w:tc>
          <w:tcPr>
            <w:tcW w:w="7740" w:type="dxa"/>
            <w:vAlign w:val="bottom"/>
            <w:gridSpan w:val="12"/>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40" w:type="dxa"/>
            <w:vAlign w:val="bottom"/>
            <w:gridSpan w:val="10"/>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2. Unregistered Sale of Equity Securities and Use of Proceeds</w:t>
            </w:r>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460" w:type="dxa"/>
            <w:vAlign w:val="bottom"/>
            <w:gridSpan w:val="1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160" w:type="dxa"/>
            <w:vAlign w:val="bottom"/>
            <w:gridSpan w:val="2"/>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6260" w:type="dxa"/>
            <w:vAlign w:val="bottom"/>
            <w:gridSpan w:val="14"/>
          </w:tcPr>
          <w:p>
            <w:pPr>
              <w:jc w:val="center"/>
              <w:ind w:left="3090"/>
              <w:spacing w:after="0"/>
              <w:rPr>
                <w:sz w:val="20"/>
                <w:szCs w:val="20"/>
                <w:color w:val="auto"/>
              </w:rPr>
            </w:pPr>
            <w:r>
              <w:rPr>
                <w:rFonts w:ascii="Times New Roman" w:cs="Times New Roman" w:eastAsia="Times New Roman" w:hAnsi="Times New Roman"/>
                <w:sz w:val="18"/>
                <w:szCs w:val="18"/>
                <w:color w:val="auto"/>
                <w:w w:val="88"/>
              </w:rPr>
              <w:t>2</w:t>
            </w: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2023</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$8,097 and $7,355,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183,233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190,023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498,068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21,719</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76,764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61,458</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255,174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456,034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46,115,760 and 46,370,708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stock—5,145,727 and 4,890,779 shares, respectively, of Class A nonvoting common stock, at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1,372,273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1,367,332</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639,530</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335,180</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304,350</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27,872</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189,271</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217,143</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87,207</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86,738</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51,887</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52,299</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68,861</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(22,574)</w:t>
            </w: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6"/>
        </w:trPr>
        <w:tc>
          <w:tcPr>
            <w:tcW w:w="5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recognized in other comprehensive income (loss)</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6"/>
        </w:trPr>
        <w:tc>
          <w:tcPr>
            <w:tcW w:w="5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actuarial loss (gain)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9"/>
        </w:trPr>
        <w:tc>
          <w:tcPr>
            <w:tcW w:w="5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0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(23,243)</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(22,986)</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January 31, 2023</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3"/>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911,725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31,144</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$0.2300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$0.2300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January 31, 2023</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911,298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tcBorders>
              <w:top w:val="single" w:sz="8" w:color="CCEEFF"/>
            </w:tcBorders>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$0.4600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$0.4434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967,404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January 31, 2022</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(60,671)</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963,893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(18,268)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(1,463)</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stock plan</w:t>
            </w: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$0.2250 per share</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$0.2250 per share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341,889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833,981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(78,939)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966,568</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January 31, 2022</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(55,953)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963,028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68,861</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(22,986)</w:t>
            </w: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 stock plan</w:t>
            </w: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$0.4500 per share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w:t>
            </w: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$0.4334 per share</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0" w:type="dxa"/>
            <w:vAlign w:val="bottom"/>
          </w:tcPr>
          <w:p>
            <w:pPr>
              <w:spacing w:after="0"/>
              <w:rPr>
                <w:sz w:val="1"/>
                <w:szCs w:val="1"/>
                <w:color w:val="auto"/>
              </w:rPr>
            </w:pPr>
          </w:p>
        </w:tc>
      </w:tr>
      <w:tr>
        <w:trPr>
          <w:trHeight w:val="23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(78,939)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(86,216)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147,335</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147,407</w:t>
            </w:r>
          </w:p>
        </w:tc>
        <w:tc>
          <w:tcPr>
            <w:tcW w:w="0" w:type="dxa"/>
            <w:vAlign w:val="bottom"/>
          </w:tcPr>
          <w:p>
            <w:pPr>
              <w:spacing w:after="0"/>
              <w:rPr>
                <w:sz w:val="1"/>
                <w:szCs w:val="1"/>
                <w:color w:val="auto"/>
              </w:rPr>
            </w:pPr>
          </w:p>
        </w:tc>
      </w:tr>
      <w:tr>
        <w:trPr>
          <w:trHeight w:val="26"/>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January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2023 and July 31, 2022, its results of operations and comprehensive income for the three and six months ended January 31, 2023 and 2022, and cash flows for the six months ended January 31, 2023 and 2022. The condensed consolidated balance sheet as of July 31, 2022,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as if the acquirer had originated the contracts. The guidance is applied prospectively to acquisitions occurring on or after the effective date. The Company early adopted ASU No. 2021-08 during the quarter ended October 31, 2022. The adoption of the new standard will only have an impact on the Company's condensed consolidated financial statements in the event of future acquisitions.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as of January 31, 2023, and July 31, 2022,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2023</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48,428</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195,167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190,023</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$284,186 and $272,376 as of January 31, 2023, and July 31,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January 31, 2023 and July 31, 2022,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51,693</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January 31, 2023 compared to July 31, 2022 was due to the effect of currency fluctuations during the six-month period.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$3,258 and $3,749 for the three months ended January 31, 2023 and 2022, respectively, and $6,889 and $7,556 for the six months ended January 31, 2023 and 2022,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January 31, 2023,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$3,868 and $4,087 for the three months ended January 31, 2023 and 2022, respectively, and $7,648 and $8,852 for the six months ended January 31, 2023 and 2022,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six months ended January 31, 2023 and 2022.</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six months ended January 31, 2023 and 2022,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w:t>
            </w:r>
          </w:p>
        </w:tc>
      </w:tr>
      <w:tr>
        <w:trPr>
          <w:trHeight w:val="27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r>
    </w:tbl>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unrealized gains and losses from cash flow hedges, and the unamortized gain on post-retirement plans, net of their related tax effects.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six months ended January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(98,577)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(95,370)</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January 31, 2023 compared to July 31, 2022 was primarily due to the depreciation of the U.S. dollar against certain other currencies during the six-month period. The foreign currency translation adjustments column in the table above includes the impact of foreign currency translation, foreign currency translation on intercompany notes, and the settlements of net investment hedges, net of tax.</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January 31, 2022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9"/>
              </w:rPr>
              <w:t>134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(80,711)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(78,939)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January 31, 2022, compared to July 31, 2021, was primarily due to the appreciation of the U.S. dollar against certain other currencies during the six-month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six months ended January 31, 2023 and 2022, unrealized gains on cash flow hedges were reclassified to "Cost of goods sold" and unamortized gains on post-retirement plans were reclassified into "Investment and other income" on the condensed consolidated statements of income.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income (loss) for the three and six months ended January 31,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10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45"/>
        </w:trPr>
        <w:tc>
          <w:tcPr>
            <w:tcW w:w="52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w:t>
            </w:r>
          </w:p>
        </w:tc>
        <w:tc>
          <w:tcPr>
            <w:tcW w:w="1000" w:type="dxa"/>
            <w:vAlign w:val="bottom"/>
            <w:tcBorders>
              <w:top w:val="single" w:sz="8" w:color="auto"/>
            </w:tcBorders>
            <w:vMerge w:val="restart"/>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356</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$2,728 and $2,675 as of January 31, 2023 and July 31, 2022, respectively. The current portion and non-current portion of contract liabilities are included in “Other current liabilities” and “Other liabilities," respectively, on the condensed consolidated balance sheets. The Company recognized revenue of $311 and $296 during the three months ended January 31, 2023 and 2022, respectively, and $617 and $585 during the six months ended January 31, 2023 and 2022, respectively, that was included in the contract liability balance at the beginning of the respective period from the amortization of extended service warranties. Of the contract liability balance outstanding at January 31, 2023, the Company expects to recognize 22% by the end of fiscal 2023, an additional 34% by the end of fiscal 2024,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and six months ended January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323,909</w:t>
            </w:r>
          </w:p>
        </w:tc>
        <w:tc>
          <w:tcPr>
            <w:tcW w:w="0" w:type="dxa"/>
            <w:vAlign w:val="bottom"/>
          </w:tcPr>
          <w:p>
            <w:pPr>
              <w:spacing w:after="0"/>
              <w:rPr>
                <w:sz w:val="1"/>
                <w:szCs w:val="1"/>
                <w:color w:val="auto"/>
              </w:rPr>
            </w:pPr>
          </w:p>
        </w:tc>
      </w:tr>
      <w:tr>
        <w:trPr>
          <w:trHeight w:val="214"/>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114,163</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55,531</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255,683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244,986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512,039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493,603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WPS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41,273</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79,454</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25,200</w:t>
            </w:r>
          </w:p>
        </w:tc>
        <w:tc>
          <w:tcPr>
            <w:tcW w:w="0" w:type="dxa"/>
            <w:vAlign w:val="bottom"/>
          </w:tcPr>
          <w:p>
            <w:pPr>
              <w:spacing w:after="0"/>
              <w:rPr>
                <w:sz w:val="1"/>
                <w:szCs w:val="1"/>
                <w:color w:val="auto"/>
              </w:rPr>
            </w:pPr>
          </w:p>
        </w:tc>
      </w:tr>
      <w:tr>
        <w:trPr>
          <w:trHeight w:val="233"/>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145,927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365,182</w:t>
            </w:r>
          </w:p>
        </w:tc>
        <w:tc>
          <w:tcPr>
            <w:tcW w:w="0" w:type="dxa"/>
            <w:vAlign w:val="bottom"/>
          </w:tcPr>
          <w:p>
            <w:pPr>
              <w:spacing w:after="0"/>
              <w:rPr>
                <w:sz w:val="1"/>
                <w:szCs w:val="1"/>
                <w:color w:val="auto"/>
              </w:rPr>
            </w:pPr>
          </w:p>
        </w:tc>
      </w:tr>
      <w:tr>
        <w:trPr>
          <w:trHeight w:val="214"/>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193,617</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80,731</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318,055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648,818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639,530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and six months ended January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47,384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92,945</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w:t>
            </w: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53,633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111,536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99,753</w:t>
            </w:r>
          </w:p>
        </w:tc>
      </w:tr>
      <w:tr>
        <w:trPr>
          <w:trHeight w:val="23"/>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income before income taxes for the three and six months ended January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99,753</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(12,546)</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48,510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86,738</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37,986</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68,861</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37,986</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76,654</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68,050</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49,745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50,009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634,999 and 471,377 for the three months ended January 31, 2023 and 2022, respectively, and 609,266 and 475,489 for the six months ended January 31, 2023 and 2022,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2023 and July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2023</w:t>
            </w:r>
          </w:p>
        </w:tc>
        <w:tc>
          <w:tcPr>
            <w:tcW w:w="180" w:type="dxa"/>
            <w:vAlign w:val="bottom"/>
          </w:tcPr>
          <w:p>
            <w:pPr>
              <w:spacing w:after="0"/>
              <w:rPr>
                <w:sz w:val="16"/>
                <w:szCs w:val="16"/>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4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18,037</w:t>
            </w:r>
          </w:p>
        </w:tc>
        <w:tc>
          <w:tcPr>
            <w:tcW w:w="10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Level 1</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Level 2</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2023</w:t>
            </w:r>
          </w:p>
        </w:tc>
        <w:tc>
          <w:tcPr>
            <w:tcW w:w="1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July 31, 2022</w:t>
            </w: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25,276</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2023 and July 31, 2022, unrealized gains of $1,911 and $1,040 have been included in OCI,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January 31, 2023 and July 31, 2022, the cumulative balance recognized in accumulated other comprehensive income were losses of $841 and $0, respectively, on any outstanding foreign currency 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776</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reclassified from OCI into cost of goods sold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31, 2023</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1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 current</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 (non-designated hedges)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(38,981)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income tax rate for the three months ended January 31, 2023 and 2022, was 21.7% and 19.6%, respectively. The income tax rate for the six months ended January 31, 2023 and 2022, was 21.7% and 20.6%, respectively. The Company expects its ongoing annual income tax rate to be between 20% and 21% based on its current global business mix and based on tax laws and statutory tax rates currently in effect.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Subsequent Events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February 1, 2023, the Company announced a modification of its organizational structure under new regional operating segments. Beginning in the third quarter of fiscal 2023, the Company will report sales and segment profit based on the following two operating segments: Americas &amp; Asia and Europe &amp; Australia.</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21, 2023, the Board of Directors declared a quarterly cash dividend to shareholders of the Company’s Class A and Class B Common Stock of $0.23 per share payable on April 28, 2023, to shareholders of record at the close of business on April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FINANCIAL CONDITION AND RESULTS OF OPERATIONS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manufactures a broad range of stock and custom identification products and sells a broad range of resale products.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new products, deliver a high level of customer service, advance our digital capabilities, and continuously improve the efficiency of our global operations.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streamlining our product offerings, enhancing our compliance and customization expertise, improving our price competitiveness, and improving our digital capabilities.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2023:</w:t>
      </w:r>
    </w:p>
    <w:p>
      <w:pPr>
        <w:spacing w:after="0" w:line="158"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acquisitions that enhance our strategic position and accelerate long-term sales growth and profitability.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 and managing working capital.</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our reorganization to a regional operating structure to support continued growth in key geographies, facilitate new product development in our recent acquisitions, and simplify and further integrate our businesses.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experienced, and expects to continue to experience, inflationary pressures; labor shortages in certain geographies; supply chain and other business disruptions as a result of the conflict in Ukraine; as well as disruptions caused by COVID-19 and government-mandated actions in response to COVID-19, particularly in China. The Company has taken and will continue to take actions to mitigate inflation issues through pricing actions and the execution of sustainable efficiency gains.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the financial strength to continue to invest in organic sales growth opportunities including sales, marketing, and research and development ("R&amp;D") and inorganic sales opportunities including acquisitions, while continuing to drive sustainable efficiency gains and automation in our operations and selling, general and administrative ("SG&amp;A") functions. At January 31, 2023, we had cash of $108.2 million, as well as a credit agreement with $221.1 million available for future borrowing, which can be increased up to $981.1 million at the Company's option and subject to certain conditions, for total available liquidity of $1,089.3 million.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remaining undrawn amount of our credit agreement and our ability to increase our credit line as necessary, are sufficient to manage the impact of economic or geopolitical events which may result in reduced sales, reduced net income, and reduced cash provided by operating activities. Refer to Risk Factors, included in Part I, Item 1A of our Annual Report on Form 10-K for the year ended July 31, 2022, for further discussion of the potential impact of global economic or geopolitical events or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six months ended January 31, 2023 and 2022,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648,818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639,530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156,440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304,350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47.6 %</w:t>
            </w: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182,227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189,271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107,659</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106,490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211,537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217,143</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34.0 %</w:t>
            </w: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January 31, 2023 increased 2.6% to $326.2 million, compared to $318.1 million in the same period in the prior year. The increase consisted of organic sales growth of 6.3%, which was partially offset by a decrease from foreign currency translation of 3.7%. Organic sales grew 7.4% in the IDS segment and 2.8% in the WPS segment during the three months ended January 31, 2023 compared to the same period in the prior year.</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six months ended January 31, 2023 increased 1.5% to $648.8 million, compared to $639.5 million in the same period in the prior year. The increase consisted of organic sales growth of 6.6%, which was partially offset by a decrease from foreign currency translation of 5.1%. Organic sales increased 8.0% in the IDS segment and 2.0% in the WPS segment during the six months ended January 31, 2023 compared to the same period in the prior year.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margin increased 4.7% to $156.4 million in the three months ended January 31, 2023 compared to $149.4 million in the same period in the prior year. As a percentage of net sales, gross margin increased to 48.0% from 47.0% in the three-month period. Gross margin increased 2.4% to $311.7 million for the six months ended January 31, 2023 compared to $304.4 million in the same period in the prior year. As a percentage of net sales, gross margin increased to 48.0% from 47.6% in the six-month period. The increase in gross margin as a percentage of net sales was primarily due to our ongoing efforts to streamline manufacturing processes to drive sustainable operating efficiencies as well as price increases, which were partially offset by an increase in the cost of materials and labor.</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R&amp;D expenses increased 10.1% to $15.4 million in the three months ended January 31, 2023 compared to $14.0 million in the same period in the prior year. As a percentage of net sales, R&amp;D expenses increased to 4.7% from 4.4% in the three-month period. R&amp;D expenses increased 5.2% to $29.3 million in the six months ended January 31, 2023 compared to $27.9 million in the same period in the prior year. As a percentage of net sales, R&amp;D expenses increased slightly to 4.5% from 4.4% in the six-month period. The Company remains committed to investing in new product development to increase sales within our IDS and WPS businesses. Investments in new printers, materials and the build out of industrial track and trace solutions remain the primary focus of R&amp;D expenditures for the remainder of fiscal 2023.</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decreased 0.3% to $92.3 million in the three months ended January 31, 2023 compared to $92.5 million in the same period in the prior year. As a percentage of net sales, SG&amp;A decreased to 28.3% from 29.1% in the three-month period. SG&amp;A expenses decreased 3.7% to $182.2 million for the six months ended January 31, 2023 compared to $189.3 million in the same period in the prior year. As a percentage of net sales, SG&amp;A decreased to 28.1% from 29.6% in the six-month period. The decrease in SG&amp;A expenses for the three and six-month periods ended January 31, 2023 was primarily due to foreign currency translation and, to a lesser extent, reductions in catalog advertising expenses within the WPS segment.</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income increased 13.8% to $48.8 million and increased 14.9% to $100.2 million for the three and six months ended January 31, 2023, respectively, compared to $42.9 million and $87.2 million in the same periods in the prior year.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operating income in both the three and six-month periods was primarily due to the increase in segment profit in the IDS segment as a result of organic sales growth, and an increase in segment profit in the WPS segment due to its reduced 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Investment and other income was $1.0 million and $0.8 million for the three and six months ended January 31, 2023, respectively, compared to investment and other expense of $0.6 million and $0.0 million in the same periods in the prior year. The increase in income during the three and six-month periods was primarily due to an increase in the market value of securities held in deferred compensation plans and to a lesser extent an increase in interest income.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to $1.2 million and $2.1 million for the three and six months ended January 31, 2023, respectively, compared to $0.3 million and $0.4 million in the same periods in the prior year. The increase in interest expense was primarily due to an increase in benchmark interest rates compared to the same periods in the prior year.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21.7% and 19.6% for the three months ended January 31, 2023 and 2022, respectively, and the income tax rate was 21.7% and 20.6% for the six months ended January 31, 2023 and 2022, respectively. Refer to Note L, "Income Taxes" for additional information on the Company's income tax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(expense),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six months ended January 31,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0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IDS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WPS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34"/>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47,384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92,945</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12,627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6,808</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48,644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111,536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99,753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IDS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WPS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IDS net sales increased 4.4% to $255.7 million for the three months ended January 31, 2023 compared to $245.0 million in the same period in the prior year, which consisted of organic sales growth of 7.4% and a decrease from foreign currency translation of 3.0%. IDS net sales increased 3.7% to $512.0 million for the six months ended January 31, 2023 compared to $493.6 million in the same period in the prior year, which consisted of organic sales growth of 8.0% and a decrease from foreign currency translation of 4.3%. Organic sales grew in all major product lines with the strongest growth in the safety and facility identification and wire identification product lines, followed by growth in healthcare identification and product identification in both the three and six months ended January 31, 2023.</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approximately 11% in the three months ended January 31, 2023 and increased in the high-single digits in the six months ended January 31, 2023 compared to the same periods in the prior year. Organic sales grew in all major product lines in the Americas with the strongest growth in the safety and facility identification and product identification product lines.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increased in the mid-single digits in the three months ended January 31, 2023 and increased approximately 12% in the six months ended January 31, 2023 compared to the same periods in the prior year. Organic sales grew in all major product lines in Europe in both the three and six-month periods with the strongest growth in the product identification product line followed by growth in the safety and facility identification and wire identification product lines.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declined in the high-single digits in the three months ended January 31, 2023 and declined in the low-single digits in the six months ended January 31, 2023 compared to the same periods in the prior year. The organic sales decline was primarily driven by decreased sales in China due to the spread of COVID-19 during the three-month period. The organic sales declines in China were partially offset by strong sales growth in India and Japan during both the three and six-month periods.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7.4% to $47.4 million for the three months ended January 31, 2023 compared to $44.1 million in the same period in the prior year. Segment profit increased 6.4% to $98.9 million for the six months ended January 31, 2023 compared to $92.9 million in the same period in the prior year. As a percentage of net sales, segment profit increased to 18.5% from 18.0% for the three-month period, and segment profit increased to 19.3% from 18.8% for the six-month period ended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January 31, 2023 compared to the same periods in the prior year. The increase in segment profit as a percentage of net sales was primarily due to ongoing efforts to streamline processes to drive operational efficiencies as well as price increases, which were partially offset by an increase in costs due to inflationary pressures.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WPS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WPS net sales declined 3.4% to $70.6 million for the three months ended January 31, 2023 compared to $73.1 million in the same period in the prior year, which consisted of organic sales growth of 2.8% and a decrease from foreign currency translation of 6.2%. Organic digital sales increased approximately 12% while organic sales from all other channels, including catalogs, were flat during the three-month period ended January 31, 2023.</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WPS net sales declined 6.3% to $136.8 million for the six months ended January 31, 2023 compared to $145.9 million in the same period in the prior year, which consisted of organic sales growth of 2.0% and a decrease from foreign currency translation of 8.3%. Organic digital sales increased by approximately 13% while organic sales from all other channels, including catalogs, decreased in the low-single digits in the six-month period ended January 31, 2023.</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increased in the low-single digits in both the three and six months ended January 31, 2023 compared to the same periods in the prior year. Organic digital sales increased approximately 12% while organic sales from all other channels, including catalogs, were essentially flat in both the three and six-month periods ended January 31, 2023.</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North America declined in the mid-single digits in the three months ended January 31, 2023 compared to the same period in the prior year. Organic digital sales increased approximately 13% while organic sales from all other channels, including catalogs, declined nearly 20% during the three months ended January 31, 2023. Organic sales in North America declined in the high-single digits in the six months ended January 31, 2023 compared to the same period in the prior year. Organic digital sales increased nearly 20% which was more than offset by a decline of nearly 20% in organic sales from all other channels, including catalogs, in the six-month period ended January 31, 2023.</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increased in the mid-teens in both the three and six months ended January 31, 2023 compared to the same periods in the prior year. Organic sales were driven by consistent growth in both digital and sales from all other channels, including catalogs, in both the three and six-month periods, which was primarily the result of price increases implemented throughout the six months ended January 31, 2023.</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increased 38.4% to $6.2 million from $4.5 million, and as a percentage of net sales, segment profit increased to 8.9% from 6.2% for the three months ended January 31, 2023 compared to the same period in the prior year. Segment profit increased 85.5% to $12.6 million from $6.8 million and as a percentage of net sales, segment profit increased to 9.2% from 4.7% for the six months ended January 31, 2023 compared to the same period in the prior year. The increase in segment profit for both periods was primarily due to actions taken during fiscal 2022 to reduce the cost structure as well as ongoing reductions in catalog advertising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January 31, 2023, approximately 99%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$108.2 million at January 31, 2023, a decrease of $5.9 million from July 31, 2022.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(16,381)</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$57.4 million for the six months ended January 31, 2023 compared to $24.3 million in the same period of the prior year. The increase in cash provided by operating activities was primarily due to reduced inventory purchases compared to increased inventory purchases in the prior year in order to reduce the risk of supply chain disruption.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$8.2 million in the six months ended January 31, 2023 compared to $16.4 million in the same period of the prior year, which consisted primarily of capital expenditures in both periods. Prior year capital expenditures were elevated due to the purchase of two facilities that were previously leased.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$57.1 million in the six months ended January 31, 2023 compared to $4.5 million in the same period of the prior year. The increase in cash used by financing activities was primarily due to $17.7 million of net repayments on the credit agreement in the six months ended January 31, 2023 compared to $45.0 million of net borrowings on the credit agreement in the same period of the prior year, which was due to the increase in net cash provided by operating activities in the current six-month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credit agreement dated August 1, 2019. The amendment modified the credit agreement to, among other things, (a) change the interest rate under the credit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credit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credit agreement did not have a material impact on the interest rate or related balances in the Company's consolidated financial statements.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January 31, 2023, the outstanding balance on the Company's credit agreement was $77.3 million. The maximum amount outstanding on the credit agreement during the six months ended January 31, 2023 was $103.0 million. As of January 31, 2023, the U.S. dollar-denominated borrowings of $38.3 million bear interest at 5.6%; the Euro-denominated borrowings of €20.0 million bear interest at 2.9%; and the British Pound-denominated borrowings of £17.3 million bear interest at 4.3% for a weighted average interest rate of 4.5%. The Company had letters of credit outstanding under the credit agreement of $1.6 million as of January 31, 2023, and there was $221.1 million available for future borrowing, which can be increased to $981.1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credit agreement, of not more than a 3.5 to 1.0 ratio (leverage ratio) and the trailing twelve months EBITDA to interest expense of not less than a 3.0 to 1.0 ratio (interest expense coverage). As of January 31, 2023, the Company was in compliance with these financial covenants, with a ratio of debt to EBITDA, as defined by the agreement, equal to 0.31 to 1.0 and the interest expense coverage ratio equal to 85.9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and freight as well as raw material shortages and supply chain disruptions</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novel coronavirus ("COVID-19") pandemic or other pandemics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jc w:val="both"/>
        <w:ind w:left="540" w:hanging="330"/>
        <w:spacing w:after="0" w:line="253" w:lineRule="auto"/>
        <w:tabs>
          <w:tab w:leader="none" w:pos="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2022. There has been no material change in this information since July 31,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2022. There have been no material changes from the risk factors set forth in the 2022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repurchase program may be implemented by purchasing shares in the open market or in privately negotiated transactions, with repurchased shares available for use in connection with the Company's stock-based plans and for other corporate purposes. On May 24, 2022, the Company's Board of Directors authorized an increase in the Company's share repurchase program, authorizing the repurchase of up to $100.0 million of the Company's Class A Nonvoting Common Stock. As of January 31, 2023, there were $67.1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January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2022 - November 30, 2022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72,939</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2022 - December 31,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67,153</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2023 - January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67,148</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123,421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123,421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67,148</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8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Original Employment Contract between the Company and Brett Wilms effective June 1, 2018 (incorporated by reference to</w:t>
              </w:r>
            </w:hyperlink>
          </w:p>
        </w:tc>
      </w:tr>
      <w:tr>
        <w:trPr>
          <w:trHeight w:val="169"/>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Registrant's Current Report on Form 8-K filed February 1, 2023).*</w:t>
              </w:r>
            </w:hyperlink>
          </w:p>
        </w:tc>
        <w:tc>
          <w:tcPr>
            <w:tcW w:w="41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1"/>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Employment Contract Addendum between the Company and Brett Wilms effective February 1, 2023 (incorporated by</w:t>
              </w:r>
            </w:hyperlink>
          </w:p>
        </w:tc>
      </w:tr>
      <w:tr>
        <w:trPr>
          <w:trHeight w:val="169"/>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reference to Registrant's Current Report on Form 8-K filed February 1, 2023).*</w:t>
              </w:r>
            </w:hyperlink>
          </w:p>
        </w:tc>
        <w:tc>
          <w:tcPr>
            <w:tcW w:w="32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1"/>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Change of Control Agreement between the Company and Brett Wilms dated as of January 10, 2023 (incorporated by</w:t>
              </w:r>
            </w:hyperlink>
          </w:p>
        </w:tc>
      </w:tr>
      <w:tr>
        <w:trPr>
          <w:trHeight w:val="169"/>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reference to Registrant's Current Report on Form 8-K filed February 1, 2023).*</w:t>
              </w:r>
            </w:hyperlink>
          </w:p>
        </w:tc>
        <w:tc>
          <w:tcPr>
            <w:tcW w:w="322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40" w:type="dxa"/>
            <w:vAlign w:val="bottom"/>
            <w:gridSpan w:val="7"/>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Aaron J. Pearce</w:t>
            </w:r>
          </w:p>
        </w:tc>
        <w:tc>
          <w:tcPr>
            <w:tcW w:w="4800" w:type="dxa"/>
            <w:vAlign w:val="bottom"/>
            <w:gridSpan w:val="8"/>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5540" w:type="dxa"/>
            <w:vAlign w:val="bottom"/>
            <w:gridSpan w:val="9"/>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Aaron J. Pearce</w:t>
            </w:r>
          </w:p>
        </w:tc>
        <w:tc>
          <w:tcPr>
            <w:tcW w:w="5700" w:type="dxa"/>
            <w:vAlign w:val="bottom"/>
            <w:gridSpan w:val="10"/>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Inline XBRL data (contained in Exhibit 101)</w:t>
            </w:r>
          </w:p>
        </w:tc>
      </w:tr>
    </w:tbl>
    <w:p>
      <w:pPr>
        <w:spacing w:after="0" w:line="373"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0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AARON J. PEARCE</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Aaron J. Pearce</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2023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2023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37" Type="http://schemas.openxmlformats.org/officeDocument/2006/relationships/hyperlink" Target="https://www.sec.gov/Archives/edgar/data/746598/000074659823000004/exhibit101employmentcontra.htm" TargetMode="External"/><Relationship Id="rId38" Type="http://schemas.openxmlformats.org/officeDocument/2006/relationships/hyperlink" Target="https://www.sec.gov/Archives/edgar/data/746598/000074659823000004/exhibit102addendumemployme.htm" TargetMode="External"/><Relationship Id="rId39" Type="http://schemas.openxmlformats.org/officeDocument/2006/relationships/hyperlink" Target="https://www.sec.gov/Archives/edgar/data/746598/000074659823000004/exhibit103changeofcontro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2023-02-24T06:18:05Z</dcterms:created>
  <dcterms:modified xsi:type="dcterms:W3CDTF">2023-02-24T06:18:05Z</dcterms:modified>
</cp:coreProperties>
</file>