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30,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122"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122" w:right="359" w:bottom="1440" w:gutter="0" w:footer="0" w:header="0"/>
          <w:type w:val="continuous"/>
        </w:sectPr>
      </w:pP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122" w:right="359" w:bottom="1440" w:gutter="0" w:footer="0" w:header="0"/>
          <w:type w:val="continuous"/>
        </w:sectPr>
      </w:pPr>
    </w:p>
    <w:p>
      <w:pPr>
        <w:spacing w:after="0" w:line="234"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center"/>
        <w:ind w:right="-3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5.02 DEPARTURE OF DIRECTORS OR CERTAIN OFFICERS; ELECTION OF DIRECTORS;</w:t>
        </w:r>
      </w:hyperlink>
    </w:p>
    <w:p>
      <w:pPr>
        <w:spacing w:after="0" w:line="8"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APPOINTMENT OF CERTAIN OFFICERS; COMPENSATORY ARRANGEMENTS OF CERTAIN OFFICERS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ind w:right="4100"/>
        <w:spacing w:after="0" w:line="234" w:lineRule="auto"/>
        <w:rPr>
          <w:sz w:val="20"/>
          <w:szCs w:val="20"/>
          <w:color w:val="auto"/>
        </w:rPr>
      </w:pPr>
      <w:r>
        <w:rPr>
          <w:rFonts w:ascii="Arial" w:cs="Arial" w:eastAsia="Arial" w:hAnsi="Arial"/>
          <w:sz w:val="22"/>
          <w:szCs w:val="22"/>
          <w:u w:val="single" w:color="auto"/>
          <w:color w:val="0000EE"/>
        </w:rPr>
        <w:t>2005 Nonqualified Stock Option Plan for Non-Employee Directors Director Nonqualified Stock Option Agreement Nonqualified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820" w:top="111" w:right="11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62" w:lineRule="exact"/>
        <w:rPr>
          <w:sz w:val="20"/>
          <w:szCs w:val="20"/>
          <w:color w:val="auto"/>
        </w:rPr>
      </w:pPr>
    </w:p>
    <w:p>
      <w:pPr>
        <w:ind w:firstLine="8"/>
        <w:spacing w:after="0" w:line="288"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November 30, 2006, the holders of the Class B Common Stock of Brady Corporation (the “Corporation”) approved a revised version of the Brady Corporation 2005 Nonqualified Stock Option Plan for Non-Employee Directors (the “Revised 2005 Plan”). The Revised 2005 Plan, which became effective upon shareholder approval, was adopted to implement two changes. First, pursuant to the Revised 2005 Plan, stock options will be granted to non-employee directors of the Corporation 14 days after first becoming a director and, thereafter, 14 days after each subsequent annual meeting at which the director is re-elected to the Board of Directors. The prior version of the plan had provided that stock options were to be granted upon the initial date of election and on each annual meeting date thereafter. Second, the Revised 2005 Plan provides that if a non-employee director’s service on the Board is terminated for other than death or disability, any unexercised, unexpired options will continue to vest and may be exercised according to the regular vesting and exercise schedules. The prior version of the plan had provided that such options would become 100% vested upon termination and would be fully exercisable at any time within one year following such termination. The foregoing description of the Revised 2005 Plan does not purport to be complete and is qualified in its entirety by reference to the full text of the Revised 2005 Plan, a copy of which is filed herewith as Exhibit 10.1 and is incorporated herein by reference.</w:t>
      </w:r>
    </w:p>
    <w:p>
      <w:pPr>
        <w:spacing w:after="0" w:line="61" w:lineRule="exact"/>
        <w:rPr>
          <w:sz w:val="20"/>
          <w:szCs w:val="20"/>
          <w:color w:val="auto"/>
        </w:rPr>
      </w:pPr>
    </w:p>
    <w:p>
      <w:pPr>
        <w:jc w:val="both"/>
        <w:ind w:right="120" w:firstLine="222"/>
        <w:spacing w:after="0" w:line="264" w:lineRule="auto"/>
        <w:rPr>
          <w:sz w:val="20"/>
          <w:szCs w:val="20"/>
          <w:color w:val="auto"/>
        </w:rPr>
      </w:pPr>
      <w:r>
        <w:rPr>
          <w:rFonts w:ascii="Arial" w:cs="Arial" w:eastAsia="Arial" w:hAnsi="Arial"/>
          <w:sz w:val="18"/>
          <w:szCs w:val="18"/>
          <w:color w:val="auto"/>
        </w:rPr>
        <w:t>The Corporation is also filing herewith and is incorporating herein by reference as Exhibit 10.2 a revised form of granting agreement that will be used for stock option grants made to non-employee directors under the Revised 2005 Plan and as Exhibit 10.3 a revised form of granting agreement that will be used for stock option grants made to employees under the Corporation’s other incentive stock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21"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3810</wp:posOffset>
            </wp:positionV>
            <wp:extent cx="6689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Brady Corporation 2005 Nonqualified Stock Option Plan for Non-Employee Directors, as amended.</w:t>
      </w:r>
    </w:p>
    <w:p>
      <w:pPr>
        <w:spacing w:after="0" w:line="20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Brady Corporation Director Nonqualified Stock Option Agreement, as amended.</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Brady Corporation Nonqualified Stock Option Agreement,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December 4, 2006</w:t>
      </w:r>
      <w:r>
        <w:rPr>
          <w:sz w:val="20"/>
          <w:szCs w:val="20"/>
          <w:color w:val="auto"/>
        </w:rPr>
        <w:tab/>
      </w:r>
      <w:r>
        <w:rPr>
          <w:rFonts w:ascii="Arial" w:cs="Arial" w:eastAsia="Arial" w:hAnsi="Arial"/>
          <w:sz w:val="16"/>
          <w:szCs w:val="16"/>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Mathieson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&amp;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80" w:type="dxa"/>
            <w:vAlign w:val="bottom"/>
          </w:tcPr>
          <w:p>
            <w:pPr>
              <w:ind w:left="4220"/>
              <w:spacing w:after="0"/>
              <w:rPr>
                <w:sz w:val="20"/>
                <w:szCs w:val="20"/>
                <w:color w:val="auto"/>
              </w:rPr>
            </w:pPr>
            <w:r>
              <w:rPr>
                <w:rFonts w:ascii="Arial" w:cs="Arial" w:eastAsia="Arial" w:hAnsi="Arial"/>
                <w:sz w:val="18"/>
                <w:szCs w:val="18"/>
                <w:color w:val="auto"/>
              </w:rPr>
              <w:t>EXHIBIT INDEX</w:t>
            </w:r>
          </w:p>
        </w:tc>
      </w:tr>
      <w:tr>
        <w:trPr>
          <w:trHeight w:val="346"/>
        </w:trPr>
        <w:tc>
          <w:tcPr>
            <w:tcW w:w="62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24"/>
                <w:szCs w:val="24"/>
                <w:color w:val="auto"/>
              </w:rPr>
            </w:pPr>
          </w:p>
        </w:tc>
        <w:tc>
          <w:tcPr>
            <w:tcW w:w="10580" w:type="dxa"/>
            <w:vAlign w:val="bottom"/>
          </w:tcPr>
          <w:p>
            <w:pPr>
              <w:spacing w:after="0"/>
              <w:rPr>
                <w:sz w:val="24"/>
                <w:szCs w:val="24"/>
                <w:color w:val="auto"/>
              </w:rPr>
            </w:pPr>
          </w:p>
        </w:tc>
      </w:tr>
      <w:tr>
        <w:trPr>
          <w:trHeight w:val="167"/>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NUMBER</w:t>
            </w:r>
          </w:p>
        </w:tc>
        <w:tc>
          <w:tcPr>
            <w:tcW w:w="220" w:type="dxa"/>
            <w:vAlign w:val="bottom"/>
          </w:tcPr>
          <w:p>
            <w:pPr>
              <w:spacing w:after="0"/>
              <w:rPr>
                <w:sz w:val="14"/>
                <w:szCs w:val="14"/>
                <w:color w:val="auto"/>
              </w:rPr>
            </w:pPr>
          </w:p>
        </w:tc>
        <w:tc>
          <w:tcPr>
            <w:tcW w:w="10580" w:type="dxa"/>
            <w:vAlign w:val="bottom"/>
            <w:tcBorders>
              <w:bottom w:val="single" w:sz="8" w:color="auto"/>
            </w:tcBorders>
          </w:tcPr>
          <w:p>
            <w:pPr>
              <w:ind w:left="4820"/>
              <w:spacing w:after="0"/>
              <w:rPr>
                <w:sz w:val="20"/>
                <w:szCs w:val="20"/>
                <w:color w:val="auto"/>
              </w:rPr>
            </w:pPr>
            <w:r>
              <w:rPr>
                <w:rFonts w:ascii="Arial" w:cs="Arial" w:eastAsia="Arial" w:hAnsi="Arial"/>
                <w:sz w:val="14"/>
                <w:szCs w:val="14"/>
                <w:color w:val="auto"/>
              </w:rPr>
              <w:t>DESCRIPTION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Brady Corporation 2005 Nonqualified Stock Option Plan for Non-Employee Directors, as amended.</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gridSpan w:val="2"/>
          </w:tcPr>
          <w:p>
            <w:pPr>
              <w:ind w:left="220"/>
              <w:spacing w:after="0"/>
              <w:rPr>
                <w:sz w:val="20"/>
                <w:szCs w:val="20"/>
                <w:color w:val="auto"/>
              </w:rPr>
            </w:pPr>
            <w:r>
              <w:rPr>
                <w:rFonts w:ascii="Arial" w:cs="Arial" w:eastAsia="Arial" w:hAnsi="Arial"/>
                <w:sz w:val="18"/>
                <w:szCs w:val="18"/>
                <w:color w:val="auto"/>
              </w:rPr>
              <w:t>Brady Corporation Director Nonqualified Stock Option Agreement, as amended.</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gridSpan w:val="2"/>
          </w:tcPr>
          <w:p>
            <w:pPr>
              <w:ind w:left="220"/>
              <w:spacing w:after="0"/>
              <w:rPr>
                <w:sz w:val="20"/>
                <w:szCs w:val="20"/>
                <w:color w:val="auto"/>
              </w:rPr>
            </w:pPr>
            <w:r>
              <w:rPr>
                <w:rFonts w:ascii="Arial" w:cs="Arial" w:eastAsia="Arial" w:hAnsi="Arial"/>
                <w:sz w:val="18"/>
                <w:szCs w:val="18"/>
                <w:color w:val="auto"/>
              </w:rPr>
              <w:t>Brady Corporation Nonqualified Stock Option Agreement, as amended.</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NONQUALIFIED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2005 Stock Option Plan for Non-Employee Directors (the “Plan) is intended to attract and retain the services of experienced and knowledgeable non-employee directors of Brady Corporation (the “Corporation”) for the benefit of the Corporation and its shareholders and to provide additional incentive for such directors to continue to work for the best interest of the Corporation and its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Subject to the Plan.</w:t>
      </w:r>
    </w:p>
    <w:p>
      <w:pPr>
        <w:spacing w:after="0" w:line="121"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There are reserved for issuance upon the exercise of options granted under the Plan 300,000 Class A Non-Voting Common Shares $.01 par value, of the Corporation (the “Stock”). Such Stock may be authorized and unissued Stock or previously outstanding Stock then held in the Corporation’s treasury. If any option granted under the Plan shall expire or terminate for any reason without having been exercised in full, the Stock subject to the unexercised portion thereof shall again be available for the purposes of issuance upon the exercise of options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The Plan shall be administered by the Board of Directors of the Corporation (the “Board”), which may delegate any or all of its authority to a Committee of the Board. Subject to the express provisions of the Plan, the Board shall have authority to interpret the Plan, to prescribe, amend and rescind rules and regulations relating to it, to determine the terms and provisions of the option grants and agreements (which shall comply with and be subject to the terms and conditions of the Plan) and to make all other determinations necessary or advisable for the administration of the Plan. The Board’s determination of the matters referred to in this Paragraph 3 shall be conclusive.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Eligibility.</w:t>
      </w:r>
    </w:p>
    <w:p>
      <w:pPr>
        <w:spacing w:after="0" w:line="121" w:lineRule="exact"/>
        <w:rPr>
          <w:sz w:val="20"/>
          <w:szCs w:val="20"/>
          <w:color w:val="auto"/>
        </w:rPr>
      </w:pPr>
    </w:p>
    <w:p>
      <w:pPr>
        <w:ind w:right="240" w:firstLine="225"/>
        <w:spacing w:after="0" w:line="272" w:lineRule="auto"/>
        <w:rPr>
          <w:sz w:val="20"/>
          <w:szCs w:val="20"/>
          <w:color w:val="auto"/>
        </w:rPr>
      </w:pPr>
      <w:r>
        <w:rPr>
          <w:rFonts w:ascii="Arial" w:cs="Arial" w:eastAsia="Arial" w:hAnsi="Arial"/>
          <w:sz w:val="17"/>
          <w:szCs w:val="17"/>
          <w:color w:val="auto"/>
        </w:rPr>
        <w:t>For purposes of the Plan, “Non-Employee Director” means a member of the Board who is not an employee of the Corporation or a subsidiary of the Corporation. After the effective date of the Plan, each Non-Employee Director who first becomes a Director on an annual meeting date after July 26, 2005 shall automatically be granted an option to purchase 10,000 shares of Stock on a date that is 14 days after the annual meeting date, or if such person first becomes a Director on a date other than the annual meeting date, the option shall automatically be granted on a date that is 14 days after first becoming a Director. On a date that is 14 days after each subsequent annual meeting of the shareholders of the Corporation on or subsequent to the effective date of the Plan, each Non-Employee Director who will continue to serve as an Non-Employee Director after such annual meeting shall automatically be granted an option to purchase 6,000 shares of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Only non-statutory stock options shall be granted under the Plan.</w:t>
      </w:r>
    </w:p>
    <w:p>
      <w:pPr>
        <w:spacing w:after="0" w:line="22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w:t>
      </w:r>
    </w:p>
    <w:p>
      <w:pPr>
        <w:spacing w:after="0" w:line="121" w:lineRule="exact"/>
        <w:rPr>
          <w:rFonts w:ascii="Arial" w:cs="Arial" w:eastAsia="Arial" w:hAnsi="Arial"/>
          <w:sz w:val="18"/>
          <w:szCs w:val="18"/>
          <w:b w:val="1"/>
          <w:bCs w:val="1"/>
          <w:color w:val="auto"/>
        </w:rPr>
      </w:pPr>
    </w:p>
    <w:p>
      <w:pPr>
        <w:ind w:left="480" w:hanging="247"/>
        <w:spacing w:after="0"/>
        <w:tabs>
          <w:tab w:leader="none" w:pos="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purchase price of the Stock under each option granted under the Plan shall be 100%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color w:val="auto"/>
        </w:rPr>
        <w:t>the Fair Market Value of the Stock on the date such option is granted. For purposes of the Plan “Fair Market Value” on any date shall mean, with respect to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the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Stock on the relevant date.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All options shall be exercisable in accordance with the following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gridSpan w:val="2"/>
          </w:tcPr>
          <w:p>
            <w:pPr>
              <w:spacing w:after="0"/>
              <w:rPr>
                <w:sz w:val="20"/>
                <w:szCs w:val="20"/>
                <w:color w:val="auto"/>
              </w:rPr>
            </w:pPr>
            <w:r>
              <w:rPr>
                <w:rFonts w:ascii="Arial" w:cs="Arial" w:eastAsia="Arial" w:hAnsi="Arial"/>
                <w:sz w:val="14"/>
                <w:szCs w:val="14"/>
                <w:color w:val="auto"/>
              </w:rPr>
              <w:t>Years After</w:t>
            </w: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7"/>
        </w:trPr>
        <w:tc>
          <w:tcPr>
            <w:tcW w:w="938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540" w:type="dxa"/>
            <w:vAlign w:val="bottom"/>
          </w:tcPr>
          <w:p>
            <w:pPr>
              <w:spacing w:after="0"/>
              <w:rPr>
                <w:sz w:val="14"/>
                <w:szCs w:val="14"/>
                <w:color w:val="auto"/>
              </w:rPr>
            </w:pPr>
          </w:p>
        </w:tc>
        <w:tc>
          <w:tcPr>
            <w:tcW w:w="1500" w:type="dxa"/>
            <w:vAlign w:val="bottom"/>
          </w:tcPr>
          <w:p>
            <w:pPr>
              <w:jc w:val="right"/>
              <w:ind w:right="59"/>
              <w:spacing w:after="0"/>
              <w:rPr>
                <w:sz w:val="20"/>
                <w:szCs w:val="20"/>
                <w:color w:val="auto"/>
              </w:rPr>
            </w:pPr>
            <w:r>
              <w:rPr>
                <w:rFonts w:ascii="Arial" w:cs="Arial" w:eastAsia="Arial" w:hAnsi="Arial"/>
                <w:sz w:val="14"/>
                <w:szCs w:val="14"/>
                <w:color w:val="auto"/>
                <w:w w:val="98"/>
              </w:rPr>
              <w:t>Percentage of Shares</w:t>
            </w:r>
          </w:p>
        </w:tc>
      </w:tr>
      <w:tr>
        <w:trPr>
          <w:trHeight w:val="210"/>
        </w:trPr>
        <w:tc>
          <w:tcPr>
            <w:tcW w:w="20" w:type="dxa"/>
            <w:vAlign w:val="bottom"/>
          </w:tcPr>
          <w:p>
            <w:pPr>
              <w:spacing w:after="0"/>
              <w:rPr>
                <w:sz w:val="18"/>
                <w:szCs w:val="18"/>
                <w:color w:val="auto"/>
              </w:rPr>
            </w:pPr>
          </w:p>
        </w:tc>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1 but less than 2</w:t>
            </w:r>
          </w:p>
        </w:tc>
        <w:tc>
          <w:tcPr>
            <w:tcW w:w="2040" w:type="dxa"/>
            <w:vAlign w:val="bottom"/>
            <w:gridSpan w:val="2"/>
          </w:tcPr>
          <w:p>
            <w:pPr>
              <w:jc w:val="right"/>
              <w:ind w:right="279"/>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20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66-2/3%</w:t>
            </w:r>
          </w:p>
        </w:tc>
      </w:tr>
      <w:tr>
        <w:trPr>
          <w:trHeight w:val="230"/>
        </w:trPr>
        <w:tc>
          <w:tcPr>
            <w:tcW w:w="20" w:type="dxa"/>
            <w:vAlign w:val="bottom"/>
          </w:tcPr>
          <w:p>
            <w:pPr>
              <w:spacing w:after="0"/>
              <w:rPr>
                <w:sz w:val="20"/>
                <w:szCs w:val="20"/>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3 or more</w:t>
            </w:r>
          </w:p>
        </w:tc>
        <w:tc>
          <w:tcPr>
            <w:tcW w:w="2040" w:type="dxa"/>
            <w:vAlign w:val="bottom"/>
            <w:gridSpan w:val="2"/>
          </w:tcPr>
          <w:p>
            <w:pPr>
              <w:jc w:val="right"/>
              <w:ind w:right="279"/>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jc w:val="both"/>
        <w:ind w:right="20" w:firstLine="447"/>
        <w:spacing w:after="0" w:line="277" w:lineRule="auto"/>
        <w:rPr>
          <w:sz w:val="20"/>
          <w:szCs w:val="20"/>
          <w:color w:val="auto"/>
        </w:rPr>
      </w:pPr>
      <w:r>
        <w:rPr>
          <w:rFonts w:ascii="Arial" w:cs="Arial" w:eastAsia="Arial" w:hAnsi="Arial"/>
          <w:sz w:val="18"/>
          <w:szCs w:val="18"/>
          <w:color w:val="auto"/>
        </w:rPr>
        <w:t>The term of each option shall be ten years from the date of grant, or such shorter period as is prescribed in Paragraphs 5(c) and 5(d). Except as provided in Paragraphs 5(c) and 5(d), no option may be exercised at any time unless the holder is then a director of the Corporation.</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Upon exercise, the option price is to be paid in full in cash or, at the discretion of the Board, in Stock owned by the optionee having a Fair Market Value on the date of exercise equal to the aggregate option price or, at the discretion of the Board, in a combination of cash and Stock.</w:t>
      </w:r>
    </w:p>
    <w:p>
      <w:pPr>
        <w:spacing w:after="0" w:line="62" w:lineRule="exact"/>
        <w:rPr>
          <w:sz w:val="20"/>
          <w:szCs w:val="20"/>
          <w:color w:val="auto"/>
        </w:rPr>
      </w:pPr>
    </w:p>
    <w:p>
      <w:pPr>
        <w:ind w:right="60" w:firstLine="233"/>
        <w:spacing w:after="0" w:line="269"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rights under any option shall terminate on the date such Participant ceases to be a Director of the Corporation, except that (a) if the Directorship is terminated by the death of the Director, any unexercised, unexpired Stock Options granted hereunder to the Director shall be 100% vested and fully exercisable, in whole or in part, at any time within one year after the date of death, by the Director’s personal representative or by the person to whom the options are transferred under the Director’s last will and testament or the applicable laws of descent and distribution; (b) if the Directorship is terminated as a result of the disability of the Director (a disability means that the Director is disabled as a result of sickness or injury, such that he or she is unable satisfactorily to perform the Director duties, as determined by the Board of Directors, on the basis of medical evidence satisfactory to it), any unexercised, unexpired options granted hereunder to the Director shall become 100% vested and fully exercisable, in whole or in part, at any time within one year after the date of disability; (c) if the Directorship is terminated and the Director has been a member of the Board of Directors for at least three years, any unexercised, unexpired options granted hereunder to the Director shall continue to vest as provided in Paragraph 5(b) and any option that is or becomes vested may be exercised within the term of such option; and (d) if the Directorship is terminated for any reason other than (a), (b) or (c) above, any unexercised, unexpired options granted hereunder and exercisable as of the date of such termination shall be exercisable in whole or in part at any time within 90 days after such date of termination.</w:t>
      </w:r>
    </w:p>
    <w:p>
      <w:pPr>
        <w:spacing w:after="0" w:line="71" w:lineRule="exact"/>
        <w:rPr>
          <w:rFonts w:ascii="Arial" w:cs="Arial" w:eastAsia="Arial" w:hAnsi="Arial"/>
          <w:sz w:val="17"/>
          <w:szCs w:val="17"/>
          <w:color w:val="auto"/>
        </w:rPr>
      </w:pPr>
    </w:p>
    <w:p>
      <w:pPr>
        <w:jc w:val="both"/>
        <w:ind w:right="300" w:firstLine="233"/>
        <w:spacing w:after="0" w:line="264"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 a merger, consolidation, or reorganization with another corporation in which the Corporation is not the surviving corporation or a merger, consolidation or reorganization with another corporation in which the Corporation is the surviving corporation, but the Stock ceases to be publicly traded, (b) the adoption of any plan for the dissolution of the Corporation, or (c) the sale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color w:val="auto"/>
        </w:rPr>
        <w:t>exchange of all or substantially all the assets of the Corporation for cash or for shares of stock or other securities of another corporation, all then-unexercised options shall become fully exercisable immediately prior to any such event.</w:t>
      </w:r>
    </w:p>
    <w:p>
      <w:pPr>
        <w:spacing w:after="0" w:line="62" w:lineRule="exact"/>
        <w:rPr>
          <w:sz w:val="20"/>
          <w:szCs w:val="20"/>
          <w:color w:val="auto"/>
        </w:rPr>
      </w:pPr>
    </w:p>
    <w:p>
      <w:pPr>
        <w:ind w:left="480" w:hanging="247"/>
        <w:spacing w:after="0"/>
        <w:tabs>
          <w:tab w:leader="none" w:pos="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Nothing in the Plan or in any option granted pursuant to the Plan shall confer on any individual any right to continue as a director of the Corporation.</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and Shareholder Rights of Holders of Options.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No options granted under the Plan shall be transferable otherwise than by will or by the laws of descent and distribution, and an option may be exercised, during the lifetime of an optionee, only by the optionee or optionee’s guardian or legal representative. An optionee shall have none of the rights of a shareholder of the Corporation until the option has been exercised and the Stock subject to the option has been registered in the name of the optionee on the transfer books of the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Adjustments upon Changes in Capitalization.</w:t>
      </w:r>
    </w:p>
    <w:p>
      <w:pPr>
        <w:spacing w:after="0" w:line="121"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Notwithstanding any other provisions of the Plan, the number and class of shares subject to the options and the option prices of options covered thereby shall be proportionately adjusted in the event of changes in the outstanding Stock by reason of stock dividends, stock splits, recapitalizations, mergers, consolidations, combinations or exchanges of shares, split-ups, split-offs, spin-offs, liquidations or other similar changes in capitalization, or any distribution to common shareholders other than cash dividends and, in the event of any such change in the outstanding Stock, the aggregate number and class of shares available under the Plan and the number of shares as to which options may be granted shall be appropriately adjusted by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Amendment and Termination.</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Unless the Plan shall theretofore have been terminated as hereinafter provided, the Plan shall terminate on, and no awards of options shall be made after, the tenth anniversary of the effective date of the Plan; provided, however, that such termination shall have no effect on options granted prior thereto. The Plan may be terminated, modified or amended by the shareholders of the Corporation. The Board may also terminate the Plan or modify or amend the Plan in such respects as it shall deem advisable in order to conform to any change in any law or regulation applicable thereto, or in other respects which shall not change</w:t>
      </w:r>
    </w:p>
    <w:p>
      <w:pPr>
        <w:spacing w:after="0" w:line="2" w:lineRule="exact"/>
        <w:rPr>
          <w:sz w:val="20"/>
          <w:szCs w:val="20"/>
          <w:color w:val="auto"/>
        </w:rPr>
      </w:pPr>
    </w:p>
    <w:p>
      <w:pPr>
        <w:ind w:right="80" w:firstLine="8"/>
        <w:spacing w:after="0" w:line="255"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number of shares of Stock as to which options may be granted, (ii) the class of persons eligible to receive options under the Plan, (iii) the manner of determining the option prices, (iv) the period during which options may be granted or exercised or (v) the provisions relating to the administration of the Plan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9. Withholding.</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Upon the issuance of Stock as a result of the exercise of an option, the Corporation shall have the right to retain or sell without notice sufficient Stock to cover the amount of any tax required by any government to be withheld or otherwise deducted and paid with respect to such Stock being issued, remitting any balance to the optionee; provided, however, that the optionee shall have the right to provide the Corporation with the funds to enable it to pay such tax.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Effectiveness of the Plan.</w:t>
      </w:r>
    </w:p>
    <w:p>
      <w:pPr>
        <w:spacing w:after="0" w:line="121"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Plan shall become effective on the day following the date the Plan is approved by the vote of the holders of a majority of the outstanding shares of the Corporation’s Class B Voting Common Stock. The Board may in its discretion authorize the granting of options which shall be expressly subject to the conditions that (i) the Stock reserved for issue under the Plan shall have been duly listed, upon official notice of issuance, upon each stock exchange in the United States upon which the Stock is traded and (ii) a registration statement under the Securities Act of 1933 with respect to such shares shall have become effective.</w:t>
      </w:r>
    </w:p>
    <w:p>
      <w:pPr>
        <w:sectPr>
          <w:pgSz w:w="11900" w:h="16838" w:orient="portrait"/>
          <w:cols w:equalWidth="0" w:num="1">
            <w:col w:w="11400"/>
          </w:cols>
          <w:pgMar w:left="240" w:top="931" w:right="259" w:bottom="1440" w:gutter="0" w:footer="0" w:header="0"/>
        </w:sectPr>
      </w:pPr>
    </w:p>
    <w:bookmarkStart w:id="10" w:name="page11"/>
    <w:bookmarkEnd w:id="10"/>
    <w:p>
      <w:pPr>
        <w:ind w:left="10280"/>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80" w:type="dxa"/>
            <w:vAlign w:val="bottom"/>
          </w:tcPr>
          <w:p>
            <w:pPr>
              <w:jc w:val="center"/>
              <w:ind w:right="2110"/>
              <w:spacing w:after="0"/>
              <w:rPr>
                <w:sz w:val="20"/>
                <w:szCs w:val="20"/>
                <w:color w:val="auto"/>
              </w:rPr>
            </w:pPr>
            <w:r>
              <w:rPr>
                <w:rFonts w:ascii="Arial" w:cs="Arial" w:eastAsia="Arial" w:hAnsi="Arial"/>
                <w:sz w:val="18"/>
                <w:szCs w:val="18"/>
                <w:b w:val="1"/>
                <w:bCs w:val="1"/>
                <w:color w:val="auto"/>
                <w:w w:val="99"/>
              </w:rPr>
              <w:t>BRADY CORPORATION</w:t>
            </w:r>
          </w:p>
        </w:tc>
      </w:t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60" w:type="dxa"/>
            <w:vAlign w:val="bottom"/>
            <w:gridSpan w:val="2"/>
          </w:tcPr>
          <w:p>
            <w:pPr>
              <w:jc w:val="center"/>
              <w:ind w:right="530"/>
              <w:spacing w:after="0"/>
              <w:rPr>
                <w:sz w:val="20"/>
                <w:szCs w:val="20"/>
                <w:color w:val="auto"/>
              </w:rPr>
            </w:pPr>
            <w:r>
              <w:rPr>
                <w:rFonts w:ascii="Arial" w:cs="Arial" w:eastAsia="Arial" w:hAnsi="Arial"/>
                <w:sz w:val="18"/>
                <w:szCs w:val="18"/>
                <w:b w:val="1"/>
                <w:bCs w:val="1"/>
                <w:color w:val="auto"/>
              </w:rPr>
              <w:t>DIRECTOR NONQUALIFIED STOCK OPTION AGREEMENT</w:t>
            </w:r>
          </w:p>
        </w:tc>
      </w:tr>
      <w:tr>
        <w:trPr>
          <w:trHeight w:val="284"/>
        </w:trPr>
        <w:tc>
          <w:tcPr>
            <w:tcW w:w="1580" w:type="dxa"/>
            <w:vAlign w:val="bottom"/>
          </w:tcPr>
          <w:p>
            <w:pPr>
              <w:ind w:left="240"/>
              <w:spacing w:after="0"/>
              <w:rPr>
                <w:sz w:val="20"/>
                <w:szCs w:val="20"/>
                <w:color w:val="auto"/>
              </w:rPr>
            </w:pPr>
            <w:r>
              <w:rPr>
                <w:rFonts w:ascii="Arial" w:cs="Arial" w:eastAsia="Arial" w:hAnsi="Arial"/>
                <w:sz w:val="18"/>
                <w:szCs w:val="18"/>
                <w:color w:val="auto"/>
                <w:w w:val="91"/>
              </w:rPr>
              <w:t>Option granted on</w:t>
            </w: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880" w:type="dxa"/>
            <w:vAlign w:val="bottom"/>
          </w:tcPr>
          <w:p>
            <w:pPr>
              <w:spacing w:after="0"/>
              <w:rPr>
                <w:sz w:val="20"/>
                <w:szCs w:val="20"/>
                <w:color w:val="auto"/>
              </w:rPr>
            </w:pPr>
            <w:r>
              <w:rPr>
                <w:rFonts w:ascii="Arial" w:cs="Arial" w:eastAsia="Arial" w:hAnsi="Arial"/>
                <w:sz w:val="18"/>
                <w:szCs w:val="18"/>
                <w:color w:val="auto"/>
                <w:w w:val="91"/>
              </w:rPr>
              <w:t>, 20___, by Brady Corporation, a Wisconsin corporation (hereinafter called the “Company”), to</w:t>
            </w:r>
          </w:p>
        </w:tc>
      </w:tr>
      <w:tr>
        <w:trPr>
          <w:trHeight w:val="196"/>
        </w:trPr>
        <w:tc>
          <w:tcPr>
            <w:tcW w:w="1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60" w:type="dxa"/>
            <w:vAlign w:val="bottom"/>
            <w:gridSpan w:val="2"/>
          </w:tcPr>
          <w:p>
            <w:pPr>
              <w:spacing w:after="0" w:line="196" w:lineRule="exact"/>
              <w:rPr>
                <w:sz w:val="20"/>
                <w:szCs w:val="20"/>
                <w:color w:val="auto"/>
              </w:rPr>
            </w:pPr>
            <w:r>
              <w:rPr>
                <w:rFonts w:ascii="Arial" w:cs="Arial" w:eastAsia="Arial" w:hAnsi="Arial"/>
                <w:sz w:val="18"/>
                <w:szCs w:val="18"/>
                <w:color w:val="auto"/>
              </w:rPr>
              <w:t>(hereinafter called the “Director”).</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w:t>
      </w:r>
    </w:p>
    <w:p>
      <w:pPr>
        <w:spacing w:after="0" w:line="117"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desiring to attract and retain the services of experienced directors and to provide additional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directors to continue to work for the best interest of the Company and its shareholders, adopted the Brady Corporation 2005 Nonqualified Stock Option Plan for Non-Employee Directors on November 17, 2005 (“the Plan”);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it is agreed as follows:</w:t>
      </w:r>
    </w:p>
    <w:p>
      <w:pPr>
        <w:spacing w:after="0" w:line="117" w:lineRule="exact"/>
        <w:rPr>
          <w:sz w:val="20"/>
          <w:szCs w:val="20"/>
          <w:color w:val="auto"/>
        </w:rPr>
      </w:pPr>
    </w:p>
    <w:p>
      <w:pPr>
        <w:ind w:left="420" w:hanging="187"/>
        <w:spacing w:after="0"/>
        <w:tabs>
          <w:tab w:leader="none" w:pos="4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of Shares Optioned; Option Price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grants to the Director the right and option to purchase, on the terms and conditions hereof,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w w:val="91"/>
              </w:rPr>
              <w:t>all or any part of an aggregate of</w:t>
            </w:r>
          </w:p>
        </w:tc>
        <w:tc>
          <w:tcPr>
            <w:tcW w:w="900" w:type="dxa"/>
            <w:vAlign w:val="bottom"/>
            <w:tcBorders>
              <w:bottom w:val="single" w:sz="8" w:color="auto"/>
            </w:tcBorders>
          </w:tcPr>
          <w:p>
            <w:pPr>
              <w:spacing w:after="0"/>
              <w:rPr>
                <w:sz w:val="17"/>
                <w:szCs w:val="17"/>
                <w:color w:val="auto"/>
              </w:rPr>
            </w:pPr>
          </w:p>
        </w:tc>
        <w:tc>
          <w:tcPr>
            <w:tcW w:w="7660" w:type="dxa"/>
            <w:vAlign w:val="bottom"/>
            <w:gridSpan w:val="3"/>
          </w:tcPr>
          <w:p>
            <w:pPr>
              <w:ind w:left="60"/>
              <w:spacing w:after="0"/>
              <w:rPr>
                <w:sz w:val="20"/>
                <w:szCs w:val="20"/>
                <w:color w:val="auto"/>
              </w:rPr>
            </w:pPr>
            <w:r>
              <w:rPr>
                <w:rFonts w:ascii="Arial" w:cs="Arial" w:eastAsia="Arial" w:hAnsi="Arial"/>
                <w:sz w:val="18"/>
                <w:szCs w:val="18"/>
                <w:color w:val="auto"/>
                <w:w w:val="89"/>
              </w:rPr>
              <w:t>(___) shares of the presently authorized Class A Common Stock of the Company, $.01 par value, whether</w:t>
            </w:r>
          </w:p>
        </w:tc>
      </w:tr>
      <w:tr>
        <w:trPr>
          <w:trHeight w:val="196"/>
        </w:trPr>
        <w:tc>
          <w:tcPr>
            <w:tcW w:w="4780" w:type="dxa"/>
            <w:vAlign w:val="bottom"/>
            <w:gridSpan w:val="3"/>
          </w:tcPr>
          <w:p>
            <w:pPr>
              <w:spacing w:after="0" w:line="196" w:lineRule="exact"/>
              <w:rPr>
                <w:sz w:val="20"/>
                <w:szCs w:val="20"/>
                <w:color w:val="auto"/>
              </w:rPr>
            </w:pPr>
            <w:r>
              <w:rPr>
                <w:rFonts w:ascii="Arial" w:cs="Arial" w:eastAsia="Arial" w:hAnsi="Arial"/>
                <w:sz w:val="18"/>
                <w:szCs w:val="18"/>
                <w:color w:val="auto"/>
                <w:w w:val="89"/>
              </w:rPr>
              <w:t>unissued or issued and reacquired by the Company, at the price of</w:t>
            </w:r>
          </w:p>
        </w:tc>
        <w:tc>
          <w:tcPr>
            <w:tcW w:w="1800" w:type="dxa"/>
            <w:vAlign w:val="bottom"/>
            <w:tcBorders>
              <w:bottom w:val="single" w:sz="8" w:color="auto"/>
            </w:tcBorders>
          </w:tcPr>
          <w:p>
            <w:pPr>
              <w:spacing w:after="0"/>
              <w:rPr>
                <w:sz w:val="17"/>
                <w:szCs w:val="17"/>
                <w:color w:val="auto"/>
              </w:rPr>
            </w:pPr>
          </w:p>
        </w:tc>
        <w:tc>
          <w:tcPr>
            <w:tcW w:w="4380" w:type="dxa"/>
            <w:vAlign w:val="bottom"/>
          </w:tcPr>
          <w:p>
            <w:pPr>
              <w:ind w:left="60"/>
              <w:spacing w:after="0" w:line="196" w:lineRule="exact"/>
              <w:rPr>
                <w:sz w:val="20"/>
                <w:szCs w:val="20"/>
                <w:color w:val="auto"/>
              </w:rPr>
            </w:pPr>
            <w:r>
              <w:rPr>
                <w:rFonts w:ascii="Arial" w:cs="Arial" w:eastAsia="Arial" w:hAnsi="Arial"/>
                <w:sz w:val="18"/>
                <w:szCs w:val="18"/>
                <w:color w:val="auto"/>
              </w:rPr>
              <w:t>($___) per share (the “Option Price”).</w:t>
            </w:r>
          </w:p>
        </w:tc>
      </w:tr>
    </w:tbl>
    <w:p>
      <w:pPr>
        <w:spacing w:after="0" w:line="117" w:lineRule="exact"/>
        <w:rPr>
          <w:sz w:val="20"/>
          <w:szCs w:val="20"/>
          <w:color w:val="auto"/>
        </w:rPr>
      </w:pPr>
    </w:p>
    <w:p>
      <w:pPr>
        <w:ind w:right="60" w:firstLine="233"/>
        <w:spacing w:after="0" w:line="258" w:lineRule="auto"/>
        <w:tabs>
          <w:tab w:leader="none" w:pos="40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Director’s Lifetime; Vesting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hereinafter in this paragraph and in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Maximum Percentage</w:t>
            </w: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w:t>
            </w:r>
          </w:p>
        </w:tc>
        <w:tc>
          <w:tcPr>
            <w:tcW w:w="5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4"/>
              </w:rPr>
              <w:t>of Shares for Which</w:t>
            </w:r>
          </w:p>
        </w:tc>
      </w:t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After Date of Grant of this Option</w:t>
            </w: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Option is Exercisable</w:t>
            </w: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Zero</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2060" w:type="dxa"/>
            <w:vAlign w:val="bottom"/>
            <w:gridSpan w:val="2"/>
          </w:tcPr>
          <w:p>
            <w:pPr>
              <w:jc w:val="right"/>
              <w:ind w:right="304"/>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2060" w:type="dxa"/>
            <w:vAlign w:val="bottom"/>
            <w:gridSpan w:val="2"/>
            <w:shd w:val="clear" w:color="auto" w:fill="CCEEFF"/>
          </w:tcPr>
          <w:p>
            <w:pPr>
              <w:jc w:val="right"/>
              <w:ind w:right="304"/>
              <w:spacing w:after="0"/>
              <w:rPr>
                <w:sz w:val="20"/>
                <w:szCs w:val="20"/>
                <w:color w:val="auto"/>
              </w:rPr>
            </w:pPr>
            <w:r>
              <w:rPr>
                <w:rFonts w:ascii="Arial" w:cs="Arial" w:eastAsia="Arial" w:hAnsi="Arial"/>
                <w:sz w:val="18"/>
                <w:szCs w:val="18"/>
                <w:color w:val="auto"/>
              </w:rPr>
              <w:t>66-2/3%</w:t>
            </w:r>
          </w:p>
        </w:tc>
      </w:tr>
      <w:tr>
        <w:trPr>
          <w:trHeight w:val="230"/>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At least 3</w:t>
            </w:r>
          </w:p>
        </w:tc>
        <w:tc>
          <w:tcPr>
            <w:tcW w:w="2060" w:type="dxa"/>
            <w:vAlign w:val="bottom"/>
            <w:gridSpan w:val="2"/>
          </w:tcPr>
          <w:p>
            <w:pPr>
              <w:jc w:val="right"/>
              <w:ind w:right="304"/>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on the date of such termination. This Agreement does not confer upon Director any right to continue as a Director of the Company.</w:t>
      </w:r>
    </w:p>
    <w:p>
      <w:pPr>
        <w:spacing w:after="0" w:line="113" w:lineRule="exact"/>
        <w:rPr>
          <w:sz w:val="20"/>
          <w:szCs w:val="20"/>
          <w:color w:val="auto"/>
        </w:rPr>
      </w:pPr>
    </w:p>
    <w:p>
      <w:pPr>
        <w:ind w:firstLine="233"/>
        <w:spacing w:after="0" w:line="313" w:lineRule="auto"/>
        <w:tabs>
          <w:tab w:leader="none" w:pos="405"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 of Employment, Etc.</w:t>
      </w:r>
      <w:r>
        <w:rPr>
          <w:rFonts w:ascii="Arial" w:cs="Arial" w:eastAsia="Arial" w:hAnsi="Arial"/>
          <w:sz w:val="17"/>
          <w:szCs w:val="17"/>
          <w:b w:val="1"/>
          <w:bCs w:val="1"/>
          <w:color w:val="auto"/>
        </w:rPr>
        <w:t xml:space="preserve"> </w:t>
      </w:r>
      <w:r>
        <w:rPr>
          <w:rFonts w:ascii="Arial" w:cs="Arial" w:eastAsia="Arial" w:hAnsi="Arial"/>
          <w:sz w:val="17"/>
          <w:szCs w:val="17"/>
          <w:color w:val="auto"/>
        </w:rPr>
        <w:t>A. Notwithstanding the provisions of paragraph 2 hereof, in the event of the termination of the Directorship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prior to [three years from date of grant], due to death or disability, this Option shall become 100% vested and fully exercisable.</w:t>
      </w:r>
    </w:p>
    <w:p>
      <w:pPr>
        <w:spacing w:after="0" w:line="3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62"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B. (i) If the Directorship is terminated by the death of the Director,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 be exercisable, in whole or in part, at any time within one year after the date of termination.</w:t>
      </w:r>
    </w:p>
    <w:p>
      <w:pPr>
        <w:spacing w:after="0" w:line="8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75" w:lineRule="exact"/>
        <w:rPr>
          <w:sz w:val="20"/>
          <w:szCs w:val="20"/>
          <w:color w:val="auto"/>
        </w:rPr>
      </w:pPr>
    </w:p>
    <w:p>
      <w:pPr>
        <w:ind w:right="60" w:firstLine="233"/>
        <w:spacing w:after="0" w:line="258" w:lineRule="auto"/>
        <w:tabs>
          <w:tab w:leader="none" w:pos="40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75" w:lineRule="exact"/>
        <w:rPr>
          <w:rFonts w:ascii="Arial" w:cs="Arial" w:eastAsia="Arial" w:hAnsi="Arial"/>
          <w:sz w:val="18"/>
          <w:szCs w:val="18"/>
          <w:b w:val="1"/>
          <w:bCs w:val="1"/>
          <w:color w:val="auto"/>
        </w:rPr>
      </w:pPr>
    </w:p>
    <w:p>
      <w:pPr>
        <w:ind w:right="420" w:firstLine="233"/>
        <w:spacing w:after="0" w:line="266" w:lineRule="auto"/>
        <w:tabs>
          <w:tab w:leader="none" w:pos="40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exercised by delivering to the Company, at the office of its Treasurer, a written notice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with respect to which this Option is at the time being exercised and by paying the Company in full the Option Price of the shares being acquired at the time.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40" w:right="160" w:firstLine="233"/>
        <w:spacing w:after="0" w:line="261" w:lineRule="auto"/>
        <w:tabs>
          <w:tab w:leader="none" w:pos="36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shall be made either (i) in cash or (ii) by delivering shares of the Company’s Class A Common Stock which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owned by the Director, the spouse of the Director, or both of them, for a period of at least six months prior to the time of exercise (“Delivered Stock”) or (iii) by delivering a combination of cash and Delivered Stock. Payment in the form of Delivered Stock shall be in the amount of the Fair Market Value of the stock at the date of exercise, determined in accordance with paragraph 9.</w:t>
      </w:r>
    </w:p>
    <w:p>
      <w:pPr>
        <w:spacing w:after="0" w:line="71" w:lineRule="exact"/>
        <w:rPr>
          <w:rFonts w:ascii="Arial" w:cs="Arial" w:eastAsia="Arial" w:hAnsi="Arial"/>
          <w:sz w:val="18"/>
          <w:szCs w:val="18"/>
          <w:b w:val="1"/>
          <w:bCs w:val="1"/>
          <w:color w:val="auto"/>
        </w:rPr>
      </w:pPr>
    </w:p>
    <w:p>
      <w:pPr>
        <w:ind w:left="380" w:hanging="187"/>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expire ten years after the date on which this Option was granted.</w:t>
      </w:r>
    </w:p>
    <w:p>
      <w:pPr>
        <w:spacing w:after="0" w:line="117" w:lineRule="exact"/>
        <w:rPr>
          <w:rFonts w:ascii="Arial" w:cs="Arial" w:eastAsia="Arial" w:hAnsi="Arial"/>
          <w:sz w:val="18"/>
          <w:szCs w:val="18"/>
          <w:b w:val="1"/>
          <w:bCs w:val="1"/>
          <w:color w:val="auto"/>
        </w:rPr>
      </w:pPr>
    </w:p>
    <w:p>
      <w:pPr>
        <w:ind w:left="-40" w:right="40" w:firstLine="233"/>
        <w:spacing w:after="0" w:line="274" w:lineRule="auto"/>
        <w:tabs>
          <w:tab w:leader="none" w:pos="36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payment of or withhold any tax which it believes is payable as a result of the exercise of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65" w:lineRule="exact"/>
        <w:rPr>
          <w:rFonts w:ascii="Arial" w:cs="Arial" w:eastAsia="Arial" w:hAnsi="Arial"/>
          <w:sz w:val="17"/>
          <w:szCs w:val="17"/>
          <w:b w:val="1"/>
          <w:bCs w:val="1"/>
          <w:color w:val="auto"/>
        </w:rPr>
      </w:pPr>
    </w:p>
    <w:p>
      <w:pPr>
        <w:ind w:left="-40" w:firstLine="233"/>
        <w:spacing w:after="0" w:line="298" w:lineRule="auto"/>
        <w:tabs>
          <w:tab w:leader="none" w:pos="36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Valuation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the Class A Common Stock of the Company on any date shall mean, if the stock is then</w:t>
      </w:r>
      <w:r>
        <w:rPr>
          <w:rFonts w:ascii="Arial" w:cs="Arial" w:eastAsia="Arial" w:hAnsi="Arial"/>
          <w:sz w:val="16"/>
          <w:szCs w:val="16"/>
          <w:b w:val="1"/>
          <w:bCs w:val="1"/>
          <w:color w:val="auto"/>
        </w:rPr>
        <w:t xml:space="preserve"> </w:t>
      </w:r>
      <w:r>
        <w:rPr>
          <w:rFonts w:ascii="Arial" w:cs="Arial" w:eastAsia="Arial" w:hAnsi="Arial"/>
          <w:sz w:val="16"/>
          <w:szCs w:val="16"/>
          <w:color w:val="auto"/>
        </w:rPr>
        <w:t>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46" w:lineRule="exact"/>
        <w:rPr>
          <w:rFonts w:ascii="Arial" w:cs="Arial" w:eastAsia="Arial" w:hAnsi="Arial"/>
          <w:sz w:val="16"/>
          <w:szCs w:val="16"/>
          <w:b w:val="1"/>
          <w:bCs w:val="1"/>
          <w:color w:val="auto"/>
        </w:rPr>
      </w:pPr>
    </w:p>
    <w:p>
      <w:pPr>
        <w:ind w:left="-40" w:firstLine="233"/>
        <w:spacing w:after="0" w:line="266" w:lineRule="auto"/>
        <w:tabs>
          <w:tab w:leader="none" w:pos="4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Director nor his heirs nor his personal representative shall have any of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privileges of a stockholder of the Company in respect of any of the shares issuable upon the exercise of the Option herein granted, unless and until certificates representing such shares shall have been issued.</w:t>
      </w:r>
    </w:p>
    <w:p>
      <w:pPr>
        <w:spacing w:after="0" w:line="68" w:lineRule="exact"/>
        <w:rPr>
          <w:rFonts w:ascii="Arial" w:cs="Arial" w:eastAsia="Arial" w:hAnsi="Arial"/>
          <w:sz w:val="18"/>
          <w:szCs w:val="18"/>
          <w:b w:val="1"/>
          <w:bCs w:val="1"/>
          <w:color w:val="auto"/>
        </w:rPr>
      </w:pPr>
    </w:p>
    <w:p>
      <w:pPr>
        <w:ind w:left="-40" w:right="200" w:firstLine="233"/>
        <w:spacing w:after="0" w:line="282" w:lineRule="auto"/>
        <w:tabs>
          <w:tab w:leader="none" w:pos="44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pacing w:after="0" w:line="53" w:lineRule="exact"/>
        <w:rPr>
          <w:rFonts w:ascii="Arial" w:cs="Arial" w:eastAsia="Arial" w:hAnsi="Arial"/>
          <w:sz w:val="18"/>
          <w:szCs w:val="18"/>
          <w:b w:val="1"/>
          <w:bCs w:val="1"/>
          <w:color w:val="auto"/>
        </w:rPr>
      </w:pPr>
    </w:p>
    <w:p>
      <w:pPr>
        <w:ind w:left="-40" w:right="120" w:firstLine="233"/>
        <w:spacing w:after="0" w:line="266" w:lineRule="auto"/>
        <w:tabs>
          <w:tab w:leader="none" w:pos="4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herein provided, the Option herein granted and the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thereto shall not be transferred, assigned, pledged or hypothecated in any way (whether by operation of law or otherwise) and shall not be subject to execution, attachment or similar process.</w:t>
      </w:r>
    </w:p>
    <w:p>
      <w:pPr>
        <w:spacing w:after="0" w:line="68" w:lineRule="exact"/>
        <w:rPr>
          <w:rFonts w:ascii="Arial" w:cs="Arial" w:eastAsia="Arial" w:hAnsi="Arial"/>
          <w:sz w:val="18"/>
          <w:szCs w:val="18"/>
          <w:b w:val="1"/>
          <w:bCs w:val="1"/>
          <w:color w:val="auto"/>
        </w:rPr>
      </w:pPr>
    </w:p>
    <w:p>
      <w:pPr>
        <w:ind w:left="-40" w:right="200" w:firstLine="233"/>
        <w:spacing w:after="0" w:line="282" w:lineRule="auto"/>
        <w:tabs>
          <w:tab w:leader="none" w:pos="455"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there are any changes in the Class A Common Stock of the Company through merger, consolidation,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1" w:right="279" w:bottom="1440" w:gutter="0" w:footer="0" w:header="0"/>
        </w:sectPr>
      </w:pPr>
    </w:p>
    <w:bookmarkStart w:id="13" w:name="page14"/>
    <w:bookmarkEnd w:id="13"/>
    <w:p>
      <w:pPr>
        <w:ind w:right="280"/>
        <w:spacing w:after="0" w:line="286" w:lineRule="auto"/>
        <w:rPr>
          <w:sz w:val="20"/>
          <w:szCs w:val="20"/>
          <w:color w:val="auto"/>
        </w:rPr>
      </w:pPr>
      <w:r>
        <w:rPr>
          <w:rFonts w:ascii="Arial" w:cs="Arial" w:eastAsia="Arial" w:hAnsi="Arial"/>
          <w:sz w:val="17"/>
          <w:szCs w:val="17"/>
          <w:color w:val="auto"/>
        </w:rPr>
        <w:t>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53" w:lineRule="exact"/>
        <w:rPr>
          <w:sz w:val="20"/>
          <w:szCs w:val="20"/>
          <w:color w:val="auto"/>
        </w:rPr>
      </w:pPr>
    </w:p>
    <w:p>
      <w:pPr>
        <w:ind w:firstLine="233"/>
        <w:spacing w:after="0" w:line="271" w:lineRule="auto"/>
        <w:tabs>
          <w:tab w:leader="none" w:pos="495"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contained herein to the contrary notwithstanding, upon the dissolution or liquidation of the Company, or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6" w:lineRule="exact"/>
        <w:rPr>
          <w:rFonts w:ascii="Arial" w:cs="Arial" w:eastAsia="Arial" w:hAnsi="Arial"/>
          <w:sz w:val="17"/>
          <w:szCs w:val="17"/>
          <w:b w:val="1"/>
          <w:bCs w:val="1"/>
          <w:color w:val="auto"/>
        </w:rPr>
      </w:pPr>
    </w:p>
    <w:p>
      <w:pPr>
        <w:ind w:firstLine="233"/>
        <w:spacing w:after="0" w:line="281" w:lineRule="auto"/>
        <w:tabs>
          <w:tab w:leader="none" w:pos="495"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to be given to the Company under the terms of this Agreement shall be addressed to the Company in care of its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56" w:lineRule="exact"/>
        <w:rPr>
          <w:rFonts w:ascii="Arial" w:cs="Arial" w:eastAsia="Arial" w:hAnsi="Arial"/>
          <w:sz w:val="17"/>
          <w:szCs w:val="17"/>
          <w:b w:val="1"/>
          <w:bCs w:val="1"/>
          <w:color w:val="auto"/>
        </w:rPr>
      </w:pPr>
    </w:p>
    <w:p>
      <w:pPr>
        <w:jc w:val="both"/>
        <w:ind w:firstLine="233"/>
        <w:spacing w:after="0" w:line="266" w:lineRule="auto"/>
        <w:tabs>
          <w:tab w:leader="none" w:pos="49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in all respects to the provisions of the Plan. In the event of any conflict between any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Option and the provisions of the Plan, the provisions of the Plan shall control. Terms defined in the Plan where used herein shall have the meanings as so defined. Director acknowledges receipt of a copy of the Plan.</w:t>
      </w:r>
    </w:p>
    <w:p>
      <w:pPr>
        <w:spacing w:after="0" w:line="68" w:lineRule="exact"/>
        <w:rPr>
          <w:rFonts w:ascii="Arial" w:cs="Arial" w:eastAsia="Arial" w:hAnsi="Arial"/>
          <w:sz w:val="18"/>
          <w:szCs w:val="18"/>
          <w:b w:val="1"/>
          <w:bCs w:val="1"/>
          <w:color w:val="auto"/>
        </w:rPr>
      </w:pPr>
    </w:p>
    <w:p>
      <w:pPr>
        <w:ind w:left="500" w:hanging="267"/>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has been granted in Wisconsin and shall be construed under the laws of that state.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 w:name="page15"/>
    <w:bookmarkEnd w:id="14"/>
    <w:p>
      <w:pPr>
        <w:ind w:firstLine="225"/>
        <w:spacing w:after="0" w:line="266"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these presents to be executed on its behalf by its President and to be sealed with its corporate seal,</w:t>
      </w:r>
      <w:r>
        <w:rPr>
          <w:rFonts w:ascii="Arial" w:cs="Arial" w:eastAsia="Arial" w:hAnsi="Arial"/>
          <w:sz w:val="18"/>
          <w:szCs w:val="18"/>
          <w:b w:val="1"/>
          <w:bCs w:val="1"/>
          <w:color w:val="auto"/>
        </w:rPr>
        <w:t xml:space="preserve"> </w:t>
      </w:r>
      <w:r>
        <w:rPr>
          <w:rFonts w:ascii="Arial" w:cs="Arial" w:eastAsia="Arial" w:hAnsi="Arial"/>
          <w:sz w:val="18"/>
          <w:szCs w:val="18"/>
          <w:color w:val="auto"/>
        </w:rPr>
        <w:t>and attested by its Secretary and the Director has hereunto set his hand and seal, all as of the day and year first above written, which is the date of the granting of this Option evidenced hereby.</w:t>
      </w:r>
    </w:p>
    <w:p>
      <w:pPr>
        <w:spacing w:after="0" w:line="17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049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049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049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Secretary</w:t>
      </w: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154940</wp:posOffset>
            </wp:positionV>
            <wp:extent cx="2778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931" w:right="279" w:bottom="1440" w:gutter="0" w:footer="0" w:header="0"/>
        </w:sectPr>
      </w:pPr>
    </w:p>
    <w:bookmarkStart w:id="15" w:name="page16"/>
    <w:bookmarkEnd w:id="15"/>
    <w:tbl>
      <w:tblPr>
        <w:tblLayout w:type="fixed"/>
        <w:tblInd w:w="24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40" w:type="dxa"/>
            <w:vAlign w:val="bottom"/>
          </w:tcPr>
          <w:p>
            <w:pPr>
              <w:ind w:left="800"/>
              <w:spacing w:after="0"/>
              <w:rPr>
                <w:sz w:val="20"/>
                <w:szCs w:val="20"/>
                <w:color w:val="auto"/>
              </w:rPr>
            </w:pPr>
            <w:r>
              <w:rPr>
                <w:rFonts w:ascii="Arial" w:cs="Arial" w:eastAsia="Arial" w:hAnsi="Arial"/>
                <w:sz w:val="18"/>
                <w:szCs w:val="18"/>
                <w:b w:val="1"/>
                <w:bCs w:val="1"/>
                <w:color w:val="auto"/>
              </w:rPr>
              <w:t>EXHIBIT 10.3</w:t>
            </w:r>
          </w:p>
        </w:tc>
      </w:tr>
      <w:tr>
        <w:trPr>
          <w:trHeight w:val="522"/>
        </w:trPr>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00" w:type="dxa"/>
            <w:vAlign w:val="bottom"/>
          </w:tcPr>
          <w:p>
            <w:pPr>
              <w:jc w:val="center"/>
              <w:ind w:left="290"/>
              <w:spacing w:after="0"/>
              <w:rPr>
                <w:sz w:val="20"/>
                <w:szCs w:val="20"/>
                <w:color w:val="auto"/>
              </w:rPr>
            </w:pPr>
            <w:r>
              <w:rPr>
                <w:rFonts w:ascii="Arial" w:cs="Arial" w:eastAsia="Arial" w:hAnsi="Arial"/>
                <w:sz w:val="18"/>
                <w:szCs w:val="18"/>
                <w:b w:val="1"/>
                <w:bCs w:val="1"/>
                <w:color w:val="auto"/>
                <w:w w:val="99"/>
              </w:rPr>
              <w:t>BRADY CORPORATION</w:t>
            </w: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00" w:type="dxa"/>
            <w:vAlign w:val="bottom"/>
          </w:tcPr>
          <w:p>
            <w:pPr>
              <w:jc w:val="center"/>
              <w:ind w:left="290"/>
              <w:spacing w:after="0"/>
              <w:rPr>
                <w:sz w:val="20"/>
                <w:szCs w:val="20"/>
                <w:color w:val="auto"/>
              </w:rPr>
            </w:pPr>
            <w:r>
              <w:rPr>
                <w:rFonts w:ascii="Arial" w:cs="Arial" w:eastAsia="Arial" w:hAnsi="Arial"/>
                <w:sz w:val="18"/>
                <w:szCs w:val="18"/>
                <w:b w:val="1"/>
                <w:bCs w:val="1"/>
                <w:color w:val="auto"/>
              </w:rPr>
              <w:t>NONQUALIFIED STOCK OPTION AGREEMENT</w:t>
            </w: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84"/>
        </w:trPr>
        <w:tc>
          <w:tcPr>
            <w:tcW w:w="1340" w:type="dxa"/>
            <w:vAlign w:val="bottom"/>
          </w:tcPr>
          <w:p>
            <w:pPr>
              <w:spacing w:after="0"/>
              <w:rPr>
                <w:sz w:val="20"/>
                <w:szCs w:val="20"/>
                <w:color w:val="auto"/>
              </w:rPr>
            </w:pPr>
            <w:r>
              <w:rPr>
                <w:rFonts w:ascii="Arial" w:cs="Arial" w:eastAsia="Arial" w:hAnsi="Arial"/>
                <w:sz w:val="18"/>
                <w:szCs w:val="18"/>
                <w:color w:val="auto"/>
                <w:w w:val="91"/>
              </w:rPr>
              <w:t>Option granted on</w:t>
            </w:r>
          </w:p>
        </w:tc>
        <w:tc>
          <w:tcPr>
            <w:tcW w:w="900" w:type="dxa"/>
            <w:vAlign w:val="bottom"/>
            <w:tcBorders>
              <w:bottom w:val="single" w:sz="8" w:color="auto"/>
            </w:tcBorders>
          </w:tcPr>
          <w:p>
            <w:pPr>
              <w:spacing w:after="0"/>
              <w:rPr>
                <w:sz w:val="24"/>
                <w:szCs w:val="24"/>
                <w:color w:val="auto"/>
              </w:rPr>
            </w:pPr>
          </w:p>
        </w:tc>
        <w:tc>
          <w:tcPr>
            <w:tcW w:w="6100" w:type="dxa"/>
            <w:vAlign w:val="bottom"/>
          </w:tcPr>
          <w:p>
            <w:pPr>
              <w:ind w:left="60"/>
              <w:spacing w:after="0"/>
              <w:rPr>
                <w:sz w:val="20"/>
                <w:szCs w:val="20"/>
                <w:color w:val="auto"/>
              </w:rPr>
            </w:pPr>
            <w:r>
              <w:rPr>
                <w:rFonts w:ascii="Arial" w:cs="Arial" w:eastAsia="Arial" w:hAnsi="Arial"/>
                <w:sz w:val="18"/>
                <w:szCs w:val="18"/>
                <w:color w:val="auto"/>
                <w:w w:val="92"/>
              </w:rPr>
              <w:t>___, 20___, by Brady Corporation, a Wisconsin corporation (the “Corporation”), to</w:t>
            </w:r>
          </w:p>
        </w:tc>
        <w:tc>
          <w:tcPr>
            <w:tcW w:w="900" w:type="dxa"/>
            <w:vAlign w:val="bottom"/>
            <w:tcBorders>
              <w:bottom w:val="single" w:sz="8" w:color="auto"/>
            </w:tcBorders>
          </w:tcPr>
          <w:p>
            <w:pPr>
              <w:spacing w:after="0"/>
              <w:rPr>
                <w:sz w:val="24"/>
                <w:szCs w:val="24"/>
                <w:color w:val="auto"/>
              </w:rPr>
            </w:pPr>
          </w:p>
        </w:tc>
        <w:tc>
          <w:tcPr>
            <w:tcW w:w="1940" w:type="dxa"/>
            <w:vAlign w:val="bottom"/>
          </w:tcPr>
          <w:p>
            <w:pPr>
              <w:ind w:left="60"/>
              <w:spacing w:after="0"/>
              <w:rPr>
                <w:sz w:val="20"/>
                <w:szCs w:val="20"/>
                <w:color w:val="auto"/>
              </w:rPr>
            </w:pPr>
            <w:r>
              <w:rPr>
                <w:rFonts w:ascii="Arial" w:cs="Arial" w:eastAsia="Arial" w:hAnsi="Arial"/>
                <w:sz w:val="18"/>
                <w:szCs w:val="18"/>
                <w:color w:val="auto"/>
              </w:rPr>
              <w:t>(the “Employee”).</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80" w:firstLine="222"/>
        <w:spacing w:after="0" w:line="291" w:lineRule="auto"/>
        <w:rPr>
          <w:sz w:val="20"/>
          <w:szCs w:val="20"/>
          <w:color w:val="auto"/>
        </w:rPr>
      </w:pPr>
      <w:r>
        <w:rPr>
          <w:rFonts w:ascii="Arial" w:cs="Arial" w:eastAsia="Arial" w:hAnsi="Arial"/>
          <w:sz w:val="16"/>
          <w:szCs w:val="16"/>
          <w:color w:val="auto"/>
        </w:rPr>
        <w:t>WHEREAS, the Board of Directors of the Corporation, desiring to provide increased long-term incentives for key salaried employees of the Corporation and any present or future Subsidiary of the Corporation and desiring to facilitate the efforts of the Corporation and its Subsidiaries to obtain and retain</w:t>
      </w:r>
    </w:p>
    <w:p>
      <w:pPr>
        <w:spacing w:after="0"/>
        <w:tabs>
          <w:tab w:leader="none" w:pos="5640" w:val="left"/>
          <w:tab w:leader="none" w:pos="9960" w:val="left"/>
        </w:tabs>
        <w:rPr>
          <w:sz w:val="20"/>
          <w:szCs w:val="20"/>
          <w:color w:val="auto"/>
        </w:rPr>
      </w:pPr>
      <w:r>
        <w:rPr>
          <w:rFonts w:ascii="Arial" w:cs="Arial" w:eastAsia="Arial" w:hAnsi="Arial"/>
          <w:sz w:val="18"/>
          <w:szCs w:val="18"/>
          <w:color w:val="auto"/>
        </w:rPr>
        <w:t>employees of outstanding ability, adopted the Brady Corporation</w:t>
      </w:r>
      <w:r>
        <w:rPr>
          <w:sz w:val="20"/>
          <w:szCs w:val="20"/>
          <w:color w:val="auto"/>
        </w:rPr>
        <w:tab/>
      </w:r>
      <w:r>
        <w:rPr>
          <w:rFonts w:ascii="Arial" w:cs="Arial" w:eastAsia="Arial" w:hAnsi="Arial"/>
          <w:sz w:val="18"/>
          <w:szCs w:val="18"/>
          <w:color w:val="auto"/>
        </w:rPr>
        <w:t>Omnibus Incentive Stock Plan on</w:t>
      </w:r>
      <w:r>
        <w:rPr>
          <w:sz w:val="20"/>
          <w:szCs w:val="20"/>
          <w:color w:val="auto"/>
        </w:rPr>
        <w:tab/>
      </w:r>
      <w:r>
        <w:rPr>
          <w:rFonts w:ascii="Arial" w:cs="Arial" w:eastAsia="Arial" w:hAnsi="Arial"/>
          <w:sz w:val="17"/>
          <w:szCs w:val="17"/>
          <w:color w:val="auto"/>
        </w:rPr>
        <w:t>(“the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-19050</wp:posOffset>
            </wp:positionV>
            <wp:extent cx="571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5162550</wp:posOffset>
            </wp:positionH>
            <wp:positionV relativeFrom="paragraph">
              <wp:posOffset>-19050</wp:posOffset>
            </wp:positionV>
            <wp:extent cx="1143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it is agreed as follows:</w:t>
      </w:r>
    </w:p>
    <w:p>
      <w:pPr>
        <w:spacing w:after="0" w:line="11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ind w:left="1280" w:right="680" w:hanging="945"/>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Corporation grants to the Employee the right and option to purchase, on the terms and conditions hereof, all or any part of an aggregate of (___) shares of the presently authorized Class A Common Stock of the Corporation, $.01 par value, whether unissued or issued and</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reacquired by the Corporation, at the price of $___.___per share (the “Option Price”).</w:t>
      </w:r>
    </w:p>
    <w:p>
      <w:pPr>
        <w:spacing w:after="0" w:line="112"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4" w:lineRule="exact"/>
        <w:rPr>
          <w:rFonts w:ascii="Arial" w:cs="Arial" w:eastAsia="Arial" w:hAnsi="Arial"/>
          <w:sz w:val="18"/>
          <w:szCs w:val="18"/>
          <w:b w:val="1"/>
          <w:bCs w:val="1"/>
          <w:color w:val="auto"/>
        </w:rPr>
      </w:pPr>
    </w:p>
    <w:p>
      <w:pPr>
        <w:ind w:left="3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hereinafter in this paragraph and in paragraph 3, this Option may not be exercised (a) unless Employee is at the date of the exercise in the employ of the Corporation or a Subsidiary,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-1148715</wp:posOffset>
            </wp:positionV>
            <wp:extent cx="571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Maximum</w:t>
            </w: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Percentage</w:t>
            </w: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89"/>
              </w:rPr>
              <w:t>of Shares For</w:t>
            </w:r>
          </w:p>
        </w:tc>
      </w:tr>
      <w:tr>
        <w:trPr>
          <w:trHeight w:val="149"/>
        </w:trPr>
        <w:tc>
          <w:tcPr>
            <w:tcW w:w="9600" w:type="dxa"/>
            <w:vAlign w:val="bottom"/>
            <w:gridSpan w:val="2"/>
          </w:tcPr>
          <w:p>
            <w:pPr>
              <w:spacing w:after="0" w:line="149" w:lineRule="exact"/>
              <w:rPr>
                <w:sz w:val="20"/>
                <w:szCs w:val="20"/>
                <w:color w:val="auto"/>
              </w:rPr>
            </w:pPr>
            <w:r>
              <w:rPr>
                <w:rFonts w:ascii="Arial" w:cs="Arial" w:eastAsia="Arial" w:hAnsi="Arial"/>
                <w:sz w:val="14"/>
                <w:szCs w:val="14"/>
                <w:color w:val="auto"/>
              </w:rPr>
              <w:t>Number of Completed Years After</w:t>
            </w:r>
          </w:p>
        </w:tc>
        <w:tc>
          <w:tcPr>
            <w:tcW w:w="5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7"/>
              </w:rPr>
              <w:t>Which Option is</w:t>
            </w:r>
          </w:p>
        </w:tc>
      </w:tr>
      <w:tr>
        <w:trPr>
          <w:trHeight w:val="167"/>
        </w:trPr>
        <w:tc>
          <w:tcPr>
            <w:tcW w:w="9600" w:type="dxa"/>
            <w:vAlign w:val="bottom"/>
            <w:gridSpan w:val="2"/>
          </w:tcPr>
          <w:p>
            <w:pPr>
              <w:spacing w:after="0"/>
              <w:rPr>
                <w:sz w:val="20"/>
                <w:szCs w:val="20"/>
                <w:color w:val="auto"/>
              </w:rPr>
            </w:pPr>
            <w:r>
              <w:rPr>
                <w:rFonts w:ascii="Arial" w:cs="Arial" w:eastAsia="Arial" w:hAnsi="Arial"/>
                <w:sz w:val="14"/>
                <w:szCs w:val="14"/>
                <w:color w:val="auto"/>
              </w:rPr>
              <w:t>Date of Grant of this Option</w:t>
            </w:r>
          </w:p>
        </w:tc>
        <w:tc>
          <w:tcPr>
            <w:tcW w:w="5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Exercisable</w:t>
            </w:r>
          </w:p>
        </w:tc>
      </w:tr>
      <w:tr>
        <w:trPr>
          <w:trHeight w:val="210"/>
        </w:trPr>
        <w:tc>
          <w:tcPr>
            <w:tcW w:w="20" w:type="dxa"/>
            <w:vAlign w:val="bottom"/>
          </w:tcPr>
          <w:p>
            <w:pPr>
              <w:spacing w:after="0"/>
              <w:rPr>
                <w:sz w:val="18"/>
                <w:szCs w:val="18"/>
                <w:color w:val="auto"/>
              </w:rPr>
            </w:pPr>
          </w:p>
        </w:tc>
        <w:tc>
          <w:tcPr>
            <w:tcW w:w="9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Less than 1</w:t>
            </w:r>
          </w:p>
        </w:tc>
        <w:tc>
          <w:tcPr>
            <w:tcW w:w="5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Zero</w:t>
            </w: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1820" w:type="dxa"/>
            <w:vAlign w:val="bottom"/>
            <w:gridSpan w:val="2"/>
          </w:tcPr>
          <w:p>
            <w:pPr>
              <w:jc w:val="right"/>
              <w:ind w:right="185"/>
              <w:spacing w:after="0"/>
              <w:rPr>
                <w:sz w:val="20"/>
                <w:szCs w:val="20"/>
                <w:color w:val="auto"/>
              </w:rPr>
            </w:pPr>
            <w:r>
              <w:rPr>
                <w:rFonts w:ascii="Arial" w:cs="Arial" w:eastAsia="Arial" w:hAnsi="Arial"/>
                <w:sz w:val="18"/>
                <w:szCs w:val="18"/>
                <w:color w:val="auto"/>
              </w:rPr>
              <w:t>33-1/3%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18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66-2/3%</w:t>
            </w:r>
          </w:p>
        </w:tc>
      </w:tr>
      <w:tr>
        <w:trPr>
          <w:trHeight w:val="230"/>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At least 3</w:t>
            </w:r>
          </w:p>
        </w:tc>
        <w:tc>
          <w:tcPr>
            <w:tcW w:w="1820" w:type="dxa"/>
            <w:vAlign w:val="bottom"/>
            <w:gridSpan w:val="2"/>
          </w:tcPr>
          <w:p>
            <w:pPr>
              <w:jc w:val="right"/>
              <w:ind w:right="185"/>
              <w:spacing w:after="0"/>
              <w:rPr>
                <w:sz w:val="20"/>
                <w:szCs w:val="20"/>
                <w:color w:val="auto"/>
              </w:rPr>
            </w:pPr>
            <w:r>
              <w:rPr>
                <w:rFonts w:ascii="Arial" w:cs="Arial" w:eastAsia="Arial" w:hAnsi="Arial"/>
                <w:sz w:val="18"/>
                <w:szCs w:val="18"/>
                <w:color w:val="auto"/>
              </w:rPr>
              <w:t>100%</w:t>
            </w:r>
          </w:p>
        </w:tc>
      </w:tr>
      <w:tr>
        <w:trPr>
          <w:trHeight w:val="617"/>
        </w:trPr>
        <w:tc>
          <w:tcPr>
            <w:tcW w:w="2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ind w:left="332"/>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(the “Committee”)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77" w:lineRule="exact"/>
        <w:rPr>
          <w:sz w:val="20"/>
          <w:szCs w:val="20"/>
          <w:color w:val="auto"/>
        </w:rPr>
      </w:pPr>
    </w:p>
    <w:p>
      <w:pPr>
        <w:ind w:left="332" w:hanging="332"/>
        <w:spacing w:after="0"/>
        <w:tabs>
          <w:tab w:leader="none" w:pos="33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13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if the Employee:</w:t>
      </w:r>
    </w:p>
    <w:p>
      <w:pPr>
        <w:spacing w:after="0" w:line="117" w:lineRule="exact"/>
        <w:rPr>
          <w:rFonts w:ascii="Arial" w:cs="Arial" w:eastAsia="Arial" w:hAnsi="Arial"/>
          <w:sz w:val="18"/>
          <w:szCs w:val="18"/>
          <w:b w:val="1"/>
          <w:bCs w:val="1"/>
          <w:color w:val="auto"/>
        </w:rPr>
      </w:pPr>
    </w:p>
    <w:p>
      <w:pPr>
        <w:jc w:val="both"/>
        <w:ind w:left="652" w:right="40" w:hanging="314"/>
        <w:spacing w:after="0" w:line="312" w:lineRule="auto"/>
        <w:tabs>
          <w:tab w:leader="none" w:pos="6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652" w:right="140" w:hanging="314"/>
        <w:spacing w:after="0" w:line="279" w:lineRule="auto"/>
        <w:tabs>
          <w:tab w:leader="none" w:pos="652"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652" w:right="40" w:hanging="314"/>
        <w:spacing w:after="0" w:line="279" w:lineRule="auto"/>
        <w:tabs>
          <w:tab w:leader="none" w:pos="652" w:val="left"/>
        </w:tabs>
        <w:numPr>
          <w:ilvl w:val="1"/>
          <w:numId w:val="16"/>
        </w:numPr>
        <w:rPr>
          <w:rFonts w:ascii="Arial" w:cs="Arial" w:eastAsia="Arial" w:hAnsi="Arial"/>
          <w:sz w:val="17"/>
          <w:szCs w:val="17"/>
          <w:color w:val="auto"/>
        </w:rPr>
      </w:pPr>
      <w:r>
        <w:rPr>
          <w:rFonts w:ascii="Arial" w:cs="Arial" w:eastAsia="Arial" w:hAnsi="Arial"/>
          <w:sz w:val="17"/>
          <w:szCs w:val="17"/>
          <w:color w:val="auto"/>
        </w:rPr>
        <w:t>is terminated as a result of the disability of the Employee (a disability means that the Employee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76" w:lineRule="exact"/>
        <w:rPr>
          <w:rFonts w:ascii="Arial" w:cs="Arial" w:eastAsia="Arial" w:hAnsi="Arial"/>
          <w:sz w:val="17"/>
          <w:szCs w:val="17"/>
          <w:color w:val="auto"/>
        </w:rPr>
      </w:pPr>
    </w:p>
    <w:p>
      <w:pPr>
        <w:ind w:left="652" w:right="120" w:hanging="314"/>
        <w:spacing w:after="0" w:line="264" w:lineRule="auto"/>
        <w:tabs>
          <w:tab w:leader="none" w:pos="6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paragraph 2 hereof and any option that is or becomes vested may be exercised within the term of such option.</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7" w:name="page18"/>
    <w:bookmarkEnd w:id="17"/>
    <w:p>
      <w:pPr>
        <w:ind w:left="332" w:hanging="332"/>
        <w:spacing w:after="0"/>
        <w:tabs>
          <w:tab w:leader="none" w:pos="3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33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89" w:lineRule="exact"/>
        <w:rPr>
          <w:rFonts w:ascii="Arial" w:cs="Arial" w:eastAsia="Arial" w:hAnsi="Arial"/>
          <w:sz w:val="18"/>
          <w:szCs w:val="18"/>
          <w:b w:val="1"/>
          <w:bCs w:val="1"/>
          <w:color w:val="auto"/>
        </w:rPr>
      </w:pPr>
    </w:p>
    <w:p>
      <w:pPr>
        <w:ind w:left="332" w:hanging="332"/>
        <w:spacing w:after="0"/>
        <w:tabs>
          <w:tab w:leader="none" w:pos="3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35"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w:t>
      </w:r>
    </w:p>
    <w:p>
      <w:pPr>
        <w:spacing w:after="0" w:line="46" w:lineRule="exact"/>
        <w:rPr>
          <w:sz w:val="20"/>
          <w:szCs w:val="20"/>
          <w:color w:val="auto"/>
        </w:rPr>
      </w:pPr>
    </w:p>
    <w:p>
      <w:pPr>
        <w:ind w:left="332"/>
        <w:spacing w:after="0"/>
        <w:tabs>
          <w:tab w:leader="none" w:pos="8732" w:val="left"/>
        </w:tabs>
        <w:rPr>
          <w:sz w:val="20"/>
          <w:szCs w:val="20"/>
          <w:color w:val="auto"/>
        </w:rPr>
      </w:pPr>
      <w:r>
        <w:rPr>
          <w:rFonts w:ascii="Arial" w:cs="Arial" w:eastAsia="Arial" w:hAnsi="Arial"/>
          <w:sz w:val="18"/>
          <w:szCs w:val="18"/>
          <w:color w:val="auto"/>
        </w:rPr>
        <w:t>which this Option is at the time being exercised and by paying the Corporation in full the Option Price of the</w:t>
      </w:r>
      <w:r>
        <w:rPr>
          <w:sz w:val="20"/>
          <w:szCs w:val="20"/>
          <w:color w:val="auto"/>
        </w:rPr>
        <w:tab/>
      </w:r>
      <w:r>
        <w:rPr>
          <w:rFonts w:ascii="Arial" w:cs="Arial" w:eastAsia="Arial" w:hAnsi="Arial"/>
          <w:sz w:val="15"/>
          <w:szCs w:val="15"/>
          <w:color w:val="auto"/>
        </w:rPr>
        <w:t>shares being acquired at the time.</w:t>
      </w:r>
    </w:p>
    <w:p>
      <w:pPr>
        <w:spacing w:after="0" w:line="112" w:lineRule="exact"/>
        <w:rPr>
          <w:sz w:val="20"/>
          <w:szCs w:val="20"/>
          <w:color w:val="auto"/>
        </w:rPr>
      </w:pPr>
    </w:p>
    <w:p>
      <w:pPr>
        <w:ind w:left="332" w:hanging="332"/>
        <w:spacing w:after="0"/>
        <w:tabs>
          <w:tab w:leader="none" w:pos="3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332"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or</w:t>
      </w:r>
    </w:p>
    <w:p>
      <w:pPr>
        <w:ind w:left="332"/>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(iii) by delivering a combination of cash and Delivered Stock. Payment in the form of Delivered Stock shall be in the amount of the Fair Market Value of the stock at the date of exercise, determined in accordance with paragraph 9.</w:t>
      </w:r>
    </w:p>
    <w:p>
      <w:pPr>
        <w:spacing w:after="0" w:line="85" w:lineRule="exact"/>
        <w:rPr>
          <w:rFonts w:ascii="Arial" w:cs="Arial" w:eastAsia="Arial" w:hAnsi="Arial"/>
          <w:sz w:val="18"/>
          <w:szCs w:val="18"/>
          <w:b w:val="1"/>
          <w:bCs w:val="1"/>
          <w:color w:val="auto"/>
        </w:rPr>
      </w:pPr>
    </w:p>
    <w:p>
      <w:pPr>
        <w:ind w:left="332" w:hanging="332"/>
        <w:spacing w:after="0"/>
        <w:tabs>
          <w:tab w:leader="none" w:pos="3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26" w:lineRule="exact"/>
        <w:rPr>
          <w:rFonts w:ascii="Arial" w:cs="Arial" w:eastAsia="Arial" w:hAnsi="Arial"/>
          <w:sz w:val="18"/>
          <w:szCs w:val="18"/>
          <w:b w:val="1"/>
          <w:bCs w:val="1"/>
          <w:color w:val="auto"/>
        </w:rPr>
      </w:pPr>
    </w:p>
    <w:p>
      <w:pPr>
        <w:ind w:left="332" w:hanging="332"/>
        <w:spacing w:after="0"/>
        <w:tabs>
          <w:tab w:leader="none" w:pos="3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332"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55" w:lineRule="exact"/>
        <w:rPr>
          <w:rFonts w:ascii="Arial" w:cs="Arial" w:eastAsia="Arial" w:hAnsi="Arial"/>
          <w:sz w:val="18"/>
          <w:szCs w:val="18"/>
          <w:b w:val="1"/>
          <w:bCs w:val="1"/>
          <w:color w:val="auto"/>
        </w:rPr>
      </w:pPr>
    </w:p>
    <w:p>
      <w:pPr>
        <w:ind w:left="332" w:hanging="332"/>
        <w:spacing w:after="0"/>
        <w:tabs>
          <w:tab w:leader="none" w:pos="3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332"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w:t>
      </w:r>
    </w:p>
    <w:p>
      <w:pPr>
        <w:spacing w:after="0" w:line="14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0" w:right="299" w:bottom="1440" w:gutter="0" w:footer="0" w:header="0"/>
        </w:sectPr>
      </w:pPr>
    </w:p>
    <w:bookmarkStart w:id="18" w:name="page19"/>
    <w:bookmarkEnd w:id="18"/>
    <w:p>
      <w:pPr>
        <w:jc w:val="both"/>
        <w:ind w:left="332"/>
        <w:spacing w:after="0" w:line="259" w:lineRule="auto"/>
        <w:rPr>
          <w:sz w:val="20"/>
          <w:szCs w:val="20"/>
          <w:color w:val="auto"/>
        </w:rPr>
      </w:pPr>
      <w:r>
        <w:rPr>
          <w:rFonts w:ascii="Arial" w:cs="Arial" w:eastAsia="Arial" w:hAnsi="Arial"/>
          <w:sz w:val="18"/>
          <w:szCs w:val="18"/>
          <w:color w:val="auto"/>
        </w:rPr>
        <w:t>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88" w:lineRule="exact"/>
        <w:rPr>
          <w:sz w:val="20"/>
          <w:szCs w:val="20"/>
          <w:color w:val="auto"/>
        </w:rPr>
      </w:pPr>
    </w:p>
    <w:p>
      <w:pPr>
        <w:ind w:left="332" w:hanging="332"/>
        <w:spacing w:after="0"/>
        <w:tabs>
          <w:tab w:leader="none" w:pos="3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jc w:val="both"/>
        <w:ind w:left="332"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w:t>
      </w:r>
    </w:p>
    <w:p>
      <w:pPr>
        <w:spacing w:after="0" w:line="25" w:lineRule="exact"/>
        <w:rPr>
          <w:rFonts w:ascii="Arial" w:cs="Arial" w:eastAsia="Arial" w:hAnsi="Arial"/>
          <w:sz w:val="18"/>
          <w:szCs w:val="18"/>
          <w:b w:val="1"/>
          <w:bCs w:val="1"/>
          <w:color w:val="auto"/>
        </w:rPr>
      </w:pPr>
    </w:p>
    <w:p>
      <w:pPr>
        <w:ind w:left="332" w:hanging="332"/>
        <w:spacing w:after="0"/>
        <w:tabs>
          <w:tab w:leader="none" w:pos="3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332"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66" w:lineRule="exact"/>
        <w:rPr>
          <w:rFonts w:ascii="Arial" w:cs="Arial" w:eastAsia="Arial" w:hAnsi="Arial"/>
          <w:sz w:val="18"/>
          <w:szCs w:val="18"/>
          <w:b w:val="1"/>
          <w:bCs w:val="1"/>
          <w:color w:val="auto"/>
        </w:rPr>
      </w:pPr>
    </w:p>
    <w:p>
      <w:pPr>
        <w:ind w:left="332" w:hanging="332"/>
        <w:spacing w:after="0"/>
        <w:tabs>
          <w:tab w:leader="none" w:pos="3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332"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332" w:hanging="332"/>
        <w:spacing w:after="0"/>
        <w:tabs>
          <w:tab w:leader="none" w:pos="33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33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may be made by the Committee, subject to approval of the Board of Directors of the Corporation, in the aggregate number of shares and the purchase price and kind of shares subject to this Option, to prevent substantial dilution or enlargement of the rights granted to or available for Employee.</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19" w:name="page20"/>
    <w:bookmarkEnd w:id="19"/>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paragraph shall be available only to the extent that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8" w:lineRule="exact"/>
        <w:rPr>
          <w:rFonts w:ascii="Arial" w:cs="Arial" w:eastAsia="Arial" w:hAnsi="Arial"/>
          <w:sz w:val="18"/>
          <w:szCs w:val="18"/>
          <w:b w:val="1"/>
          <w:bCs w:val="1"/>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jc w:val="both"/>
        <w:ind w:left="34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Vice President and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55" w:lineRule="exact"/>
        <w:rPr>
          <w:rFonts w:ascii="Arial" w:cs="Arial" w:eastAsia="Arial" w:hAnsi="Arial"/>
          <w:sz w:val="18"/>
          <w:szCs w:val="18"/>
          <w:b w:val="1"/>
          <w:bCs w:val="1"/>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134"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Terms defined in the Plan where used herein shall have the meanings as so defined. Employee acknowledges receipt of a copy of the Plan.</w:t>
      </w:r>
    </w:p>
    <w:p>
      <w:pPr>
        <w:spacing w:after="0" w:line="82" w:lineRule="exact"/>
        <w:rPr>
          <w:rFonts w:ascii="Arial" w:cs="Arial" w:eastAsia="Arial" w:hAnsi="Arial"/>
          <w:sz w:val="18"/>
          <w:szCs w:val="18"/>
          <w:b w:val="1"/>
          <w:bCs w:val="1"/>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9" w:right="239" w:bottom="1440" w:gutter="0" w:footer="0" w:header="0"/>
        </w:sectPr>
      </w:pPr>
    </w:p>
    <w:bookmarkStart w:id="20" w:name="page21"/>
    <w:bookmarkEnd w:id="20"/>
    <w:p>
      <w:pPr>
        <w:ind w:firstLine="225"/>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these presents to be executed on its behalf by its President and to be sealed with its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seal, and attested by the Secretary and the Employee has hereunto set his hand and seal, all as of the day and year first above written, which is the date of the granting of this Option evidenced hereby.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3104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31045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Chairman,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31045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Secretary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858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Employee Name (Country)</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sectPr>
      <w:pgSz w:w="11900" w:h="16838" w:orient="portrait"/>
      <w:cols w:equalWidth="0" w:num="1">
        <w:col w:w="11300"/>
      </w:cols>
      <w:pgMar w:left="240" w:top="10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414"/>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4"/>
    </w:lvl>
  </w:abstractNum>
  <w:abstractNum w:abstractNumId="3">
    <w:nsid w:val="66EF438D"/>
    <w:multiLevelType w:val="hybridMultilevel"/>
    <w:lvl w:ilvl="0">
      <w:lvlJc w:val="left"/>
      <w:lvlText w:val="%1."/>
      <w:numFmt w:val="decimal"/>
      <w:start w:val="5"/>
    </w:lvl>
    <w:lvl w:ilvl="1">
      <w:lvlJc w:val="left"/>
      <w:lvlText w:val="(%2)"/>
      <w:numFmt w:val="lowerLetter"/>
      <w:start w:val="1"/>
    </w:lvl>
  </w:abstractNum>
  <w:abstractNum w:abstractNumId="4">
    <w:nsid w:val="140E0F76"/>
    <w:multiLevelType w:val="hybridMultilevel"/>
    <w:lvl w:ilvl="0">
      <w:lvlJc w:val="left"/>
      <w:lvlText w:val="(%1)"/>
      <w:numFmt w:val="lowerLetter"/>
      <w:start w:val="3"/>
    </w:lvl>
  </w:abstractNum>
  <w:abstractNum w:abstractNumId="5">
    <w:nsid w:val="3352255A"/>
    <w:multiLevelType w:val="hybridMultilevel"/>
    <w:lvl w:ilvl="0">
      <w:lvlJc w:val="left"/>
      <w:lvlText w:val="%1"/>
      <w:numFmt w:val="decimal"/>
      <w:start w:val="1"/>
    </w:lvl>
    <w:lvl w:ilvl="1">
      <w:lvlJc w:val="left"/>
      <w:lvlText w:val="(%2)"/>
      <w:numFmt w:val="lowerLetter"/>
      <w:start w:val="5"/>
    </w:lvl>
  </w:abstractNum>
  <w:abstractNum w:abstractNumId="6">
    <w:nsid w:val="109CF92E"/>
    <w:multiLevelType w:val="hybridMultilevel"/>
    <w:lvl w:ilvl="0">
      <w:lvlJc w:val="left"/>
      <w:lvlText w:val="%1."/>
      <w:numFmt w:val="decimal"/>
      <w:start w:val="6"/>
    </w:lvl>
    <w:lvl w:ilvl="1">
      <w:lvlJc w:val="left"/>
      <w:lvlText w:val="%2"/>
      <w:numFmt w:val="lowerLetter"/>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14"/>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3"/>
    </w:lvl>
    <w:lvl w:ilvl="1">
      <w:lvlJc w:val="left"/>
      <w:lvlText w:val="(%2)"/>
      <w:numFmt w:val="lowerLetter"/>
      <w:start w:val="1"/>
    </w:lvl>
  </w:abstractNum>
  <w:abstractNum w:abstractNumId="16">
    <w:nsid w:val="3F2DBA31"/>
    <w:multiLevelType w:val="hybridMultilevel"/>
    <w:lvl w:ilvl="0">
      <w:lvlJc w:val="left"/>
      <w:lvlText w:val="%1."/>
      <w:numFmt w:val="decimal"/>
      <w:start w:val="4"/>
    </w:lvl>
  </w:abstractNum>
  <w:abstractNum w:abstractNumId="17">
    <w:nsid w:val="7C83E458"/>
    <w:multiLevelType w:val="hybridMultilevel"/>
    <w:lvl w:ilvl="0">
      <w:lvlJc w:val="left"/>
      <w:lvlText w:val="%1."/>
      <w:numFmt w:val="decimal"/>
      <w:start w:val="6"/>
    </w:lvl>
  </w:abstractNum>
  <w:abstractNum w:abstractNumId="18">
    <w:nsid w:val="257130A3"/>
    <w:multiLevelType w:val="hybridMultilevel"/>
    <w:lvl w:ilvl="0">
      <w:lvlJc w:val="left"/>
      <w:lvlText w:val="%1."/>
      <w:numFmt w:val="decimal"/>
      <w:start w:val="10"/>
    </w:lvl>
  </w:abstractNum>
  <w:abstractNum w:abstractNumId="19">
    <w:nsid w:val="62BBD95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2019-12-13T14:15:30Z</dcterms:created>
  <dcterms:modified xsi:type="dcterms:W3CDTF">2019-12-13T14:15:30Z</dcterms:modified>
</cp:coreProperties>
</file>