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4848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4848860"/>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Thornton Ann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6555 W. GOOD HOPE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BRADY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BRC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09/19/2022</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7"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717"/>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310"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p>
      <w:pPr>
        <w:spacing w:after="0" w:line="15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MILWAUKEE</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WI</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53223</w:t>
            </w:r>
          </w:p>
        </w:tc>
      </w:tr>
      <w:tr>
        <w:trPr>
          <w:trHeight w:val="151"/>
        </w:trPr>
        <w:tc>
          <w:tcPr>
            <w:tcW w:w="2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05"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rPr>
                <w:sz w:val="11"/>
                <w:szCs w:val="11"/>
                <w:color w:val="auto"/>
              </w:rPr>
            </w:pPr>
          </w:p>
        </w:tc>
        <w:tc>
          <w:tcPr>
            <w:tcW w:w="9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40" w:type="dxa"/>
            <w:vAlign w:val="bottom"/>
          </w:tcPr>
          <w:p>
            <w:pPr>
              <w:ind w:left="20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09/19/2022</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ind w:right="300"/>
              <w:spacing w:after="0"/>
              <w:rPr>
                <w:sz w:val="20"/>
                <w:szCs w:val="20"/>
                <w:color w:val="auto"/>
              </w:rPr>
            </w:pPr>
            <w:r>
              <w:rPr>
                <w:rFonts w:ascii="Times New Roman" w:cs="Times New Roman" w:eastAsia="Times New Roman" w:hAnsi="Times New Roman"/>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1,150</w:t>
            </w:r>
            <w:r>
              <w:rPr>
                <w:rFonts w:ascii="Times New Roman" w:cs="Times New Roman" w:eastAsia="Times New Roman" w:hAnsi="Times New Roman"/>
                <w:sz w:val="21"/>
                <w:szCs w:val="21"/>
                <w:color w:val="008000"/>
                <w:w w:val="91"/>
                <w:vertAlign w:val="superscript"/>
              </w:rPr>
              <w:t>(1)</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19,237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2"/>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2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4,000</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43.5</w:t>
            </w:r>
          </w:p>
        </w:tc>
        <w:tc>
          <w:tcPr>
            <w:tcW w:w="108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09/19/2022</w:t>
            </w:r>
          </w:p>
        </w:tc>
        <w:tc>
          <w:tcPr>
            <w:tcW w:w="1100" w:type="dxa"/>
            <w:vAlign w:val="bottom"/>
          </w:tcPr>
          <w:p>
            <w:pPr>
              <w:spacing w:after="0"/>
              <w:rPr>
                <w:sz w:val="5"/>
                <w:szCs w:val="5"/>
                <w:color w:val="auto"/>
              </w:rPr>
            </w:pPr>
          </w:p>
        </w:tc>
        <w:tc>
          <w:tcPr>
            <w:tcW w:w="7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4,000</w:t>
            </w: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20" w:type="dxa"/>
            <w:vAlign w:val="bottom"/>
            <w:gridSpan w:val="2"/>
            <w:vMerge w:val="restart"/>
          </w:tcPr>
          <w:p>
            <w:pPr>
              <w:ind w:left="40"/>
              <w:spacing w:after="0" w:line="143" w:lineRule="exact"/>
              <w:rPr>
                <w:sz w:val="20"/>
                <w:szCs w:val="20"/>
                <w:color w:val="auto"/>
              </w:rPr>
            </w:pPr>
            <w:r>
              <w:rPr>
                <w:rFonts w:ascii="Times New Roman" w:cs="Times New Roman" w:eastAsia="Times New Roman" w:hAnsi="Times New Roman"/>
                <w:sz w:val="13"/>
                <w:szCs w:val="13"/>
                <w:color w:val="0000FF"/>
              </w:rPr>
              <w:t>09/19/2032</w:t>
            </w:r>
          </w:p>
        </w:tc>
        <w:tc>
          <w:tcPr>
            <w:tcW w:w="66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80"/>
              <w:spacing w:after="0" w:line="143" w:lineRule="exact"/>
              <w:rPr>
                <w:sz w:val="20"/>
                <w:szCs w:val="20"/>
                <w:color w:val="auto"/>
              </w:rPr>
            </w:pPr>
            <w:r>
              <w:rPr>
                <w:rFonts w:ascii="Times New Roman" w:cs="Times New Roman" w:eastAsia="Times New Roman" w:hAnsi="Times New Roman"/>
                <w:sz w:val="13"/>
                <w:szCs w:val="13"/>
                <w:color w:val="0000FF"/>
              </w:rPr>
              <w:t>4,000</w:t>
            </w:r>
          </w:p>
        </w:tc>
        <w:tc>
          <w:tcPr>
            <w:tcW w:w="28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restart"/>
          </w:tcPr>
          <w:p>
            <w:pPr>
              <w:jc w:val="center"/>
              <w:ind w:right="133"/>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-2106295</wp:posOffset>
            </wp:positionV>
            <wp:extent cx="29210" cy="2111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137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20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which vest one third each year for the three years subsequent to the grant date. Upon vesting, each restricted stock unit will be settled solely by delivery of one share of Class A Common Stock.</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options exercisable one third each year for the three years subsequent to the grant 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Heidi Knueppel, Attorney-In-</w:t>
            </w:r>
          </w:p>
        </w:tc>
        <w:tc>
          <w:tcPr>
            <w:tcW w:w="80" w:type="dxa"/>
            <w:vAlign w:val="bottom"/>
          </w:tcPr>
          <w:p>
            <w:pPr>
              <w:spacing w:after="0"/>
              <w:rPr>
                <w:sz w:val="16"/>
                <w:szCs w:val="16"/>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5"/>
              </w:rPr>
              <w:t>09/20/2022</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80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89606"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2022-09-20T16:56:11Z</dcterms:created>
  <dcterms:modified xsi:type="dcterms:W3CDTF">2022-09-20T16:56:11Z</dcterms:modified>
</cp:coreProperties>
</file>