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44450</wp:posOffset>
            </wp:positionV>
            <wp:extent cx="1585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135255</wp:posOffset>
            </wp:positionV>
            <wp:extent cx="15855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135255</wp:posOffset>
            </wp:positionV>
            <wp:extent cx="1585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56515</wp:posOffset>
            </wp:positionV>
            <wp:extent cx="15855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5480" w:type="dxa"/>
            <w:vAlign w:val="bottom"/>
          </w:tcPr>
          <w:p>
            <w:pPr>
              <w:jc w:val="center"/>
              <w:spacing w:after="0"/>
              <w:rPr>
                <w:sz w:val="20"/>
                <w:szCs w:val="20"/>
                <w:color w:val="auto"/>
              </w:rPr>
            </w:pPr>
            <w:r>
              <w:rPr>
                <w:rFonts w:ascii="Arial" w:cs="Arial" w:eastAsia="Arial" w:hAnsi="Arial"/>
                <w:sz w:val="18"/>
                <w:szCs w:val="18"/>
                <w:b w:val="1"/>
                <w:bCs w:val="1"/>
                <w:color w:val="auto"/>
                <w:w w:val="88"/>
              </w:rPr>
              <w:t>Wisconsin</w:t>
            </w:r>
          </w:p>
        </w:tc>
        <w:tc>
          <w:tcPr>
            <w:tcW w:w="5720" w:type="dxa"/>
            <w:vAlign w:val="bottom"/>
            <w:gridSpan w:val="3"/>
          </w:tcPr>
          <w:p>
            <w:pPr>
              <w:jc w:val="right"/>
              <w:ind w:right="2308"/>
              <w:spacing w:after="0"/>
              <w:rPr>
                <w:sz w:val="20"/>
                <w:szCs w:val="20"/>
                <w:color w:val="auto"/>
              </w:rPr>
            </w:pPr>
            <w:r>
              <w:rPr>
                <w:rFonts w:ascii="Arial" w:cs="Arial" w:eastAsia="Arial" w:hAnsi="Arial"/>
                <w:sz w:val="18"/>
                <w:szCs w:val="18"/>
                <w:b w:val="1"/>
                <w:bCs w:val="1"/>
                <w:color w:val="auto"/>
              </w:rPr>
              <w:t>1-14959</w:t>
            </w:r>
          </w:p>
        </w:tc>
      </w:tr>
      <w:tr>
        <w:trPr>
          <w:trHeight w:val="176"/>
        </w:trPr>
        <w:tc>
          <w:tcPr>
            <w:tcW w:w="5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(Commission File Number)</w:t>
            </w:r>
          </w:p>
        </w:tc>
      </w:tr>
      <w:tr>
        <w:trPr>
          <w:trHeight w:val="852"/>
        </w:trPr>
        <w:tc>
          <w:tcPr>
            <w:tcW w:w="5480" w:type="dxa"/>
            <w:vAlign w:val="bottom"/>
          </w:tcPr>
          <w:p>
            <w:pPr>
              <w:jc w:val="center"/>
              <w:spacing w:after="0"/>
              <w:rPr>
                <w:sz w:val="20"/>
                <w:szCs w:val="20"/>
                <w:color w:val="auto"/>
              </w:rPr>
            </w:pPr>
            <w:r>
              <w:rPr>
                <w:rFonts w:ascii="Arial" w:cs="Arial" w:eastAsia="Arial" w:hAnsi="Arial"/>
                <w:sz w:val="18"/>
                <w:szCs w:val="18"/>
                <w:b w:val="1"/>
                <w:bCs w:val="1"/>
                <w:color w:val="auto"/>
                <w:w w:val="89"/>
              </w:rPr>
              <w:t>6555 West Good Hope Road,</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234"/>
        </w:trPr>
        <w:tc>
          <w:tcPr>
            <w:tcW w:w="5480" w:type="dxa"/>
            <w:vAlign w:val="bottom"/>
          </w:tcPr>
          <w:p>
            <w:pPr>
              <w:jc w:val="center"/>
              <w:spacing w:after="0"/>
              <w:rPr>
                <w:sz w:val="20"/>
                <w:szCs w:val="20"/>
                <w:color w:val="auto"/>
              </w:rPr>
            </w:pPr>
            <w:r>
              <w:rPr>
                <w:rFonts w:ascii="Arial" w:cs="Arial" w:eastAsia="Arial" w:hAnsi="Arial"/>
                <w:sz w:val="18"/>
                <w:szCs w:val="18"/>
                <w:b w:val="1"/>
                <w:bCs w:val="1"/>
                <w:color w:val="auto"/>
                <w:w w:val="90"/>
              </w:rPr>
              <w:t>Milwaukee, Wisconsin</w:t>
            </w:r>
          </w:p>
        </w:tc>
        <w:tc>
          <w:tcPr>
            <w:tcW w:w="5720" w:type="dxa"/>
            <w:vAlign w:val="bottom"/>
            <w:gridSpan w:val="3"/>
          </w:tcPr>
          <w:p>
            <w:pPr>
              <w:jc w:val="right"/>
              <w:ind w:right="2368"/>
              <w:spacing w:after="0"/>
              <w:rPr>
                <w:sz w:val="20"/>
                <w:szCs w:val="20"/>
                <w:color w:val="auto"/>
              </w:rPr>
            </w:pPr>
            <w:r>
              <w:rPr>
                <w:rFonts w:ascii="Arial" w:cs="Arial" w:eastAsia="Arial" w:hAnsi="Arial"/>
                <w:sz w:val="18"/>
                <w:szCs w:val="18"/>
                <w:b w:val="1"/>
                <w:bCs w:val="1"/>
                <w:color w:val="auto"/>
              </w:rPr>
              <w:t>53223</w:t>
            </w:r>
          </w:p>
        </w:tc>
      </w:tr>
      <w:tr>
        <w:trPr>
          <w:trHeight w:val="176"/>
        </w:trPr>
        <w:tc>
          <w:tcPr>
            <w:tcW w:w="5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Andrew T. Gorman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General Counsel and Corporate Secretary</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(414) 358-6600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indicate the rule pursuant to which this form is being filed:</w:t>
      </w:r>
    </w:p>
    <w:p>
      <w:pPr>
        <w:spacing w:after="0" w:line="293"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2022</w:t>
      </w:r>
    </w:p>
    <w:p>
      <w:pPr>
        <w:spacing w:after="0" w:line="117" w:lineRule="exact"/>
        <w:rPr>
          <w:sz w:val="24"/>
          <w:szCs w:val="24"/>
          <w:color w:val="auto"/>
        </w:rPr>
      </w:pPr>
    </w:p>
    <w:p>
      <w:pPr>
        <w:ind w:left="700" w:hanging="674"/>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13q-1 under the Securities Exchange Act (17 CFR 240.13q-1) for the fiscal year ended __________.</w:t>
      </w:r>
    </w:p>
    <w:p>
      <w:pPr>
        <w:sectPr>
          <w:pgSz w:w="11900" w:h="16838" w:orient="portrait"/>
          <w:cols w:equalWidth="0" w:num="1">
            <w:col w:w="11220"/>
          </w:cols>
          <w:pgMar w:left="320" w:top="98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9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Brady Corporation and its subsidiaries (“Brady,” “Company,” “we,” “us,” “our”) have developed and maintain an active initiative to identify sources of materials used in our products that contain metallic forms of tin, tantalum, tungsten or gold (“3TG Minerals” or “Conflict Minerals”), and to determine whether any such materials directly or indirectly fund or benefit armed groups in the Democratic Republic of the Congo (“DRC”) or an adjoining country (the “Covered Countries”). For calendar year 2022, Brady has conducted its reasonable country of origin inquiry (“RCOI”) in good faith for the products manufactured, or contracted to manufacture, by the Company where 3TG Minerals are necessary to the functionality or production of such products. We also conducted due diligence on the source and chain of custody of 3TG Minerals in our supply chain. Based on information received through its RCOI and due diligence program, Brady does not have evidence that 3TG Minerals used in its products, directly or indirectly, fund the armed groups in the DRC and the Covered Countries. However, our due diligence with our suppliers is ongoing with continuous improvement in our supply chain transparency and responsible sourcing of materials contained in our products.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Through our RCOI described in our Conflict Minerals Report, several suppliers disclosed to us that their only sources of 3TG Minerals were from scrap/recycled materials identified in their supply chains, and, as such, did not require due diligence. Brady has reason to believe that 3TG Minerals used in its products do not solely originate from recycled or scrap sources. This determination is included in the attached Conflict Minerals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Disclosure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calendar year 2022, Brady Corporation is filing a Conflict Minerals Report which is attached as Exhibit 1.01 in Item 3.01 and is also publicly available on our website at the below link.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https://www.bradyid.com/corporate/supplier-information</w:t>
      </w:r>
    </w:p>
    <w:p>
      <w:pPr>
        <w:spacing w:after="0" w:line="289"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required by Item 1.01 is filed as Exhibit 1.01 to this Form SD.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RESOURCE EXTRACTION ISSUER DISCLOSURE</w:t>
      </w:r>
    </w:p>
    <w:p>
      <w:pPr>
        <w:spacing w:after="0" w:line="29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Resource Extraction Issuer Disclosure and Report</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EXHIBITS</w:t>
      </w:r>
    </w:p>
    <w:p>
      <w:pPr>
        <w:spacing w:after="0" w:line="29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Exhibits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Exhibit 1.01 Conflict Minerals Report as required by Items 1.01 and 1.02 of this Form SD for calendar year ended December 31, 2022.</w:t>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BRADY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
        <w:spacing w:after="0"/>
        <w:tabs>
          <w:tab w:leader="none" w:pos="6700" w:val="left"/>
        </w:tabs>
        <w:rPr>
          <w:sz w:val="20"/>
          <w:szCs w:val="20"/>
          <w:color w:val="auto"/>
        </w:rPr>
      </w:pPr>
      <w:r>
        <w:rPr>
          <w:rFonts w:ascii="Arial" w:cs="Arial" w:eastAsia="Arial" w:hAnsi="Arial"/>
          <w:sz w:val="18"/>
          <w:szCs w:val="18"/>
          <w:color w:val="auto"/>
        </w:rPr>
        <w:t>/s/ ANN E. THORNTON</w:t>
      </w:r>
      <w:r>
        <w:rPr>
          <w:sz w:val="20"/>
          <w:szCs w:val="20"/>
          <w:color w:val="auto"/>
        </w:rPr>
        <w:tab/>
      </w:r>
      <w:r>
        <w:rPr>
          <w:rFonts w:ascii="Arial" w:cs="Arial" w:eastAsia="Arial" w:hAnsi="Arial"/>
          <w:sz w:val="16"/>
          <w:szCs w:val="16"/>
          <w:color w:val="auto"/>
        </w:rPr>
        <w:t>Date: May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 E. Thornton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Chief Accounting Officer and</w:t>
      </w:r>
    </w:p>
    <w:p>
      <w:pPr>
        <w:ind w:left="2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240"/>
          </w:cols>
          <w:pgMar w:left="320" w:top="1134" w:right="339" w:bottom="1440" w:gutter="0" w:footer="0" w:header="0"/>
        </w:sectPr>
      </w:pPr>
    </w:p>
    <w:bookmarkStart w:id="3" w:name="page4"/>
    <w:bookmarkEnd w:id="3"/>
    <w:p>
      <w:pPr>
        <w:ind w:left="9740"/>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9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For the year ended December 31, 2022</w:t>
      </w:r>
    </w:p>
    <w:p>
      <w:pPr>
        <w:spacing w:after="0" w:line="200" w:lineRule="exact"/>
        <w:rPr>
          <w:sz w:val="20"/>
          <w:szCs w:val="20"/>
          <w:color w:val="auto"/>
        </w:rPr>
      </w:pPr>
    </w:p>
    <w:p>
      <w:pPr>
        <w:spacing w:after="0" w:line="277" w:lineRule="exact"/>
        <w:rPr>
          <w:sz w:val="20"/>
          <w:szCs w:val="20"/>
          <w:color w:val="auto"/>
        </w:rPr>
      </w:pPr>
    </w:p>
    <w:p>
      <w:pPr>
        <w:ind w:left="420" w:hanging="398"/>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56" w:lineRule="exact"/>
        <w:rPr>
          <w:rFonts w:ascii="Arial" w:cs="Arial" w:eastAsia="Arial" w:hAnsi="Arial"/>
          <w:sz w:val="18"/>
          <w:szCs w:val="18"/>
          <w:b w:val="1"/>
          <w:bCs w:val="1"/>
          <w:color w:val="auto"/>
        </w:rPr>
      </w:pPr>
    </w:p>
    <w:p>
      <w:pPr>
        <w:jc w:val="both"/>
        <w:ind w:left="4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This report has been prepared by management of Brady Corporation (hereinafter referred to as “Brady,” the “Company,” “we,” “us,” or “our”) pursuant to Rule 13p-1 under the Securities Exchange Act of 1934 as amended, for the reporting period January 1 to December 31, 2022. The report discusses efforts undertaken by Brady to determine whether our products contain cassiterite, columbite-tantalite, gold, wolframite, or other derivatives, which are limited to metallic forms of tin, tantalum, tungsten and gold (collectively, “3TG Minerals”), and further, to determine whether any such materials directly or indirectly fund or benefit armed groups in the Democratic Republic of the Congo or any adjacent countries (“Covered Countries”). The scope of the reasonable country of origin inquiry (“RCOI”) and due diligence efforts discussed includes products both sourced directly by, and manufactured for Brady in calendar year 2022.</w:t>
      </w:r>
    </w:p>
    <w:p>
      <w:pPr>
        <w:spacing w:after="0" w:line="204" w:lineRule="exact"/>
        <w:rPr>
          <w:rFonts w:ascii="Arial" w:cs="Arial" w:eastAsia="Arial" w:hAnsi="Arial"/>
          <w:sz w:val="18"/>
          <w:szCs w:val="18"/>
          <w:b w:val="1"/>
          <w:bCs w:val="1"/>
          <w:color w:val="auto"/>
        </w:rPr>
      </w:pPr>
    </w:p>
    <w:p>
      <w:pPr>
        <w:ind w:lef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statements below are based on the activities performed to date in good faith by Brady and are based on information available at the time of this filing.</w:t>
      </w:r>
    </w:p>
    <w:p>
      <w:pPr>
        <w:spacing w:after="0" w:line="197" w:lineRule="exact"/>
        <w:rPr>
          <w:rFonts w:ascii="Arial" w:cs="Arial" w:eastAsia="Arial" w:hAnsi="Arial"/>
          <w:sz w:val="18"/>
          <w:szCs w:val="18"/>
          <w:b w:val="1"/>
          <w:bCs w:val="1"/>
          <w:color w:val="auto"/>
        </w:rPr>
      </w:pPr>
    </w:p>
    <w:p>
      <w:pPr>
        <w:jc w:val="both"/>
        <w:ind w:left="4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Brady manufactures, or contracts to manufacture, products that contain materials or components that use 3TG Minerals. Due to the depth of its supply chain, Brady is far removed from the sources of ore from which these metals are produced and the smelters/refiners that process them. We do not purchase raw ore or unrefined minerals and conduct no purchasing activities directly in the Covered Countries. The efforts undertaken by Brady to identify the country(ies) of origin of those ores reflect our circumstances and position in the supply chain, which is multiple steps removed from the smelter or mine. The information available globally on the traceability and sourcing of these ores is limited at this time, and this situation is not unique to Brady.</w:t>
      </w:r>
    </w:p>
    <w:p>
      <w:pPr>
        <w:spacing w:after="0" w:line="215" w:lineRule="exact"/>
        <w:rPr>
          <w:sz w:val="20"/>
          <w:szCs w:val="20"/>
          <w:color w:val="auto"/>
        </w:rPr>
      </w:pPr>
    </w:p>
    <w:p>
      <w:pPr>
        <w:ind w:left="400" w:hanging="394"/>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w:t>
      </w:r>
    </w:p>
    <w:p>
      <w:pPr>
        <w:spacing w:after="0" w:line="256" w:lineRule="exact"/>
        <w:rPr>
          <w:rFonts w:ascii="Arial" w:cs="Arial" w:eastAsia="Arial" w:hAnsi="Arial"/>
          <w:sz w:val="18"/>
          <w:szCs w:val="18"/>
          <w:b w:val="1"/>
          <w:bCs w:val="1"/>
          <w:color w:val="auto"/>
        </w:rPr>
      </w:pPr>
    </w:p>
    <w:p>
      <w:pPr>
        <w:jc w:val="both"/>
        <w:ind w:left="4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Our 2022 RCOI began with identifying the products we manufacture or contract to manufacture that have a possibility of containing 3TG Minerals, or where 3TG Minerals are required for the functionality or production of such products. In 2022, Brady expanded the scope of the review of its product lines by evaluating new products and their material suppliers during the filing year, and where there was uncertainty about whether a particular product potentially contained 3TG Minerals, it was included in the 2022 inquiries. The potential suppliers of the 3TG Minerals that may be contained in such products were determined to be “in scope.” The exact nature of the parts and materials identified in our products that may contain 3TG Minerals ranged over a broad spectrum of items, but were heavily concentrated in electronics and workplace safety products.</w:t>
      </w:r>
    </w:p>
    <w:p>
      <w:pPr>
        <w:spacing w:after="0" w:line="191" w:lineRule="exact"/>
        <w:rPr>
          <w:rFonts w:ascii="Arial" w:cs="Arial" w:eastAsia="Arial" w:hAnsi="Arial"/>
          <w:sz w:val="18"/>
          <w:szCs w:val="18"/>
          <w:b w:val="1"/>
          <w:bCs w:val="1"/>
          <w:color w:val="auto"/>
        </w:rPr>
      </w:pPr>
    </w:p>
    <w:p>
      <w:pPr>
        <w:jc w:val="both"/>
        <w:ind w:left="40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Brady conducted its RCOI of those suppliers deemed in scope, using the Conflict Materials Reporting Template (CMRT v 6.22), which is the Responsible Minerals Initiative (RMI) reporting template. The supplier responses received were reviewed for completeness and consistency. We also verified “No 3TG content declarations” on a random basis to provide additional assurance of the claims made by suppliers. In certain other instances, suppliers were required to provide clarifications or additional detail where responses were incomplete or in need of explanation. Our RCOI process included an escalation procedure seeking information from non-responsive suppliers resulting in 100% in-scope supplier responses.</w:t>
      </w:r>
    </w:p>
    <w:p>
      <w:pPr>
        <w:spacing w:after="0" w:line="188" w:lineRule="exact"/>
        <w:rPr>
          <w:rFonts w:ascii="Arial" w:cs="Arial" w:eastAsia="Arial" w:hAnsi="Arial"/>
          <w:sz w:val="18"/>
          <w:szCs w:val="18"/>
          <w:b w:val="1"/>
          <w:bCs w:val="1"/>
          <w:color w:val="auto"/>
        </w:rPr>
      </w:pPr>
    </w:p>
    <w:p>
      <w:pPr>
        <w:ind w:lef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2022, 298 unique smelters were identified as potentially being part of our supply chain. In addition, Brady undertook due diligence on the identified smelters to determine their status regarding conflict minerals.</w:t>
      </w:r>
    </w:p>
    <w:p>
      <w:pPr>
        <w:spacing w:after="0" w:line="197"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As such, we believe our process was reasonably designed and performed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500" w:top="891" w:right="339" w:bottom="1440" w:gutter="0" w:footer="0" w:header="0"/>
        </w:sectPr>
      </w:pPr>
    </w:p>
    <w:bookmarkStart w:id="4" w:name="page5"/>
    <w:bookmarkEnd w:id="4"/>
    <w:p>
      <w:pPr>
        <w:ind w:left="400" w:hanging="394"/>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Design of Due Diligence Measures</w:t>
      </w:r>
    </w:p>
    <w:p>
      <w:pPr>
        <w:spacing w:after="0" w:line="256" w:lineRule="exact"/>
        <w:rPr>
          <w:rFonts w:ascii="Arial" w:cs="Arial" w:eastAsia="Arial" w:hAnsi="Arial"/>
          <w:sz w:val="18"/>
          <w:szCs w:val="18"/>
          <w:b w:val="1"/>
          <w:bCs w:val="1"/>
          <w:color w:val="auto"/>
        </w:rPr>
      </w:pPr>
    </w:p>
    <w:p>
      <w:pPr>
        <w:jc w:val="both"/>
        <w:ind w:left="4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Brady designed its 3TG Minerals compliance procedures based on, and in conformity with, the five step framework the OECD Due Diligence Guidance for Responsible Supply Chains of Minerals from Conflict-Affected and High-Risk Areas: Third Edition, and related supplements on tin, tungsten, tantalum, and the supplement on gold, as these relate to our position in the supply chain as a downstream user.</w:t>
      </w:r>
    </w:p>
    <w:p>
      <w:pPr>
        <w:spacing w:after="0" w:line="192"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Step 1: Establish strong company management systems</w:t>
      </w:r>
    </w:p>
    <w:p>
      <w:pPr>
        <w:spacing w:after="0" w:line="23"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Step 2: Identify and assess risks in the supply chain</w:t>
      </w:r>
    </w:p>
    <w:p>
      <w:pPr>
        <w:spacing w:after="0" w:line="9"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Step 3: Design and implement a strategy to respond to identified risks</w:t>
      </w:r>
    </w:p>
    <w:p>
      <w:pPr>
        <w:spacing w:after="0" w:line="9"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Step 4: Support independent third-party audits of smelter/refiner's due diligence practices</w:t>
      </w:r>
    </w:p>
    <w:p>
      <w:pPr>
        <w:spacing w:after="0" w:line="9"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Step 5: Report annually on supply chain due diligence</w:t>
      </w:r>
    </w:p>
    <w:p>
      <w:pPr>
        <w:spacing w:after="0" w:line="233"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Due Diligence Measures Performed by Brady Corporation</w:t>
      </w:r>
    </w:p>
    <w:p>
      <w:pPr>
        <w:spacing w:after="0" w:line="229"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The following are the due diligence measures performed by Brady with respect to the reporting year:</w:t>
      </w:r>
    </w:p>
    <w:p>
      <w:pPr>
        <w:spacing w:after="0" w:line="248" w:lineRule="exact"/>
        <w:rPr>
          <w:rFonts w:ascii="Arial" w:cs="Arial" w:eastAsia="Arial" w:hAnsi="Arial"/>
          <w:sz w:val="18"/>
          <w:szCs w:val="18"/>
          <w:b w:val="1"/>
          <w:bCs w:val="1"/>
          <w:color w:val="auto"/>
        </w:rPr>
      </w:pPr>
    </w:p>
    <w:p>
      <w:pPr>
        <w:ind w:left="800" w:hanging="405"/>
        <w:spacing w:after="0"/>
        <w:tabs>
          <w:tab w:leader="none" w:pos="80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Step 1-Maintain strong company management systems</w:t>
      </w:r>
    </w:p>
    <w:p>
      <w:pPr>
        <w:spacing w:after="0" w:line="256" w:lineRule="exact"/>
        <w:rPr>
          <w:rFonts w:ascii="Arial" w:cs="Arial" w:eastAsia="Arial" w:hAnsi="Arial"/>
          <w:sz w:val="18"/>
          <w:szCs w:val="18"/>
          <w:b w:val="1"/>
          <w:bCs w:val="1"/>
          <w:color w:val="auto"/>
        </w:rPr>
      </w:pPr>
    </w:p>
    <w:p>
      <w:pPr>
        <w:ind w:left="1120" w:hanging="320"/>
        <w:spacing w:after="0" w:line="258" w:lineRule="auto"/>
        <w:tabs>
          <w:tab w:leader="none" w:pos="1130" w:val="left"/>
        </w:tabs>
        <w:numPr>
          <w:ilvl w:val="3"/>
          <w:numId w:val="5"/>
        </w:numPr>
        <w:rPr>
          <w:rFonts w:ascii="Arial" w:cs="Arial" w:eastAsia="Arial" w:hAnsi="Arial"/>
          <w:sz w:val="18"/>
          <w:szCs w:val="18"/>
          <w:color w:val="auto"/>
        </w:rPr>
      </w:pPr>
      <w:r>
        <w:rPr>
          <w:rFonts w:ascii="Arial" w:cs="Arial" w:eastAsia="Arial" w:hAnsi="Arial"/>
          <w:sz w:val="18"/>
          <w:szCs w:val="18"/>
          <w:color w:val="auto"/>
        </w:rPr>
        <w:t>Brady maintains an internal conflict minerals team involving sourcing and global product compliance staff. The focus of this team is to implement our conflict minerals program and ensure compliance.</w:t>
      </w:r>
    </w:p>
    <w:p>
      <w:pPr>
        <w:spacing w:after="0" w:line="1" w:lineRule="exact"/>
        <w:rPr>
          <w:rFonts w:ascii="Arial" w:cs="Arial" w:eastAsia="Arial" w:hAnsi="Arial"/>
          <w:sz w:val="18"/>
          <w:szCs w:val="18"/>
          <w:color w:val="auto"/>
        </w:rPr>
      </w:pPr>
    </w:p>
    <w:p>
      <w:pPr>
        <w:ind w:left="1120" w:hanging="320"/>
        <w:spacing w:after="0" w:line="250" w:lineRule="auto"/>
        <w:tabs>
          <w:tab w:leader="none" w:pos="1125" w:val="left"/>
        </w:tabs>
        <w:numPr>
          <w:ilvl w:val="3"/>
          <w:numId w:val="5"/>
        </w:numPr>
        <w:rPr>
          <w:rFonts w:ascii="Arial" w:cs="Arial" w:eastAsia="Arial" w:hAnsi="Arial"/>
          <w:sz w:val="18"/>
          <w:szCs w:val="18"/>
          <w:color w:val="auto"/>
        </w:rPr>
      </w:pPr>
      <w:r>
        <w:rPr>
          <w:rFonts w:ascii="Arial" w:cs="Arial" w:eastAsia="Arial" w:hAnsi="Arial"/>
          <w:sz w:val="18"/>
          <w:szCs w:val="18"/>
          <w:color w:val="auto"/>
        </w:rPr>
        <w:t>Brady maintains a Conflict Minerals Policy, which is available on our company website (see link below) in addition to our due diligence process for assessing the chain of custody of 3TG Minerals.</w:t>
      </w:r>
    </w:p>
    <w:p>
      <w:pPr>
        <w:ind w:left="1120"/>
        <w:spacing w:after="0"/>
        <w:rPr>
          <w:rFonts w:ascii="Arial" w:cs="Arial" w:eastAsia="Arial" w:hAnsi="Arial"/>
          <w:sz w:val="18"/>
          <w:szCs w:val="18"/>
          <w:color w:val="auto"/>
        </w:rPr>
      </w:pPr>
      <w:r>
        <w:rPr>
          <w:rFonts w:ascii="Arial" w:cs="Arial" w:eastAsia="Arial" w:hAnsi="Arial"/>
          <w:sz w:val="18"/>
          <w:szCs w:val="18"/>
          <w:u w:val="single" w:color="auto"/>
          <w:color w:val="0000FF"/>
        </w:rPr>
        <w:t>https://www.bradyid.com/corporate/supplier-information</w:t>
      </w:r>
    </w:p>
    <w:p>
      <w:pPr>
        <w:spacing w:after="0" w:line="9" w:lineRule="exact"/>
        <w:rPr>
          <w:rFonts w:ascii="Arial" w:cs="Arial" w:eastAsia="Arial" w:hAnsi="Arial"/>
          <w:sz w:val="18"/>
          <w:szCs w:val="18"/>
          <w:color w:val="auto"/>
        </w:rPr>
      </w:pPr>
    </w:p>
    <w:p>
      <w:pPr>
        <w:ind w:left="1120" w:hanging="320"/>
        <w:spacing w:after="0" w:line="250" w:lineRule="auto"/>
        <w:tabs>
          <w:tab w:leader="none" w:pos="1151" w:val="left"/>
        </w:tabs>
        <w:numPr>
          <w:ilvl w:val="3"/>
          <w:numId w:val="5"/>
        </w:numPr>
        <w:rPr>
          <w:rFonts w:ascii="Arial" w:cs="Arial" w:eastAsia="Arial" w:hAnsi="Arial"/>
          <w:sz w:val="18"/>
          <w:szCs w:val="18"/>
          <w:color w:val="auto"/>
        </w:rPr>
      </w:pPr>
      <w:r>
        <w:rPr>
          <w:rFonts w:ascii="Arial" w:cs="Arial" w:eastAsia="Arial" w:hAnsi="Arial"/>
          <w:sz w:val="18"/>
          <w:szCs w:val="18"/>
          <w:color w:val="auto"/>
        </w:rPr>
        <w:t>Internal engagement – Brady conducted internal training to educate relevant employees in our conflict minerals program including reporting obligations.</w:t>
      </w:r>
    </w:p>
    <w:p>
      <w:pPr>
        <w:ind w:left="1120" w:hanging="320"/>
        <w:spacing w:after="0"/>
        <w:tabs>
          <w:tab w:leader="none" w:pos="1120" w:val="left"/>
        </w:tabs>
        <w:numPr>
          <w:ilvl w:val="3"/>
          <w:numId w:val="5"/>
        </w:numPr>
        <w:rPr>
          <w:rFonts w:ascii="Arial" w:cs="Arial" w:eastAsia="Arial" w:hAnsi="Arial"/>
          <w:sz w:val="17"/>
          <w:szCs w:val="17"/>
          <w:color w:val="auto"/>
        </w:rPr>
      </w:pPr>
      <w:r>
        <w:rPr>
          <w:rFonts w:ascii="Arial" w:cs="Arial" w:eastAsia="Arial" w:hAnsi="Arial"/>
          <w:sz w:val="17"/>
          <w:szCs w:val="17"/>
          <w:color w:val="auto"/>
        </w:rPr>
        <w:t>Supplier engagement – Brady communicated the requirements of the conflict minerals rule to its suppliers regarding 3TG Minerals.</w:t>
      </w:r>
    </w:p>
    <w:p>
      <w:pPr>
        <w:spacing w:after="0" w:line="20" w:lineRule="exact"/>
        <w:rPr>
          <w:rFonts w:ascii="Arial" w:cs="Arial" w:eastAsia="Arial" w:hAnsi="Arial"/>
          <w:sz w:val="17"/>
          <w:szCs w:val="17"/>
          <w:color w:val="auto"/>
        </w:rPr>
      </w:pPr>
    </w:p>
    <w:p>
      <w:pPr>
        <w:ind w:left="1120" w:hanging="320"/>
        <w:spacing w:after="0"/>
        <w:tabs>
          <w:tab w:leader="none" w:pos="1120" w:val="left"/>
        </w:tabs>
        <w:numPr>
          <w:ilvl w:val="3"/>
          <w:numId w:val="5"/>
        </w:numPr>
        <w:rPr>
          <w:rFonts w:ascii="Arial" w:cs="Arial" w:eastAsia="Arial" w:hAnsi="Arial"/>
          <w:sz w:val="16"/>
          <w:szCs w:val="16"/>
          <w:color w:val="auto"/>
        </w:rPr>
      </w:pPr>
      <w:r>
        <w:rPr>
          <w:rFonts w:ascii="Arial" w:cs="Arial" w:eastAsia="Arial" w:hAnsi="Arial"/>
          <w:sz w:val="16"/>
          <w:szCs w:val="16"/>
          <w:color w:val="auto"/>
        </w:rPr>
        <w:t>The conflict minerals team reports on our conflict minerals program to relevant business leaders and the head of Global Compliance.</w:t>
      </w:r>
    </w:p>
    <w:p>
      <w:pPr>
        <w:spacing w:after="0" w:line="32" w:lineRule="exact"/>
        <w:rPr>
          <w:rFonts w:ascii="Arial" w:cs="Arial" w:eastAsia="Arial" w:hAnsi="Arial"/>
          <w:sz w:val="16"/>
          <w:szCs w:val="16"/>
          <w:color w:val="auto"/>
        </w:rPr>
      </w:pPr>
    </w:p>
    <w:p>
      <w:pPr>
        <w:ind w:left="1120" w:hanging="320"/>
        <w:spacing w:after="0" w:line="250" w:lineRule="auto"/>
        <w:tabs>
          <w:tab w:leader="none" w:pos="1124" w:val="left"/>
        </w:tabs>
        <w:numPr>
          <w:ilvl w:val="3"/>
          <w:numId w:val="5"/>
        </w:numPr>
        <w:rPr>
          <w:rFonts w:ascii="Arial" w:cs="Arial" w:eastAsia="Arial" w:hAnsi="Arial"/>
          <w:sz w:val="18"/>
          <w:szCs w:val="18"/>
          <w:color w:val="auto"/>
        </w:rPr>
      </w:pPr>
      <w:r>
        <w:rPr>
          <w:rFonts w:ascii="Arial" w:cs="Arial" w:eastAsia="Arial" w:hAnsi="Arial"/>
          <w:sz w:val="18"/>
          <w:szCs w:val="18"/>
          <w:color w:val="auto"/>
        </w:rPr>
        <w:t>We maintain a mechanism to enable the reporting of and response to any customer facing questions related to conflict minerals and other supply chain matters.</w:t>
      </w:r>
    </w:p>
    <w:p>
      <w:pPr>
        <w:ind w:left="1120" w:hanging="320"/>
        <w:spacing w:after="0" w:line="260" w:lineRule="auto"/>
        <w:tabs>
          <w:tab w:leader="none" w:pos="1174" w:val="left"/>
        </w:tabs>
        <w:numPr>
          <w:ilvl w:val="3"/>
          <w:numId w:val="5"/>
        </w:numPr>
        <w:rPr>
          <w:rFonts w:ascii="Arial" w:cs="Arial" w:eastAsia="Arial" w:hAnsi="Arial"/>
          <w:sz w:val="18"/>
          <w:szCs w:val="18"/>
          <w:color w:val="auto"/>
        </w:rPr>
      </w:pPr>
      <w:r>
        <w:rPr>
          <w:rFonts w:ascii="Arial" w:cs="Arial" w:eastAsia="Arial" w:hAnsi="Arial"/>
          <w:sz w:val="18"/>
          <w:szCs w:val="18"/>
          <w:color w:val="auto"/>
        </w:rPr>
        <w:t>We retain conflict minerals program documentation in accordance with the Company’s existing corporate retention policy and procedures.</w:t>
      </w:r>
    </w:p>
    <w:p>
      <w:pPr>
        <w:spacing w:after="0" w:line="208" w:lineRule="exact"/>
        <w:rPr>
          <w:rFonts w:ascii="Arial" w:cs="Arial" w:eastAsia="Arial" w:hAnsi="Arial"/>
          <w:sz w:val="18"/>
          <w:szCs w:val="18"/>
          <w:color w:val="auto"/>
        </w:rPr>
      </w:pPr>
    </w:p>
    <w:p>
      <w:pPr>
        <w:ind w:left="800" w:hanging="324"/>
        <w:spacing w:after="0"/>
        <w:tabs>
          <w:tab w:leader="none" w:pos="800" w:val="left"/>
        </w:tabs>
        <w:numPr>
          <w:ilvl w:val="2"/>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Step 2-Identify and assess risk in the supply chain</w:t>
      </w:r>
    </w:p>
    <w:p>
      <w:pPr>
        <w:spacing w:after="0" w:line="256" w:lineRule="exact"/>
        <w:rPr>
          <w:rFonts w:ascii="Arial" w:cs="Arial" w:eastAsia="Arial" w:hAnsi="Arial"/>
          <w:sz w:val="18"/>
          <w:szCs w:val="18"/>
          <w:b w:val="1"/>
          <w:bCs w:val="1"/>
          <w:color w:val="auto"/>
        </w:rPr>
      </w:pPr>
    </w:p>
    <w:p>
      <w:pPr>
        <w:ind w:left="1120" w:hanging="320"/>
        <w:spacing w:after="0" w:line="258" w:lineRule="auto"/>
        <w:tabs>
          <w:tab w:leader="none" w:pos="1125" w:val="left"/>
        </w:tabs>
        <w:numPr>
          <w:ilvl w:val="3"/>
          <w:numId w:val="5"/>
        </w:numPr>
        <w:rPr>
          <w:rFonts w:ascii="Arial" w:cs="Arial" w:eastAsia="Arial" w:hAnsi="Arial"/>
          <w:sz w:val="18"/>
          <w:szCs w:val="18"/>
          <w:color w:val="auto"/>
        </w:rPr>
      </w:pPr>
      <w:r>
        <w:rPr>
          <w:rFonts w:ascii="Arial" w:cs="Arial" w:eastAsia="Arial" w:hAnsi="Arial"/>
          <w:sz w:val="18"/>
          <w:szCs w:val="18"/>
          <w:color w:val="auto"/>
        </w:rPr>
        <w:t>The Brady conflict minerals team conducted a detailed review of the products manufactured or contracted to be manufactured during the reporting year 2022 to identify products that may be in scope of the rule.</w:t>
      </w:r>
    </w:p>
    <w:p>
      <w:pPr>
        <w:spacing w:after="0" w:line="1" w:lineRule="exact"/>
        <w:rPr>
          <w:rFonts w:ascii="Arial" w:cs="Arial" w:eastAsia="Arial" w:hAnsi="Arial"/>
          <w:sz w:val="18"/>
          <w:szCs w:val="18"/>
          <w:color w:val="auto"/>
        </w:rPr>
      </w:pPr>
    </w:p>
    <w:p>
      <w:pPr>
        <w:ind w:left="1120" w:hanging="320"/>
        <w:spacing w:after="0"/>
        <w:tabs>
          <w:tab w:leader="none" w:pos="1120" w:val="left"/>
        </w:tabs>
        <w:numPr>
          <w:ilvl w:val="3"/>
          <w:numId w:val="5"/>
        </w:numPr>
        <w:rPr>
          <w:rFonts w:ascii="Arial" w:cs="Arial" w:eastAsia="Arial" w:hAnsi="Arial"/>
          <w:sz w:val="18"/>
          <w:szCs w:val="18"/>
          <w:color w:val="auto"/>
        </w:rPr>
      </w:pPr>
      <w:r>
        <w:rPr>
          <w:rFonts w:ascii="Arial" w:cs="Arial" w:eastAsia="Arial" w:hAnsi="Arial"/>
          <w:sz w:val="18"/>
          <w:szCs w:val="18"/>
          <w:color w:val="auto"/>
        </w:rPr>
        <w:t>Brady identified the direct suppliers of products or components that may contain 3TG Minerals.</w:t>
      </w:r>
    </w:p>
    <w:p>
      <w:pPr>
        <w:spacing w:after="0" w:line="9" w:lineRule="exact"/>
        <w:rPr>
          <w:rFonts w:ascii="Arial" w:cs="Arial" w:eastAsia="Arial" w:hAnsi="Arial"/>
          <w:sz w:val="18"/>
          <w:szCs w:val="18"/>
          <w:color w:val="auto"/>
        </w:rPr>
      </w:pPr>
    </w:p>
    <w:p>
      <w:pPr>
        <w:jc w:val="both"/>
        <w:ind w:left="1120" w:hanging="320"/>
        <w:spacing w:after="0" w:line="250" w:lineRule="auto"/>
        <w:tabs>
          <w:tab w:leader="none" w:pos="1121" w:val="left"/>
        </w:tabs>
        <w:numPr>
          <w:ilvl w:val="3"/>
          <w:numId w:val="5"/>
        </w:numPr>
        <w:rPr>
          <w:rFonts w:ascii="Arial" w:cs="Arial" w:eastAsia="Arial" w:hAnsi="Arial"/>
          <w:sz w:val="18"/>
          <w:szCs w:val="18"/>
          <w:color w:val="auto"/>
        </w:rPr>
      </w:pPr>
      <w:r>
        <w:rPr>
          <w:rFonts w:ascii="Arial" w:cs="Arial" w:eastAsia="Arial" w:hAnsi="Arial"/>
          <w:sz w:val="18"/>
          <w:szCs w:val="18"/>
          <w:color w:val="auto"/>
        </w:rPr>
        <w:t>Brady conducted supply chain surveys of the in scope suppliers using the industry-developed CMRT and requested that suppliers conduct their own 3TG Mineral inquiries to identify smelters and refineries as well as the country of origin of 3TG Minerals in products that are supplied to Brady.</w:t>
      </w:r>
    </w:p>
    <w:p>
      <w:pPr>
        <w:spacing w:after="0" w:line="1" w:lineRule="exact"/>
        <w:rPr>
          <w:rFonts w:ascii="Arial" w:cs="Arial" w:eastAsia="Arial" w:hAnsi="Arial"/>
          <w:sz w:val="18"/>
          <w:szCs w:val="18"/>
          <w:color w:val="auto"/>
        </w:rPr>
      </w:pPr>
    </w:p>
    <w:p>
      <w:pPr>
        <w:ind w:left="1120" w:hanging="320"/>
        <w:spacing w:after="0"/>
        <w:tabs>
          <w:tab w:leader="none" w:pos="1120" w:val="left"/>
        </w:tabs>
        <w:numPr>
          <w:ilvl w:val="3"/>
          <w:numId w:val="5"/>
        </w:numPr>
        <w:rPr>
          <w:rFonts w:ascii="Arial" w:cs="Arial" w:eastAsia="Arial" w:hAnsi="Arial"/>
          <w:sz w:val="17"/>
          <w:szCs w:val="17"/>
          <w:color w:val="auto"/>
        </w:rPr>
      </w:pPr>
      <w:r>
        <w:rPr>
          <w:rFonts w:ascii="Arial" w:cs="Arial" w:eastAsia="Arial" w:hAnsi="Arial"/>
          <w:sz w:val="17"/>
          <w:szCs w:val="17"/>
          <w:color w:val="auto"/>
        </w:rPr>
        <w:t>We followed up with non-responding direct suppliers and also worked to clarify and validate the responses from the suppliers.</w:t>
      </w:r>
    </w:p>
    <w:p>
      <w:pPr>
        <w:spacing w:after="0" w:line="20" w:lineRule="exact"/>
        <w:rPr>
          <w:rFonts w:ascii="Arial" w:cs="Arial" w:eastAsia="Arial" w:hAnsi="Arial"/>
          <w:sz w:val="17"/>
          <w:szCs w:val="17"/>
          <w:color w:val="auto"/>
        </w:rPr>
      </w:pPr>
    </w:p>
    <w:p>
      <w:pPr>
        <w:ind w:left="1120" w:hanging="320"/>
        <w:spacing w:after="0" w:line="260" w:lineRule="auto"/>
        <w:tabs>
          <w:tab w:leader="none" w:pos="1125" w:val="left"/>
        </w:tabs>
        <w:numPr>
          <w:ilvl w:val="3"/>
          <w:numId w:val="5"/>
        </w:numPr>
        <w:rPr>
          <w:rFonts w:ascii="Arial" w:cs="Arial" w:eastAsia="Arial" w:hAnsi="Arial"/>
          <w:sz w:val="18"/>
          <w:szCs w:val="18"/>
          <w:color w:val="auto"/>
        </w:rPr>
      </w:pPr>
      <w:r>
        <w:rPr>
          <w:rFonts w:ascii="Arial" w:cs="Arial" w:eastAsia="Arial" w:hAnsi="Arial"/>
          <w:sz w:val="18"/>
          <w:szCs w:val="18"/>
          <w:color w:val="auto"/>
        </w:rPr>
        <w:t>We compared smelter listings supplied by responding suppliers with the RMI list of validated conflict free and verified facilities. Further smelter confirmation was conducted using a commercially available smelter verification service.</w:t>
      </w:r>
    </w:p>
    <w:p>
      <w:pPr>
        <w:spacing w:after="0" w:line="208" w:lineRule="exact"/>
        <w:rPr>
          <w:rFonts w:ascii="Arial" w:cs="Arial" w:eastAsia="Arial" w:hAnsi="Arial"/>
          <w:sz w:val="18"/>
          <w:szCs w:val="18"/>
          <w:color w:val="auto"/>
        </w:rPr>
      </w:pPr>
    </w:p>
    <w:p>
      <w:pPr>
        <w:ind w:left="800" w:hanging="324"/>
        <w:spacing w:after="0"/>
        <w:tabs>
          <w:tab w:leader="none" w:pos="800" w:val="left"/>
        </w:tabs>
        <w:numPr>
          <w:ilvl w:val="2"/>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Step 3-Design and implement a strategy to respond to identified risks</w:t>
      </w:r>
    </w:p>
    <w:p>
      <w:pPr>
        <w:spacing w:after="0" w:line="256" w:lineRule="exact"/>
        <w:rPr>
          <w:rFonts w:ascii="Arial" w:cs="Arial" w:eastAsia="Arial" w:hAnsi="Arial"/>
          <w:sz w:val="18"/>
          <w:szCs w:val="18"/>
          <w:b w:val="1"/>
          <w:bCs w:val="1"/>
          <w:color w:val="auto"/>
        </w:rPr>
      </w:pPr>
    </w:p>
    <w:p>
      <w:pPr>
        <w:ind w:left="1120" w:hanging="320"/>
        <w:spacing w:after="0" w:line="258" w:lineRule="auto"/>
        <w:tabs>
          <w:tab w:leader="none" w:pos="1137" w:val="left"/>
        </w:tabs>
        <w:numPr>
          <w:ilvl w:val="3"/>
          <w:numId w:val="5"/>
        </w:numPr>
        <w:rPr>
          <w:rFonts w:ascii="Arial" w:cs="Arial" w:eastAsia="Arial" w:hAnsi="Arial"/>
          <w:sz w:val="18"/>
          <w:szCs w:val="18"/>
          <w:color w:val="auto"/>
        </w:rPr>
      </w:pPr>
      <w:r>
        <w:rPr>
          <w:rFonts w:ascii="Arial" w:cs="Arial" w:eastAsia="Arial" w:hAnsi="Arial"/>
          <w:sz w:val="18"/>
          <w:szCs w:val="18"/>
          <w:color w:val="auto"/>
        </w:rPr>
        <w:t>Brady has a risk management plan that addresses known issues with suppliers that do not meet the requirements of Brady’s corporate sourcing policy.</w:t>
      </w:r>
    </w:p>
    <w:p>
      <w:pPr>
        <w:spacing w:after="0" w:line="1" w:lineRule="exact"/>
        <w:rPr>
          <w:rFonts w:ascii="Arial" w:cs="Arial" w:eastAsia="Arial" w:hAnsi="Arial"/>
          <w:sz w:val="18"/>
          <w:szCs w:val="18"/>
          <w:color w:val="auto"/>
        </w:rPr>
      </w:pPr>
    </w:p>
    <w:p>
      <w:pPr>
        <w:ind w:left="1120" w:hanging="320"/>
        <w:spacing w:after="0" w:line="260" w:lineRule="auto"/>
        <w:tabs>
          <w:tab w:leader="none" w:pos="1150" w:val="left"/>
        </w:tabs>
        <w:numPr>
          <w:ilvl w:val="3"/>
          <w:numId w:val="5"/>
        </w:numPr>
        <w:rPr>
          <w:rFonts w:ascii="Arial" w:cs="Arial" w:eastAsia="Arial" w:hAnsi="Arial"/>
          <w:sz w:val="18"/>
          <w:szCs w:val="18"/>
          <w:color w:val="auto"/>
        </w:rPr>
      </w:pPr>
      <w:r>
        <w:rPr>
          <w:rFonts w:ascii="Arial" w:cs="Arial" w:eastAsia="Arial" w:hAnsi="Arial"/>
          <w:sz w:val="18"/>
          <w:szCs w:val="18"/>
          <w:color w:val="auto"/>
        </w:rPr>
        <w:t>The conflict minerals team reports to relevant business leaders and the head of Global Compliance on the status of direct supplier responses.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500" w:top="891" w:right="339" w:bottom="1440" w:gutter="0" w:footer="0" w:header="0"/>
        </w:sectPr>
      </w:pPr>
    </w:p>
    <w:bookmarkStart w:id="5" w:name="page6"/>
    <w:bookmarkEnd w:id="5"/>
    <w:p>
      <w:pPr>
        <w:ind w:left="800" w:hanging="324"/>
        <w:spacing w:after="0"/>
        <w:tabs>
          <w:tab w:leader="none" w:pos="8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Step 4-Support independent third-party audits of smelter/refiners' due diligence practices</w:t>
      </w:r>
    </w:p>
    <w:p>
      <w:pPr>
        <w:spacing w:after="0" w:line="256" w:lineRule="exact"/>
        <w:rPr>
          <w:rFonts w:ascii="Arial" w:cs="Arial" w:eastAsia="Arial" w:hAnsi="Arial"/>
          <w:sz w:val="18"/>
          <w:szCs w:val="18"/>
          <w:b w:val="1"/>
          <w:bCs w:val="1"/>
          <w:color w:val="auto"/>
        </w:rPr>
      </w:pPr>
    </w:p>
    <w:p>
      <w:pPr>
        <w:jc w:val="both"/>
        <w:ind w:left="1120" w:hanging="320"/>
        <w:spacing w:after="0" w:line="255" w:lineRule="auto"/>
        <w:tabs>
          <w:tab w:leader="none" w:pos="1135" w:val="left"/>
        </w:tabs>
        <w:numPr>
          <w:ilvl w:val="1"/>
          <w:numId w:val="6"/>
        </w:numPr>
        <w:rPr>
          <w:rFonts w:ascii="Arial" w:cs="Arial" w:eastAsia="Arial" w:hAnsi="Arial"/>
          <w:sz w:val="18"/>
          <w:szCs w:val="18"/>
          <w:color w:val="auto"/>
        </w:rPr>
      </w:pPr>
      <w:r>
        <w:rPr>
          <w:rFonts w:ascii="Arial" w:cs="Arial" w:eastAsia="Arial" w:hAnsi="Arial"/>
          <w:sz w:val="18"/>
          <w:szCs w:val="18"/>
          <w:color w:val="auto"/>
        </w:rPr>
        <w:t>Brady relies on RMI’s published lists of smelters and refiners that have been audited by various industry groups. Brady is many steps removed from the mining of 3TG Minerals. We do not purchase raw ore or unrefined 3TG Minerals, and we do not conduct any purchasing activities in the Covered Countries.</w:t>
      </w:r>
    </w:p>
    <w:p>
      <w:pPr>
        <w:spacing w:after="0" w:line="2" w:lineRule="exact"/>
        <w:rPr>
          <w:rFonts w:ascii="Arial" w:cs="Arial" w:eastAsia="Arial" w:hAnsi="Arial"/>
          <w:sz w:val="18"/>
          <w:szCs w:val="18"/>
          <w:color w:val="auto"/>
        </w:rPr>
      </w:pPr>
    </w:p>
    <w:p>
      <w:pPr>
        <w:ind w:left="1120" w:hanging="320"/>
        <w:spacing w:after="0" w:line="290" w:lineRule="auto"/>
        <w:tabs>
          <w:tab w:leader="none" w:pos="1131" w:val="left"/>
        </w:tabs>
        <w:numPr>
          <w:ilvl w:val="1"/>
          <w:numId w:val="6"/>
        </w:numPr>
        <w:rPr>
          <w:rFonts w:ascii="Arial" w:cs="Arial" w:eastAsia="Arial" w:hAnsi="Arial"/>
          <w:sz w:val="17"/>
          <w:szCs w:val="17"/>
          <w:color w:val="auto"/>
        </w:rPr>
      </w:pPr>
      <w:r>
        <w:rPr>
          <w:rFonts w:ascii="Arial" w:cs="Arial" w:eastAsia="Arial" w:hAnsi="Arial"/>
          <w:sz w:val="17"/>
          <w:szCs w:val="17"/>
          <w:color w:val="auto"/>
        </w:rPr>
        <w:t>We supported the development and implementation of independent third-party audits of smelters/refiners through our Conflict Minerals Policy and procurement practices, which encourage suppliers to purchase materials from audited smelters/refiners.</w:t>
      </w:r>
    </w:p>
    <w:p>
      <w:pPr>
        <w:spacing w:after="0" w:line="184" w:lineRule="exact"/>
        <w:rPr>
          <w:rFonts w:ascii="Arial" w:cs="Arial" w:eastAsia="Arial" w:hAnsi="Arial"/>
          <w:sz w:val="17"/>
          <w:szCs w:val="17"/>
          <w:color w:val="auto"/>
        </w:rPr>
      </w:pPr>
    </w:p>
    <w:p>
      <w:pPr>
        <w:ind w:left="800" w:hanging="324"/>
        <w:spacing w:after="0"/>
        <w:tabs>
          <w:tab w:leader="none" w:pos="8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Step 5-Report on supply chain due diligence</w:t>
      </w:r>
    </w:p>
    <w:p>
      <w:pPr>
        <w:spacing w:after="0" w:line="269" w:lineRule="exact"/>
        <w:rPr>
          <w:rFonts w:ascii="Arial" w:cs="Arial" w:eastAsia="Arial" w:hAnsi="Arial"/>
          <w:sz w:val="18"/>
          <w:szCs w:val="18"/>
          <w:b w:val="1"/>
          <w:bCs w:val="1"/>
          <w:color w:val="auto"/>
        </w:rPr>
      </w:pPr>
    </w:p>
    <w:p>
      <w:pPr>
        <w:ind w:left="1120" w:right="3580" w:hanging="320"/>
        <w:spacing w:after="0" w:line="509" w:lineRule="auto"/>
        <w:tabs>
          <w:tab w:leader="none" w:pos="1120" w:val="left"/>
        </w:tabs>
        <w:numPr>
          <w:ilvl w:val="1"/>
          <w:numId w:val="6"/>
        </w:numPr>
        <w:rPr>
          <w:rFonts w:ascii="Arial" w:cs="Arial" w:eastAsia="Arial" w:hAnsi="Arial"/>
          <w:sz w:val="20"/>
          <w:szCs w:val="20"/>
          <w:color w:val="auto"/>
        </w:rPr>
      </w:pPr>
      <w:r>
        <w:rPr>
          <w:rFonts w:ascii="Arial" w:cs="Arial" w:eastAsia="Arial" w:hAnsi="Arial"/>
          <w:sz w:val="18"/>
          <w:szCs w:val="18"/>
          <w:color w:val="auto"/>
        </w:rPr>
        <w:t xml:space="preserve">Brady has publicly communicated its Conflict Minerals Policy on our company website. </w:t>
      </w:r>
      <w:r>
        <w:rPr>
          <w:rFonts w:ascii="Arial" w:cs="Arial" w:eastAsia="Arial" w:hAnsi="Arial"/>
          <w:sz w:val="18"/>
          <w:szCs w:val="18"/>
          <w:u w:val="single" w:color="auto"/>
          <w:color w:val="0000FF"/>
        </w:rPr>
        <w:t>https://www.bradyid.com/corporate/supplier-information</w:t>
      </w:r>
    </w:p>
    <w:p>
      <w:pPr>
        <w:spacing w:after="0" w:line="18" w:lineRule="exact"/>
        <w:rPr>
          <w:rFonts w:ascii="Arial" w:cs="Arial" w:eastAsia="Arial" w:hAnsi="Arial"/>
          <w:sz w:val="20"/>
          <w:szCs w:val="20"/>
          <w:color w:val="auto"/>
        </w:rPr>
      </w:pPr>
    </w:p>
    <w:p>
      <w:pPr>
        <w:ind w:left="1120" w:right="1280" w:hanging="320"/>
        <w:spacing w:after="0" w:line="502" w:lineRule="auto"/>
        <w:tabs>
          <w:tab w:leader="none" w:pos="1120" w:val="left"/>
        </w:tabs>
        <w:numPr>
          <w:ilvl w:val="1"/>
          <w:numId w:val="6"/>
        </w:numPr>
        <w:rPr>
          <w:rFonts w:ascii="Arial" w:cs="Arial" w:eastAsia="Arial" w:hAnsi="Arial"/>
          <w:sz w:val="20"/>
          <w:szCs w:val="20"/>
          <w:color w:val="auto"/>
        </w:rPr>
      </w:pPr>
      <w:r>
        <w:rPr>
          <w:rFonts w:ascii="Arial" w:cs="Arial" w:eastAsia="Arial" w:hAnsi="Arial"/>
          <w:sz w:val="18"/>
          <w:szCs w:val="18"/>
          <w:color w:val="auto"/>
        </w:rPr>
        <w:t xml:space="preserve">Brady’s Form SD and Conflict Minerals Report were filed with the SEC and are also available on our company website. </w:t>
      </w:r>
      <w:r>
        <w:rPr>
          <w:rFonts w:ascii="Arial" w:cs="Arial" w:eastAsia="Arial" w:hAnsi="Arial"/>
          <w:sz w:val="18"/>
          <w:szCs w:val="18"/>
          <w:u w:val="single" w:color="auto"/>
          <w:color w:val="0000FF"/>
        </w:rPr>
        <w:t>https://www.bradyid.com/corporate/supplier-information</w:t>
      </w:r>
    </w:p>
    <w:p>
      <w:pPr>
        <w:ind w:left="400"/>
        <w:spacing w:after="0"/>
        <w:rPr>
          <w:sz w:val="20"/>
          <w:szCs w:val="20"/>
          <w:color w:val="auto"/>
        </w:rPr>
      </w:pPr>
      <w:r>
        <w:rPr>
          <w:rFonts w:ascii="Arial" w:cs="Arial" w:eastAsia="Arial" w:hAnsi="Arial"/>
          <w:sz w:val="18"/>
          <w:szCs w:val="18"/>
          <w:b w:val="1"/>
          <w:bCs w:val="1"/>
          <w:color w:val="auto"/>
        </w:rPr>
        <w:t>Results of the Due Diligence measures</w:t>
      </w:r>
    </w:p>
    <w:p>
      <w:pPr>
        <w:spacing w:after="0" w:line="256" w:lineRule="exact"/>
        <w:rPr>
          <w:sz w:val="20"/>
          <w:szCs w:val="20"/>
          <w:color w:val="auto"/>
        </w:rPr>
      </w:pPr>
    </w:p>
    <w:p>
      <w:pPr>
        <w:jc w:val="both"/>
        <w:ind w:left="400"/>
        <w:spacing w:after="0" w:line="275" w:lineRule="auto"/>
        <w:rPr>
          <w:sz w:val="20"/>
          <w:szCs w:val="20"/>
          <w:color w:val="auto"/>
        </w:rPr>
      </w:pPr>
      <w:r>
        <w:rPr>
          <w:rFonts w:ascii="Arial" w:cs="Arial" w:eastAsia="Arial" w:hAnsi="Arial"/>
          <w:sz w:val="17"/>
          <w:szCs w:val="17"/>
          <w:color w:val="auto"/>
        </w:rPr>
        <w:t>Brady’s due diligence on the source and chain of custody of necessary 3TG Minerals contained in its products revealed that a majority of smelters identified in our supply chain are either conformant or low risk. However, not all smelters in global mineral supply chains have been audited or re-audited yet. In addition, the compliance or operational status of certain smelters/refiners may have changed since December 31, 2022. Brady is working with its suppliers to ensure that all the smelters in its supply chain comply with the requirements of the rule. Additional due diligence is on-going, since most suppliers provided a company-level and not product-level declaration.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Product Description; Processing Facilities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scope of our inquiry covered the following products, which we believe are the most likely to contain metallic forms of 3TG Minerals:</w:t>
      </w:r>
    </w:p>
    <w:p>
      <w:pPr>
        <w:spacing w:after="0" w:line="264" w:lineRule="exact"/>
        <w:rPr>
          <w:sz w:val="20"/>
          <w:szCs w:val="20"/>
          <w:color w:val="auto"/>
        </w:rPr>
      </w:pPr>
    </w:p>
    <w:p>
      <w:pPr>
        <w:ind w:left="1120" w:hanging="32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Inkjet and thermal transfer printers—both handheld and desktop models—containing electronic parts;</w:t>
      </w:r>
    </w:p>
    <w:p>
      <w:pPr>
        <w:spacing w:after="0" w:line="23" w:lineRule="exact"/>
        <w:rPr>
          <w:rFonts w:ascii="Arial" w:cs="Arial" w:eastAsia="Arial" w:hAnsi="Arial"/>
          <w:sz w:val="18"/>
          <w:szCs w:val="18"/>
          <w:color w:val="auto"/>
        </w:rPr>
      </w:pPr>
    </w:p>
    <w:p>
      <w:pPr>
        <w:ind w:left="1120" w:hanging="32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Labels and tapes for thermal transfer printing, some of which are in cassettes containing electronic parts;</w:t>
      </w:r>
    </w:p>
    <w:p>
      <w:pPr>
        <w:spacing w:after="0" w:line="9" w:lineRule="exact"/>
        <w:rPr>
          <w:rFonts w:ascii="Arial" w:cs="Arial" w:eastAsia="Arial" w:hAnsi="Arial"/>
          <w:sz w:val="18"/>
          <w:szCs w:val="18"/>
          <w:color w:val="auto"/>
        </w:rPr>
      </w:pPr>
    </w:p>
    <w:p>
      <w:pPr>
        <w:ind w:left="1120" w:hanging="32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Preprinted labels and tapes, some with external coating, pipe and wire markers, and metal asset tags;</w:t>
      </w:r>
    </w:p>
    <w:p>
      <w:pPr>
        <w:spacing w:after="0" w:line="9" w:lineRule="exact"/>
        <w:rPr>
          <w:rFonts w:ascii="Arial" w:cs="Arial" w:eastAsia="Arial" w:hAnsi="Arial"/>
          <w:sz w:val="18"/>
          <w:szCs w:val="18"/>
          <w:color w:val="auto"/>
        </w:rPr>
      </w:pPr>
    </w:p>
    <w:p>
      <w:pPr>
        <w:ind w:left="1120" w:hanging="32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Electronic devices including barcode scanners, barcode readers, and RFID devices;</w:t>
      </w:r>
    </w:p>
    <w:p>
      <w:pPr>
        <w:spacing w:after="0" w:line="9" w:lineRule="exact"/>
        <w:rPr>
          <w:rFonts w:ascii="Arial" w:cs="Arial" w:eastAsia="Arial" w:hAnsi="Arial"/>
          <w:sz w:val="18"/>
          <w:szCs w:val="18"/>
          <w:color w:val="auto"/>
        </w:rPr>
      </w:pPr>
    </w:p>
    <w:p>
      <w:pPr>
        <w:ind w:left="1120" w:hanging="32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Safety signs and traffic signs;</w:t>
      </w:r>
    </w:p>
    <w:p>
      <w:pPr>
        <w:spacing w:after="0" w:line="9" w:lineRule="exact"/>
        <w:rPr>
          <w:rFonts w:ascii="Arial" w:cs="Arial" w:eastAsia="Arial" w:hAnsi="Arial"/>
          <w:sz w:val="18"/>
          <w:szCs w:val="18"/>
          <w:color w:val="auto"/>
        </w:rPr>
      </w:pPr>
    </w:p>
    <w:p>
      <w:pPr>
        <w:ind w:left="1120" w:hanging="32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Pads for medical applications and sorbent materials for environmental clean-up;</w:t>
      </w:r>
    </w:p>
    <w:p>
      <w:pPr>
        <w:spacing w:after="0" w:line="9" w:lineRule="exact"/>
        <w:rPr>
          <w:rFonts w:ascii="Arial" w:cs="Arial" w:eastAsia="Arial" w:hAnsi="Arial"/>
          <w:sz w:val="18"/>
          <w:szCs w:val="18"/>
          <w:color w:val="auto"/>
        </w:rPr>
      </w:pPr>
    </w:p>
    <w:p>
      <w:pPr>
        <w:ind w:left="1120" w:hanging="32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Lock-out / tag-out devices</w:t>
      </w:r>
    </w:p>
    <w:p>
      <w:pPr>
        <w:spacing w:after="0" w:line="9" w:lineRule="exact"/>
        <w:rPr>
          <w:rFonts w:ascii="Arial" w:cs="Arial" w:eastAsia="Arial" w:hAnsi="Arial"/>
          <w:sz w:val="18"/>
          <w:szCs w:val="18"/>
          <w:color w:val="auto"/>
        </w:rPr>
      </w:pPr>
    </w:p>
    <w:p>
      <w:pPr>
        <w:ind w:left="1120" w:hanging="32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Visitor identification badges, badge holders and lanyards, and wristbands; and</w:t>
      </w:r>
    </w:p>
    <w:p>
      <w:pPr>
        <w:spacing w:after="0" w:line="9" w:lineRule="exact"/>
        <w:rPr>
          <w:rFonts w:ascii="Arial" w:cs="Arial" w:eastAsia="Arial" w:hAnsi="Arial"/>
          <w:sz w:val="18"/>
          <w:szCs w:val="18"/>
          <w:color w:val="auto"/>
        </w:rPr>
      </w:pPr>
    </w:p>
    <w:p>
      <w:pPr>
        <w:ind w:left="1120" w:hanging="32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Die-cut materials for the telecommunications industry, primarily plastics and polyester foams.</w:t>
      </w:r>
    </w:p>
    <w:p>
      <w:pPr>
        <w:spacing w:after="0" w:line="238"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Brady also sells products that are purchased “as is” from manufacturers and not manufactured, or contracted to be manufactured, or whose design and bill of materials is not influenced in any way by Brady. These include traffic cones and barriers, barrier and perimeter tapes, and certain lock-out/tag-out devices. Brady also develops software for products that is factory-installed or downloadable. All of the foregoing products are not within the scope of this report.</w:t>
      </w:r>
    </w:p>
    <w:p>
      <w:pPr>
        <w:spacing w:after="0" w:line="214"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The smelting and refining facilities used to process the 3TG Minerals that were identified by our suppliers are listed in Appendix 1 and the potential countries of origin of the 3TG Minerals are listed in Appendix 2 to this Conflict Minerals Report.</w:t>
      </w:r>
    </w:p>
    <w:p>
      <w:pPr>
        <w:spacing w:after="0" w:line="200" w:lineRule="exact"/>
        <w:rPr>
          <w:sz w:val="20"/>
          <w:szCs w:val="20"/>
          <w:color w:val="auto"/>
        </w:rPr>
      </w:pPr>
    </w:p>
    <w:p>
      <w:pPr>
        <w:spacing w:after="0" w:line="30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500" w:top="891" w:right="339" w:bottom="1440" w:gutter="0" w:footer="0" w:header="0"/>
        </w:sectPr>
      </w:pPr>
    </w:p>
    <w:bookmarkStart w:id="6" w:name="page7"/>
    <w:bookmarkEnd w:id="6"/>
    <w:p>
      <w:pPr>
        <w:ind w:left="380" w:hanging="374"/>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Steps to Improve Due Diligence</w:t>
      </w:r>
    </w:p>
    <w:p>
      <w:pPr>
        <w:spacing w:after="0" w:line="256"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We will continue to communicate our expectations and information requirements regarding 3TG Minerals to our direct suppliers, as a part of our supplier compliance program. Brady has incorporated detailed discussions of conflict minerals in our supplier manual, which is distributed to all suppliers, and in our specifications for all new parts. We also include conflict minerals information in discussions with our suppliers, including discussions regarding relevant policies, procedures and practices. We will continue to monitor changes in circumstances that may impact the facts or our determination regarding the source of our 3TG Minerals. Over time, we anticipate that the amount of information globally on the traceability and sourcing of these ores will increase and improve our knowledge. We will continue to make further inquiries to our direct suppliers with the goals of assessing our supply chain, including existing and new suppliers, and improving our understanding of each 3TG Mineral supply chain. In addition, we will continue to monitor the smelters in our supply chain that are currently participating in audit programs for their “conflict-free” status.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Independent Private Sector Audit</w:t>
      </w:r>
    </w:p>
    <w:p>
      <w:pPr>
        <w:spacing w:after="0" w:line="256"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Pursuant to SEC rules and related guidance, an independent private sector audit was not required for Brady’s Conflict Minerals Report for calendar year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500" w:top="1134" w:right="339" w:bottom="1440" w:gutter="0" w:footer="0" w:header="0"/>
        </w:sectPr>
      </w:pPr>
    </w:p>
    <w:bookmarkStart w:id="7" w:name="page8"/>
    <w:bookmarkEnd w:id="7"/>
    <w:p>
      <w:pPr>
        <w:ind w:left="5180"/>
        <w:spacing w:after="0"/>
        <w:rPr>
          <w:sz w:val="20"/>
          <w:szCs w:val="20"/>
          <w:color w:val="auto"/>
        </w:rPr>
      </w:pPr>
      <w:r>
        <w:rPr>
          <w:rFonts w:ascii="Arial" w:cs="Arial" w:eastAsia="Arial" w:hAnsi="Arial"/>
          <w:sz w:val="18"/>
          <w:szCs w:val="18"/>
          <w:b w:val="1"/>
          <w:bCs w:val="1"/>
          <w:color w:val="auto"/>
        </w:rPr>
        <w:t>Appendix 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Smelters/Refiners Identified by Suppliers Identified in Brady’s Supply Chain</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Metal</w:t>
            </w:r>
          </w:p>
        </w:tc>
        <w:tc>
          <w:tcPr>
            <w:tcW w:w="398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b w:val="1"/>
                <w:bCs w:val="1"/>
                <w:color w:val="auto"/>
              </w:rPr>
              <w:t>Standard Smelter Name</w:t>
            </w:r>
          </w:p>
        </w:tc>
        <w:tc>
          <w:tcPr>
            <w:tcW w:w="400" w:type="dxa"/>
            <w:vAlign w:val="bottom"/>
            <w:tcBorders>
              <w:top w:val="single" w:sz="8" w:color="auto"/>
              <w:bottom w:val="single" w:sz="8" w:color="auto"/>
              <w:right w:val="single" w:sz="8" w:color="auto"/>
            </w:tcBorders>
          </w:tcPr>
          <w:p>
            <w:pPr>
              <w:spacing w:after="0"/>
              <w:rPr>
                <w:sz w:val="22"/>
                <w:szCs w:val="22"/>
                <w:color w:val="auto"/>
              </w:rPr>
            </w:pPr>
          </w:p>
        </w:tc>
        <w:tc>
          <w:tcPr>
            <w:tcW w:w="3460" w:type="dxa"/>
            <w:vAlign w:val="bottom"/>
            <w:tcBorders>
              <w:top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8"/>
                <w:szCs w:val="18"/>
                <w:b w:val="1"/>
                <w:bCs w:val="1"/>
                <w:color w:val="auto"/>
              </w:rPr>
              <w:t>Country Location</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Entity ID</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Pr>
          <w:p>
            <w:pPr>
              <w:spacing w:after="0"/>
              <w:rPr>
                <w:sz w:val="20"/>
                <w:szCs w:val="20"/>
                <w:color w:val="auto"/>
              </w:rPr>
            </w:pPr>
            <w:r>
              <w:rPr>
                <w:rFonts w:ascii="Arial" w:cs="Arial" w:eastAsia="Arial" w:hAnsi="Arial"/>
                <w:sz w:val="18"/>
                <w:szCs w:val="18"/>
                <w:color w:val="auto"/>
              </w:rPr>
              <w:t>8853 S.p.A.</w:t>
            </w:r>
          </w:p>
        </w:tc>
        <w:tc>
          <w:tcPr>
            <w:tcW w:w="40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ITALY</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CID002763</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Abington Reldan Metals, LLC</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CID002708</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Advanced Chemical Company</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CID000015</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Pr>
          <w:p>
            <w:pPr>
              <w:spacing w:after="0"/>
              <w:rPr>
                <w:sz w:val="20"/>
                <w:szCs w:val="20"/>
                <w:color w:val="auto"/>
              </w:rPr>
            </w:pPr>
            <w:r>
              <w:rPr>
                <w:rFonts w:ascii="Arial" w:cs="Arial" w:eastAsia="Arial" w:hAnsi="Arial"/>
                <w:sz w:val="18"/>
                <w:szCs w:val="18"/>
                <w:color w:val="auto"/>
              </w:rPr>
              <w:t>Agosi AG</w:t>
            </w:r>
          </w:p>
        </w:tc>
        <w:tc>
          <w:tcPr>
            <w:tcW w:w="40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CID000035</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Aida Chemical Industries Co., Ltd.</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CID000019</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 Etihad Gold Refinery DMCC</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ARAB EMIRATES</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CID002560</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Pr>
          <w:p>
            <w:pPr>
              <w:spacing w:after="0"/>
              <w:rPr>
                <w:sz w:val="20"/>
                <w:szCs w:val="20"/>
                <w:color w:val="auto"/>
              </w:rPr>
            </w:pPr>
            <w:r>
              <w:rPr>
                <w:rFonts w:ascii="Arial" w:cs="Arial" w:eastAsia="Arial" w:hAnsi="Arial"/>
                <w:sz w:val="18"/>
                <w:szCs w:val="18"/>
                <w:color w:val="auto"/>
              </w:rPr>
              <w:t>Alexy Metals</w:t>
            </w:r>
          </w:p>
        </w:tc>
        <w:tc>
          <w:tcPr>
            <w:tcW w:w="40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CID003500</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Almalyk Mining and Metallurgical Complex (AMMC)</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UZBEKISTAN</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CID000041</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AngloGold Ashanti Corrego do Sitio Mineracao</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CID000058</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Pr>
          <w:p>
            <w:pPr>
              <w:spacing w:after="0"/>
              <w:rPr>
                <w:sz w:val="20"/>
                <w:szCs w:val="20"/>
                <w:color w:val="auto"/>
              </w:rPr>
            </w:pPr>
            <w:r>
              <w:rPr>
                <w:rFonts w:ascii="Arial" w:cs="Arial" w:eastAsia="Arial" w:hAnsi="Arial"/>
                <w:sz w:val="18"/>
                <w:szCs w:val="18"/>
                <w:color w:val="auto"/>
              </w:rPr>
              <w:t>Argor-Heraeus S.A.</w:t>
            </w:r>
          </w:p>
        </w:tc>
        <w:tc>
          <w:tcPr>
            <w:tcW w:w="40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CID000077</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Asahi Pretec Corp.</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CID000082</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Asahi Refining Canada Ltd.</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CANADA</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CID000924</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Pr>
          <w:p>
            <w:pPr>
              <w:spacing w:after="0"/>
              <w:rPr>
                <w:sz w:val="20"/>
                <w:szCs w:val="20"/>
                <w:color w:val="auto"/>
              </w:rPr>
            </w:pPr>
            <w:r>
              <w:rPr>
                <w:rFonts w:ascii="Arial" w:cs="Arial" w:eastAsia="Arial" w:hAnsi="Arial"/>
                <w:sz w:val="18"/>
                <w:szCs w:val="18"/>
                <w:color w:val="auto"/>
              </w:rPr>
              <w:t>Asahi Refining USA Inc.</w:t>
            </w:r>
          </w:p>
        </w:tc>
        <w:tc>
          <w:tcPr>
            <w:tcW w:w="40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CID000920</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Asaka Riken Co., Ltd.</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CID000090</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Atasay Kuyumculuk Sanayi Ve Ticaret A.S.</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TURKEY</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CID000103</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Pr>
          <w:p>
            <w:pPr>
              <w:spacing w:after="0"/>
              <w:rPr>
                <w:sz w:val="20"/>
                <w:szCs w:val="20"/>
                <w:color w:val="auto"/>
              </w:rPr>
            </w:pPr>
            <w:r>
              <w:rPr>
                <w:rFonts w:ascii="Arial" w:cs="Arial" w:eastAsia="Arial" w:hAnsi="Arial"/>
                <w:sz w:val="18"/>
                <w:szCs w:val="18"/>
                <w:color w:val="auto"/>
              </w:rPr>
              <w:t>Augmont Enterprises Private Limited</w:t>
            </w:r>
          </w:p>
        </w:tc>
        <w:tc>
          <w:tcPr>
            <w:tcW w:w="40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INDIA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CID003461</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Aurubis AG</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CID000113</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Bangalore Refinery</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CID002863</w:t>
            </w:r>
          </w:p>
        </w:tc>
      </w:tr>
      <w:tr>
        <w:trPr>
          <w:trHeight w:val="229"/>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Pr>
          <w:p>
            <w:pPr>
              <w:spacing w:after="0"/>
              <w:rPr>
                <w:sz w:val="20"/>
                <w:szCs w:val="20"/>
                <w:color w:val="auto"/>
              </w:rPr>
            </w:pPr>
            <w:r>
              <w:rPr>
                <w:rFonts w:ascii="Arial" w:cs="Arial" w:eastAsia="Arial" w:hAnsi="Arial"/>
                <w:sz w:val="18"/>
                <w:szCs w:val="18"/>
                <w:color w:val="auto"/>
              </w:rPr>
              <w:t>Bangko Sentral ng Pilipinas (Central Bank of the</w:t>
            </w:r>
          </w:p>
        </w:tc>
        <w:tc>
          <w:tcPr>
            <w:tcW w:w="40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PHILIPPINES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CID000128</w:t>
            </w:r>
          </w:p>
        </w:tc>
      </w:tr>
      <w:tr>
        <w:trPr>
          <w:trHeight w:val="237"/>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Philippines)</w:t>
            </w:r>
          </w:p>
        </w:tc>
        <w:tc>
          <w:tcPr>
            <w:tcW w:w="400" w:type="dxa"/>
            <w:vAlign w:val="bottom"/>
            <w:tcBorders>
              <w:bottom w:val="single" w:sz="8" w:color="auto"/>
              <w:right w:val="single" w:sz="8" w:color="auto"/>
            </w:tcBorders>
          </w:tcPr>
          <w:p>
            <w:pPr>
              <w:spacing w:after="0"/>
              <w:rPr>
                <w:sz w:val="20"/>
                <w:szCs w:val="20"/>
                <w:color w:val="auto"/>
              </w:rPr>
            </w:pPr>
          </w:p>
        </w:tc>
        <w:tc>
          <w:tcPr>
            <w:tcW w:w="3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Boliden AB</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SWEDEN</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CID000157</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Pr>
          <w:p>
            <w:pPr>
              <w:spacing w:after="0"/>
              <w:rPr>
                <w:sz w:val="20"/>
                <w:szCs w:val="20"/>
                <w:color w:val="auto"/>
              </w:rPr>
            </w:pPr>
            <w:r>
              <w:rPr>
                <w:rFonts w:ascii="Arial" w:cs="Arial" w:eastAsia="Arial" w:hAnsi="Arial"/>
                <w:sz w:val="18"/>
                <w:szCs w:val="18"/>
                <w:color w:val="auto"/>
              </w:rPr>
              <w:t>C. Hafner GmbH + Co. KG</w:t>
            </w:r>
          </w:p>
        </w:tc>
        <w:tc>
          <w:tcPr>
            <w:tcW w:w="40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CID000176</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C.I Metales Procesados Industriales SAS</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COLOMBIA</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CID003421</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Caridad</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MEXICO</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CID000180</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Pr>
          <w:p>
            <w:pPr>
              <w:spacing w:after="0"/>
              <w:rPr>
                <w:sz w:val="20"/>
                <w:szCs w:val="20"/>
                <w:color w:val="auto"/>
              </w:rPr>
            </w:pPr>
            <w:r>
              <w:rPr>
                <w:rFonts w:ascii="Arial" w:cs="Arial" w:eastAsia="Arial" w:hAnsi="Arial"/>
                <w:sz w:val="18"/>
                <w:szCs w:val="18"/>
                <w:color w:val="auto"/>
              </w:rPr>
              <w:t>CCR Refinery - Glencore Canada Corporation</w:t>
            </w:r>
          </w:p>
        </w:tc>
        <w:tc>
          <w:tcPr>
            <w:tcW w:w="40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CANADA</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CID000185</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Cendres + Metaux S.A.</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CID000189</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CGR Metalloys Pvt Ltd.</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CID003382</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Pr>
          <w:p>
            <w:pPr>
              <w:spacing w:after="0"/>
              <w:rPr>
                <w:sz w:val="20"/>
                <w:szCs w:val="20"/>
                <w:color w:val="auto"/>
              </w:rPr>
            </w:pPr>
            <w:r>
              <w:rPr>
                <w:rFonts w:ascii="Arial" w:cs="Arial" w:eastAsia="Arial" w:hAnsi="Arial"/>
                <w:sz w:val="18"/>
                <w:szCs w:val="18"/>
                <w:color w:val="auto"/>
              </w:rPr>
              <w:t>Chimet S.p.A.</w:t>
            </w:r>
          </w:p>
        </w:tc>
        <w:tc>
          <w:tcPr>
            <w:tcW w:w="40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ITALY</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CID000233</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Chugai Mining</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CID000264</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Degussa Sonne / Mond Goldhandel GmbH</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CID002867</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Pr>
          <w:p>
            <w:pPr>
              <w:spacing w:after="0"/>
              <w:rPr>
                <w:sz w:val="20"/>
                <w:szCs w:val="20"/>
                <w:color w:val="auto"/>
              </w:rPr>
            </w:pPr>
            <w:r>
              <w:rPr>
                <w:rFonts w:ascii="Arial" w:cs="Arial" w:eastAsia="Arial" w:hAnsi="Arial"/>
                <w:sz w:val="18"/>
                <w:szCs w:val="18"/>
                <w:color w:val="auto"/>
              </w:rPr>
              <w:t>Dijllah Gold Refinery FZC</w:t>
            </w:r>
          </w:p>
        </w:tc>
        <w:tc>
          <w:tcPr>
            <w:tcW w:w="40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ARAB EMIRATES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CID003348</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Dowa</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CID000401</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DSC (Do Sung Corporation)</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CID000359</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Eco-System Recycling Co., Ltd. East Plant</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CID000425</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Pr>
          <w:p>
            <w:pPr>
              <w:spacing w:after="0"/>
              <w:rPr>
                <w:sz w:val="20"/>
                <w:szCs w:val="20"/>
                <w:color w:val="auto"/>
              </w:rPr>
            </w:pPr>
            <w:r>
              <w:rPr>
                <w:rFonts w:ascii="Arial" w:cs="Arial" w:eastAsia="Arial" w:hAnsi="Arial"/>
                <w:sz w:val="18"/>
                <w:szCs w:val="18"/>
                <w:color w:val="auto"/>
              </w:rPr>
              <w:t>Eco-System Recycling Co., Ltd. North Plant</w:t>
            </w:r>
          </w:p>
        </w:tc>
        <w:tc>
          <w:tcPr>
            <w:tcW w:w="40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CID003424</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Eco-System Recycling Co., Ltd. West Plant</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CID003425</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Emerald Jewel Industry India Limited (Unit 1)</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CID003487</w:t>
            </w:r>
          </w:p>
        </w:tc>
      </w:tr>
      <w:tr>
        <w:trPr>
          <w:trHeight w:val="864"/>
        </w:trPr>
        <w:tc>
          <w:tcPr>
            <w:tcW w:w="16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5</w:t>
            </w:r>
          </w:p>
        </w:tc>
        <w:tc>
          <w:tcPr>
            <w:tcW w:w="34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900"/>
          </w:cols>
          <w:pgMar w:left="320" w:top="1134" w:right="67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60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Emerald Jewel Industry India Limited (Unit 2)</w:t>
            </w:r>
          </w:p>
        </w:tc>
        <w:tc>
          <w:tcPr>
            <w:tcW w:w="34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146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CID003488</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Emerald Jewel Industry India Limited (Unit 3)</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INDIA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CID003489</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Emerald Jewel Industry India Limited (Unit 4)</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CID003490</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Emirates Gold DMCC</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ARAB EMIRATES</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CID002561</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Fujairah Gold FZC</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ARAB EMIRATES</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CID002584</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Geib Refining Corporation</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CID002459</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GGC Gujrat Gold Centre Pvt.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CID002852</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 Coast Refinery</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GHANA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CID003186</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Great Wall Precious Metals Co., Ltd. of CBPM</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CID001909</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Guangdong Jinding Gold Limited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CID002312</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Guoda Safina High-Tech Environmental Refinery Co., Ltd.</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CID000651</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Hangzhou Fuchunjiang Smelting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CID000671</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Heimerle + Meule GmbH</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CID000694</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Heraeus Germany GmbH Co. KG</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CID000711</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Heraeus Metals Hong Kong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CID000707</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Hunan Chenzhou Mining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CID000767</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Hunan Guiyang yinxing Nonferrous Smelting Co., Ltd.</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CID000773</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HwaSeong CJ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CID000778</w:t>
            </w:r>
          </w:p>
        </w:tc>
      </w:tr>
      <w:tr>
        <w:trPr>
          <w:trHeight w:val="215"/>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Inner Mongolia Qiankun Gold and Silver Refinery Share</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CID000801</w:t>
            </w:r>
          </w:p>
        </w:tc>
      </w:tr>
      <w:tr>
        <w:trPr>
          <w:trHeight w:val="230"/>
        </w:trPr>
        <w:tc>
          <w:tcPr>
            <w:tcW w:w="1600" w:type="dxa"/>
            <w:vAlign w:val="bottom"/>
            <w:tcBorders>
              <w:left w:val="single" w:sz="8" w:color="auto"/>
              <w:right w:val="single" w:sz="8" w:color="auto"/>
            </w:tcBorders>
          </w:tcPr>
          <w:p>
            <w:pPr>
              <w:spacing w:after="0"/>
              <w:rPr>
                <w:sz w:val="20"/>
                <w:szCs w:val="20"/>
                <w:color w:val="auto"/>
              </w:rPr>
            </w:pP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 Ltd.</w:t>
            </w:r>
          </w:p>
        </w:tc>
        <w:tc>
          <w:tcPr>
            <w:tcW w:w="346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International Precious Metal Refiners</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ARAB EMIRATES</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CID002562</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Ishifuku Metal Industry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CID000807</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Istanbul Gold Refinery</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TURKEY</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CID000814</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Italpreziosi</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ITALY</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CID002765</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JALAN &amp; Company</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CID002893</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 Mint</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CID000823</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Jiangxi Copper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CID000855</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JX Nippon Mining &amp; Metals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CID000937</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K.A. Rasmussen</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NORWAY</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CID003497</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Kazakhmys Smelting LLC</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KAZAKHSTAN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CID000956</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Kazzinc</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KAZAKHSTAN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CID000957</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Kennecott Utah Copper LLC</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CID000969</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KGHM Polska Miedz Spolka Akcyjna</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POLAND</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CID002511</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Kojima Chemicals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CID000981</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Zinc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CID002605</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Kundan Care Products Ltd.</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INDIA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CID003463</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L'azurde Company For Jewelry</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SAUDI ARABIA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CID001032</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Lingbao Jinyuan Tonghui Refinery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CID001058</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L'Orfebre S.A.</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ANDORRA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CID002762</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LS-NIKKO Copper Inc.</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CID001078</w:t>
            </w:r>
          </w:p>
        </w:tc>
      </w:tr>
      <w:tr>
        <w:trPr>
          <w:trHeight w:val="864"/>
        </w:trPr>
        <w:tc>
          <w:tcPr>
            <w:tcW w:w="1600" w:type="dxa"/>
            <w:vAlign w:val="bottom"/>
          </w:tcPr>
          <w:p>
            <w:pPr>
              <w:spacing w:after="0"/>
              <w:rPr>
                <w:sz w:val="24"/>
                <w:szCs w:val="24"/>
                <w:color w:val="auto"/>
              </w:rPr>
            </w:pPr>
          </w:p>
        </w:tc>
        <w:tc>
          <w:tcPr>
            <w:tcW w:w="4380" w:type="dxa"/>
            <w:vAlign w:val="bottom"/>
          </w:tcPr>
          <w:p>
            <w:pPr>
              <w:ind w:left="3980"/>
              <w:spacing w:after="0"/>
              <w:rPr>
                <w:sz w:val="20"/>
                <w:szCs w:val="20"/>
                <w:color w:val="auto"/>
              </w:rPr>
            </w:pPr>
            <w:r>
              <w:rPr>
                <w:rFonts w:ascii="Arial" w:cs="Arial" w:eastAsia="Arial" w:hAnsi="Arial"/>
                <w:sz w:val="18"/>
                <w:szCs w:val="18"/>
                <w:color w:val="auto"/>
              </w:rPr>
              <w:t>6</w:t>
            </w:r>
          </w:p>
        </w:tc>
        <w:tc>
          <w:tcPr>
            <w:tcW w:w="34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60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 Metal Ltd.</w:t>
            </w:r>
          </w:p>
        </w:tc>
        <w:tc>
          <w:tcPr>
            <w:tcW w:w="34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146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CID000689</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Materion</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CID001113</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Matsuda Sangyo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CID001119</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MD Overseas</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CID003548</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Metal Concentrators SA (Pty) Ltd.</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SOUTH AFRICA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CID003575</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Metallix Refining Inc.</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CID003557</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Metalor Technologies (Hong Kong)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CID001149</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Metalor Technologies (Singapore) Pte., Ltd.</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SINGAPORE</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CID001152</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Metalor Technologies (Suzhou)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CID001147</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Metalor Technologies S.A.</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CID001153</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Metalor USA Refining Corporation</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CID001157</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Metalurgica Met-Mex Penoles S.A. De C.V.</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MEXICO</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CID001161</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Mitsubishi Materials Corporation</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CID001188</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Mitsui Mining and Smelting Co., Ltd.</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CID001193</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MKS PAMP SA</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CID001352</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MMTC-PAMP India Pvt.,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CID002509</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Modeltech Sdn Bhd</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MALAYSIA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CID002857</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Morris and Watson</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NEW ZEALAND</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CID002282</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Nadir Metal Rafineri San. Ve Tic. A.S.</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TURKEY</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CID001220</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Navoi Mining and Metallurgical Combinat</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UZBEKISTAN</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CID001236</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 Recytech Company</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CID003189</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Nihon Material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CID001259</w:t>
            </w:r>
          </w:p>
        </w:tc>
      </w:tr>
      <w:tr>
        <w:trPr>
          <w:trHeight w:val="229"/>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Ogussa Osterreichische Gold- und Silber-Scheideanstalt</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AUSTRIA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CID002779</w:t>
            </w:r>
          </w:p>
        </w:tc>
      </w:tr>
      <w:tr>
        <w:trPr>
          <w:trHeight w:val="237"/>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GmbH</w:t>
            </w:r>
          </w:p>
        </w:tc>
        <w:tc>
          <w:tcPr>
            <w:tcW w:w="3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Ohura Precious Metal Industry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CID001325</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Pease &amp; Curren</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CID002872</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Penglai Penggang Gold Industry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CID001362</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Planta Recuperadora de Metales SpA</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CHILE</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CID002919</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PT Aneka Tambang (Persero) Tbk</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CID001397</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PX Precinox S.A.</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CID001498</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QG Refining, LLC</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CID003324</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Rand Refinery (Pty) Ltd.</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SOUTH AFRICA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CID001512</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Refinery of Seemine Gold Co.,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CID000522</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REMONDIS PMR B.V.</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NETHERLANDS</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CID002582</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Royal Canadian Mint</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CANADA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CID001534</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SAAMP</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FRANCE</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CID002761</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Sabin Metal Corp.</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CID001546</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Safimet S.p.A</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ITALY</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CID002973</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SAFINA A.S.</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CZECHIA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CID002290</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Sai Refinery</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CID002853</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Samduck Precious Metals</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CID001555</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Samwon Metals Corp.</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CID001562</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Sancus ZFS (L’Orfebre, SA)</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COLOMBIA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CID003529</w:t>
            </w:r>
          </w:p>
        </w:tc>
      </w:tr>
      <w:tr>
        <w:trPr>
          <w:trHeight w:val="250"/>
        </w:trPr>
        <w:tc>
          <w:tcPr>
            <w:tcW w:w="16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Sellem Industries Ltd.</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MAURITANIA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CID003540</w:t>
            </w:r>
          </w:p>
        </w:tc>
      </w:tr>
      <w:tr>
        <w:trPr>
          <w:trHeight w:val="243"/>
        </w:trPr>
        <w:tc>
          <w:tcPr>
            <w:tcW w:w="160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SEMPSA Joyeria Plateria S.A.</w:t>
            </w: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SPAIN</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CID001585</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900"/>
          </w:cols>
          <w:pgMar w:left="320" w:top="916" w:right="67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900"/>
          </w:cols>
          <w:pgMar w:left="320" w:top="916" w:right="679" w:bottom="1440" w:gutter="0" w:footer="0" w:header="0"/>
          <w:type w:val="continuous"/>
        </w:sectPr>
      </w:pPr>
    </w:p>
    <w:bookmarkStart w:id="10" w:name="page11"/>
    <w:bookmarkEnd w:id="10"/>
    <w:tbl>
      <w:tblPr>
        <w:tblLayout w:type="fixed"/>
        <w:tblInd w:w="10" w:type="dxa"/>
        <w:tblCellMar>
          <w:top w:w="0" w:type="dxa"/>
          <w:left w:w="0" w:type="dxa"/>
          <w:bottom w:w="0" w:type="dxa"/>
          <w:right w:w="0" w:type="dxa"/>
        </w:tblCellMar>
      </w:tblPr>
      <w:tr>
        <w:trPr>
          <w:trHeight w:val="263"/>
        </w:trPr>
        <w:tc>
          <w:tcPr>
            <w:tcW w:w="1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Shandong Humon Smelting Co., Ltd.</w:t>
            </w:r>
          </w:p>
        </w:tc>
        <w:tc>
          <w:tcPr>
            <w:tcW w:w="34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CID002525</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Shandong Tiancheng Biological Gold Industrial Co., Ltd.</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CID001619</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Shenzhen Zhonghenglong Real Industry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CID002527</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Shirpur Gold Refinery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CID002588</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Sichuan Tianze Precious Metals Co., Ltd.</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CID001736</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Singway Technology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CID002516</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Solar Applied Materials Technology Corp.</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CID001761</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Sovereign Metals</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CID003383</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09"/>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State Research Institute Center for Physical Sciences and</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LITHUANIA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CID003153</w:t>
            </w:r>
          </w:p>
        </w:tc>
      </w:tr>
      <w:tr>
        <w:trPr>
          <w:trHeight w:val="237"/>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Technology</w:t>
            </w:r>
          </w:p>
        </w:tc>
        <w:tc>
          <w:tcPr>
            <w:tcW w:w="3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Sumitomo Metal Mining Co., Ltd.</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CID001798</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SungEel HiMetal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CID002918</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T.C.A S.p.A</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CID002580</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Tanaka Kikinzoku Kogyo K.K.</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CID001875</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Tokuriki Honten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CID001938</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Tongling Nonferrous Metals Group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CID001947</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TOO Tau-Ken-Altyn</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CID002615</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Torecom</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CID001955</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Umicore Precious Metals Thailand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CID002314</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Umicore S.A. Business Unit Precious Metals Refining</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CID001980</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Precious Metal Refining, Inc.</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CID001993</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Valcambi S.A.</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CID002003</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Western Australian Mint (T/a The Perth Mint)</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AUSTRALIA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CID002030</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WIELAND Edelmetalle GmbH</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CID002778</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Yamakin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CID002100</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Yokohama Metal Co., Ltd.</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CID002129</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Yunnan Copper Industry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CID000197</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Zhongyuan Gold Smelter of Zhongjin Gold Corporation</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CID002224</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AMG Brasil</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CID001076</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Changsha South Tantalum Niobium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CID000211</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 Block Metals, LLC</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CID002504</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F&amp;X Electro-Materials Ltd.</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CID000460</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FIR Metals &amp; Resource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CID002505</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Global Advanced Metals Aizu</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CID002558</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Global Advanced Metals Boyertown</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CID002557</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Hengyang King Xing Lifeng New Materials Co., Ltd.</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CID002492</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Jiangxi Dinghai Tantalum &amp; Niobium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CID002512</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Jiangxi Tuohong New Raw Material</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CID002842</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JiuJiang JinXin Nonferrous Metals Co., Ltd.</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CID000914</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Jiujiang Tanbre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CID000917</w:t>
            </w:r>
          </w:p>
        </w:tc>
      </w:tr>
      <w:tr>
        <w:trPr>
          <w:trHeight w:val="864"/>
        </w:trPr>
        <w:tc>
          <w:tcPr>
            <w:tcW w:w="1600" w:type="dxa"/>
            <w:vAlign w:val="bottom"/>
          </w:tcPr>
          <w:p>
            <w:pPr>
              <w:spacing w:after="0"/>
              <w:rPr>
                <w:sz w:val="24"/>
                <w:szCs w:val="24"/>
                <w:color w:val="auto"/>
              </w:rPr>
            </w:pPr>
          </w:p>
        </w:tc>
        <w:tc>
          <w:tcPr>
            <w:tcW w:w="4380" w:type="dxa"/>
            <w:vAlign w:val="bottom"/>
          </w:tcPr>
          <w:p>
            <w:pPr>
              <w:ind w:left="3980"/>
              <w:spacing w:after="0"/>
              <w:rPr>
                <w:sz w:val="20"/>
                <w:szCs w:val="20"/>
                <w:color w:val="auto"/>
              </w:rPr>
            </w:pPr>
            <w:r>
              <w:rPr>
                <w:rFonts w:ascii="Arial" w:cs="Arial" w:eastAsia="Arial" w:hAnsi="Arial"/>
                <w:sz w:val="18"/>
                <w:szCs w:val="18"/>
                <w:color w:val="auto"/>
              </w:rPr>
              <w:t>8</w:t>
            </w:r>
          </w:p>
        </w:tc>
        <w:tc>
          <w:tcPr>
            <w:tcW w:w="34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Jiujiang Zhongao Tantalum &amp; Niobium Co., Ltd.</w:t>
            </w:r>
          </w:p>
        </w:tc>
        <w:tc>
          <w:tcPr>
            <w:tcW w:w="34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CID002506</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KEMET de Mexico</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MEXICO</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CID002539</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Materion Newton Inc.</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CID002548</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Metallurgical Products India Pvt.,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CID001163</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Mineracao Taboca S.A.</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CID001175</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Mitsui Mining and Smelting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CID001192</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Ningxia Orient Tantalum Industry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CID001277</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NPM Silmet AS</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ESTONIA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CID001200</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QuantumClean</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CID001508</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Resind Industria e Comercio Ltda.</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CID002707</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RFH Yancheng Jinye New Material Technology Co., Ltd.</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CID003583</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Taki Chemical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CID001869</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TANIOBIS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CID002544</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TANIOBIS GmbH</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CID002545</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TANIOBIS Japan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CID002549</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TANIOBIS Smelting GmbH &amp; Co. KG</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CID002550</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Telex Metals</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CID001891</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Ulba Metallurgical Plant JSC</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CID001969</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XIMEI RESOURCES (GUANGDONG) LIMITED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CID000616</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XinXing HaoRong Electronic Material Co., Ltd.</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CID002508</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Tantalum</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Yanling Jincheng Tantalum &amp; Niobium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CID001522</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Alpha</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CID000292</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 Vinh Joint Stock Mineral Processing Company</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CID002703</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Aurubis Beerse</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CID002773</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Aurubis Berango</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CID002774</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Chenzhou Yunxiang Mining and Metallurgy Co., Ltd.</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CID000228</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Chifeng Dajingzi Tin Industry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CID003190</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 Tin Group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CID001070</w:t>
            </w:r>
          </w:p>
        </w:tc>
      </w:tr>
      <w:tr>
        <w:trPr>
          <w:trHeight w:val="229"/>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CRM Fundicao De Metais E Comercio De Equipamentos</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CID003486</w:t>
            </w:r>
          </w:p>
        </w:tc>
      </w:tr>
      <w:tr>
        <w:trPr>
          <w:trHeight w:val="237"/>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Eletronicos Do Brasil Ltda</w:t>
            </w:r>
          </w:p>
        </w:tc>
        <w:tc>
          <w:tcPr>
            <w:tcW w:w="3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CRM Synergies</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CID003524</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CV Ayi Jaya</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CID002570</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CV Venus Inti Perkasa</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CID002455</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6"/>
              </w:rPr>
              <w:t>Dongguan CiEXPO Environmental Engineering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CID003356</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Dowa</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CID000402</w:t>
            </w:r>
          </w:p>
        </w:tc>
      </w:tr>
      <w:tr>
        <w:trPr>
          <w:trHeight w:val="229"/>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Electro-Mechanical Facility of the Cao Bang Minerals &amp;</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CID002572</w:t>
            </w:r>
          </w:p>
        </w:tc>
      </w:tr>
      <w:tr>
        <w:trPr>
          <w:trHeight w:val="237"/>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Metallurgy Joint Stock Company</w:t>
            </w:r>
          </w:p>
        </w:tc>
        <w:tc>
          <w:tcPr>
            <w:tcW w:w="3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EM Vinto</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BOLIVIA (PLURINATIONAL STATE OF)</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CID000438</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Estanho de Rondonia S.A.</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CID000448</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844"/>
        </w:trPr>
        <w:tc>
          <w:tcPr>
            <w:tcW w:w="1600" w:type="dxa"/>
            <w:vAlign w:val="bottom"/>
          </w:tcPr>
          <w:p>
            <w:pPr>
              <w:spacing w:after="0"/>
              <w:rPr>
                <w:sz w:val="24"/>
                <w:szCs w:val="24"/>
                <w:color w:val="auto"/>
              </w:rPr>
            </w:pPr>
          </w:p>
        </w:tc>
        <w:tc>
          <w:tcPr>
            <w:tcW w:w="4380" w:type="dxa"/>
            <w:vAlign w:val="bottom"/>
          </w:tcPr>
          <w:p>
            <w:pPr>
              <w:ind w:left="3980"/>
              <w:spacing w:after="0"/>
              <w:rPr>
                <w:sz w:val="20"/>
                <w:szCs w:val="20"/>
                <w:color w:val="auto"/>
              </w:rPr>
            </w:pPr>
            <w:r>
              <w:rPr>
                <w:rFonts w:ascii="Arial" w:cs="Arial" w:eastAsia="Arial" w:hAnsi="Arial"/>
                <w:sz w:val="18"/>
                <w:szCs w:val="18"/>
                <w:color w:val="auto"/>
              </w:rPr>
              <w:t>9</w:t>
            </w:r>
          </w:p>
        </w:tc>
        <w:tc>
          <w:tcPr>
            <w:tcW w:w="34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600" w:type="dxa"/>
            <w:vAlign w:val="bottom"/>
            <w:tcBorders>
              <w:top w:val="single" w:sz="8" w:color="auto"/>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Fabrica Auricchio Industria e Comercio Ltda.</w:t>
            </w:r>
          </w:p>
        </w:tc>
        <w:tc>
          <w:tcPr>
            <w:tcW w:w="480" w:type="dxa"/>
            <w:vAlign w:val="bottom"/>
            <w:tcBorders>
              <w:top w:val="single" w:sz="8" w:color="auto"/>
              <w:bottom w:val="single" w:sz="8" w:color="auto"/>
              <w:right w:val="single" w:sz="8" w:color="auto"/>
            </w:tcBorders>
          </w:tcPr>
          <w:p>
            <w:pPr>
              <w:spacing w:after="0"/>
              <w:rPr>
                <w:sz w:val="22"/>
                <w:szCs w:val="22"/>
                <w:color w:val="auto"/>
              </w:rPr>
            </w:pPr>
          </w:p>
        </w:tc>
        <w:tc>
          <w:tcPr>
            <w:tcW w:w="34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46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CID003582</w:t>
            </w:r>
          </w:p>
        </w:tc>
      </w:tr>
      <w:tr>
        <w:trPr>
          <w:trHeight w:val="243"/>
        </w:trPr>
        <w:tc>
          <w:tcPr>
            <w:tcW w:w="160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Pr>
          <w:p>
            <w:pPr>
              <w:spacing w:after="0"/>
              <w:rPr>
                <w:sz w:val="20"/>
                <w:szCs w:val="20"/>
                <w:color w:val="auto"/>
              </w:rPr>
            </w:pPr>
            <w:r>
              <w:rPr>
                <w:rFonts w:ascii="Arial" w:cs="Arial" w:eastAsia="Arial" w:hAnsi="Arial"/>
                <w:sz w:val="18"/>
                <w:szCs w:val="18"/>
                <w:color w:val="auto"/>
              </w:rPr>
              <w:t>Fenix Metals</w:t>
            </w:r>
          </w:p>
        </w:tc>
        <w:tc>
          <w:tcPr>
            <w:tcW w:w="48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POLAND</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CID000468</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Gejiu City Fuxiang Industry and Trade Co., Ltd.</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CID003410</w:t>
            </w:r>
          </w:p>
        </w:tc>
      </w:tr>
      <w:tr>
        <w:trPr>
          <w:trHeight w:val="250"/>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Gejiu Kai Meng Industry and Trade LLC</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CID000942</w:t>
            </w:r>
          </w:p>
        </w:tc>
      </w:tr>
      <w:tr>
        <w:trPr>
          <w:trHeight w:val="243"/>
        </w:trPr>
        <w:tc>
          <w:tcPr>
            <w:tcW w:w="160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Pr>
          <w:p>
            <w:pPr>
              <w:spacing w:after="0"/>
              <w:rPr>
                <w:sz w:val="20"/>
                <w:szCs w:val="20"/>
                <w:color w:val="auto"/>
              </w:rPr>
            </w:pPr>
            <w:r>
              <w:rPr>
                <w:rFonts w:ascii="Arial" w:cs="Arial" w:eastAsia="Arial" w:hAnsi="Arial"/>
                <w:sz w:val="18"/>
                <w:szCs w:val="18"/>
                <w:color w:val="auto"/>
              </w:rPr>
              <w:t>Gejiu Non-Ferrous Metal Processing Co., Ltd.</w:t>
            </w:r>
          </w:p>
        </w:tc>
        <w:tc>
          <w:tcPr>
            <w:tcW w:w="48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CID000538</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Gejiu Yunxin Nonferrous Electrolysis Co., Ltd.</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CID001908</w:t>
            </w:r>
          </w:p>
        </w:tc>
      </w:tr>
      <w:tr>
        <w:trPr>
          <w:trHeight w:val="250"/>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Gejiu Zili Mining And Metallurgy Co., Ltd.</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CID000555</w:t>
            </w:r>
          </w:p>
        </w:tc>
      </w:tr>
      <w:tr>
        <w:trPr>
          <w:trHeight w:val="243"/>
        </w:trPr>
        <w:tc>
          <w:tcPr>
            <w:tcW w:w="160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Pr>
          <w:p>
            <w:pPr>
              <w:spacing w:after="0"/>
              <w:rPr>
                <w:sz w:val="20"/>
                <w:szCs w:val="20"/>
                <w:color w:val="auto"/>
              </w:rPr>
            </w:pPr>
            <w:r>
              <w:rPr>
                <w:rFonts w:ascii="Arial" w:cs="Arial" w:eastAsia="Arial" w:hAnsi="Arial"/>
                <w:sz w:val="18"/>
                <w:szCs w:val="18"/>
                <w:color w:val="auto"/>
              </w:rPr>
              <w:t>Guangdong Hanhe Non-Ferrous Metal Co., Ltd.</w:t>
            </w:r>
          </w:p>
        </w:tc>
        <w:tc>
          <w:tcPr>
            <w:tcW w:w="48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CID003116</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Jiangxi New Nanshan Technology Ltd.</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CID001231</w:t>
            </w:r>
          </w:p>
        </w:tc>
      </w:tr>
      <w:tr>
        <w:trPr>
          <w:trHeight w:val="250"/>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Luna Smelter, Ltd.</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RWANDA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CID003387</w:t>
            </w:r>
          </w:p>
        </w:tc>
      </w:tr>
      <w:tr>
        <w:trPr>
          <w:trHeight w:val="243"/>
        </w:trPr>
        <w:tc>
          <w:tcPr>
            <w:tcW w:w="160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Pr>
          <w:p>
            <w:pPr>
              <w:spacing w:after="0"/>
              <w:rPr>
                <w:sz w:val="20"/>
                <w:szCs w:val="20"/>
                <w:color w:val="auto"/>
              </w:rPr>
            </w:pPr>
            <w:r>
              <w:rPr>
                <w:rFonts w:ascii="Arial" w:cs="Arial" w:eastAsia="Arial" w:hAnsi="Arial"/>
                <w:sz w:val="18"/>
                <w:szCs w:val="18"/>
                <w:color w:val="auto"/>
              </w:rPr>
              <w:t>Magnu's Minerais Metais e Ligas Ltda.</w:t>
            </w:r>
          </w:p>
        </w:tc>
        <w:tc>
          <w:tcPr>
            <w:tcW w:w="48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CID002468</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Malaysia Smelting Corporation (MSC)</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MALAYSIA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CID001105</w:t>
            </w:r>
          </w:p>
        </w:tc>
      </w:tr>
      <w:tr>
        <w:trPr>
          <w:trHeight w:val="250"/>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Melt Metais e Ligas S.A.</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CID002500</w:t>
            </w:r>
          </w:p>
        </w:tc>
      </w:tr>
      <w:tr>
        <w:trPr>
          <w:trHeight w:val="243"/>
        </w:trPr>
        <w:tc>
          <w:tcPr>
            <w:tcW w:w="160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Pr>
          <w:p>
            <w:pPr>
              <w:spacing w:after="0"/>
              <w:rPr>
                <w:sz w:val="20"/>
                <w:szCs w:val="20"/>
                <w:color w:val="auto"/>
              </w:rPr>
            </w:pPr>
            <w:r>
              <w:rPr>
                <w:rFonts w:ascii="Arial" w:cs="Arial" w:eastAsia="Arial" w:hAnsi="Arial"/>
                <w:sz w:val="18"/>
                <w:szCs w:val="18"/>
                <w:color w:val="auto"/>
              </w:rPr>
              <w:t>Metallic Resources, Inc.</w:t>
            </w:r>
          </w:p>
        </w:tc>
        <w:tc>
          <w:tcPr>
            <w:tcW w:w="48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CID001142</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Mineracao Taboca S.A.</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CID001173</w:t>
            </w:r>
          </w:p>
        </w:tc>
      </w:tr>
      <w:tr>
        <w:trPr>
          <w:trHeight w:val="250"/>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Minsur</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PERU</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CID001182</w:t>
            </w:r>
          </w:p>
        </w:tc>
      </w:tr>
      <w:tr>
        <w:trPr>
          <w:trHeight w:val="243"/>
        </w:trPr>
        <w:tc>
          <w:tcPr>
            <w:tcW w:w="160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Pr>
          <w:p>
            <w:pPr>
              <w:spacing w:after="0"/>
              <w:rPr>
                <w:sz w:val="20"/>
                <w:szCs w:val="20"/>
                <w:color w:val="auto"/>
              </w:rPr>
            </w:pPr>
            <w:r>
              <w:rPr>
                <w:rFonts w:ascii="Arial" w:cs="Arial" w:eastAsia="Arial" w:hAnsi="Arial"/>
                <w:sz w:val="18"/>
                <w:szCs w:val="18"/>
                <w:color w:val="auto"/>
              </w:rPr>
              <w:t>Mitsubishi Materials Corporation</w:t>
            </w:r>
          </w:p>
        </w:tc>
        <w:tc>
          <w:tcPr>
            <w:tcW w:w="48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CID001191</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Modeltech Sdn Bhd</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MALAYSIA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CID002858</w:t>
            </w:r>
          </w:p>
        </w:tc>
      </w:tr>
      <w:tr>
        <w:trPr>
          <w:trHeight w:val="250"/>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Nghe Tinh Non-Ferrous Metals Joint Stock Company</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VIETNAM</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CID002573</w:t>
            </w:r>
          </w:p>
        </w:tc>
      </w:tr>
      <w:tr>
        <w:trPr>
          <w:trHeight w:val="243"/>
        </w:trPr>
        <w:tc>
          <w:tcPr>
            <w:tcW w:w="160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Pr>
          <w:p>
            <w:pPr>
              <w:spacing w:after="0"/>
              <w:rPr>
                <w:sz w:val="20"/>
                <w:szCs w:val="20"/>
                <w:color w:val="auto"/>
              </w:rPr>
            </w:pPr>
            <w:r>
              <w:rPr>
                <w:rFonts w:ascii="Arial" w:cs="Arial" w:eastAsia="Arial" w:hAnsi="Arial"/>
                <w:sz w:val="18"/>
                <w:szCs w:val="18"/>
                <w:color w:val="auto"/>
              </w:rPr>
              <w:t>O.M. Manufacturing (Thailand) Co., Ltd.</w:t>
            </w:r>
          </w:p>
        </w:tc>
        <w:tc>
          <w:tcPr>
            <w:tcW w:w="48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THAILAND</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CID001314</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O.M. Manufacturing Philippines, Inc.</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PHILIPPINES</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CID002517</w:t>
            </w:r>
          </w:p>
        </w:tc>
      </w:tr>
      <w:tr>
        <w:trPr>
          <w:trHeight w:val="250"/>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Operaciones Metalurgicas S.A.</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BOLIVIA (PLURINATIONAL STATE OF)</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CID001337</w:t>
            </w:r>
          </w:p>
        </w:tc>
      </w:tr>
      <w:tr>
        <w:trPr>
          <w:trHeight w:val="243"/>
        </w:trPr>
        <w:tc>
          <w:tcPr>
            <w:tcW w:w="160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Pr>
          <w:p>
            <w:pPr>
              <w:spacing w:after="0"/>
              <w:rPr>
                <w:sz w:val="20"/>
                <w:szCs w:val="20"/>
                <w:color w:val="auto"/>
              </w:rPr>
            </w:pPr>
            <w:r>
              <w:rPr>
                <w:rFonts w:ascii="Arial" w:cs="Arial" w:eastAsia="Arial" w:hAnsi="Arial"/>
                <w:sz w:val="18"/>
                <w:szCs w:val="18"/>
                <w:color w:val="auto"/>
              </w:rPr>
              <w:t>Pongpipat Company Limited</w:t>
            </w:r>
          </w:p>
        </w:tc>
        <w:tc>
          <w:tcPr>
            <w:tcW w:w="48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MYANMAR</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CID003208</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Precious Minerals and Smelting Limited</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CID003409</w:t>
            </w:r>
          </w:p>
        </w:tc>
      </w:tr>
      <w:tr>
        <w:trPr>
          <w:trHeight w:val="250"/>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PT Aries Kencana Sejahtera</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CID000309</w:t>
            </w:r>
          </w:p>
        </w:tc>
      </w:tr>
      <w:tr>
        <w:trPr>
          <w:trHeight w:val="243"/>
        </w:trPr>
        <w:tc>
          <w:tcPr>
            <w:tcW w:w="160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Pr>
          <w:p>
            <w:pPr>
              <w:spacing w:after="0"/>
              <w:rPr>
                <w:sz w:val="20"/>
                <w:szCs w:val="20"/>
                <w:color w:val="auto"/>
              </w:rPr>
            </w:pPr>
            <w:r>
              <w:rPr>
                <w:rFonts w:ascii="Arial" w:cs="Arial" w:eastAsia="Arial" w:hAnsi="Arial"/>
                <w:sz w:val="18"/>
                <w:szCs w:val="18"/>
                <w:color w:val="auto"/>
              </w:rPr>
              <w:t>PT Artha Cipta Langgeng</w:t>
            </w:r>
          </w:p>
        </w:tc>
        <w:tc>
          <w:tcPr>
            <w:tcW w:w="48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CID001399</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PT ATD Makmur Mandiri Jaya</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CID002503</w:t>
            </w:r>
          </w:p>
        </w:tc>
      </w:tr>
      <w:tr>
        <w:trPr>
          <w:trHeight w:val="250"/>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PT Babel Inti Perkasa</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CID001402</w:t>
            </w:r>
          </w:p>
        </w:tc>
      </w:tr>
      <w:tr>
        <w:trPr>
          <w:trHeight w:val="243"/>
        </w:trPr>
        <w:tc>
          <w:tcPr>
            <w:tcW w:w="160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Pr>
          <w:p>
            <w:pPr>
              <w:spacing w:after="0"/>
              <w:rPr>
                <w:sz w:val="20"/>
                <w:szCs w:val="20"/>
                <w:color w:val="auto"/>
              </w:rPr>
            </w:pPr>
            <w:r>
              <w:rPr>
                <w:rFonts w:ascii="Arial" w:cs="Arial" w:eastAsia="Arial" w:hAnsi="Arial"/>
                <w:sz w:val="18"/>
                <w:szCs w:val="18"/>
                <w:color w:val="auto"/>
              </w:rPr>
              <w:t>PT Babel Surya Alam Lestari</w:t>
            </w:r>
          </w:p>
        </w:tc>
        <w:tc>
          <w:tcPr>
            <w:tcW w:w="48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CID001406</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PT Bangka Prima Tin</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CID002776</w:t>
            </w:r>
          </w:p>
        </w:tc>
      </w:tr>
      <w:tr>
        <w:trPr>
          <w:trHeight w:val="250"/>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PT Bangka Serumpun</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CID003205</w:t>
            </w:r>
          </w:p>
        </w:tc>
      </w:tr>
      <w:tr>
        <w:trPr>
          <w:trHeight w:val="243"/>
        </w:trPr>
        <w:tc>
          <w:tcPr>
            <w:tcW w:w="160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Pr>
          <w:p>
            <w:pPr>
              <w:spacing w:after="0"/>
              <w:rPr>
                <w:sz w:val="20"/>
                <w:szCs w:val="20"/>
                <w:color w:val="auto"/>
              </w:rPr>
            </w:pPr>
            <w:r>
              <w:rPr>
                <w:rFonts w:ascii="Arial" w:cs="Arial" w:eastAsia="Arial" w:hAnsi="Arial"/>
                <w:sz w:val="18"/>
                <w:szCs w:val="18"/>
                <w:color w:val="auto"/>
              </w:rPr>
              <w:t>PT Bangka Tin Industry</w:t>
            </w:r>
          </w:p>
        </w:tc>
        <w:tc>
          <w:tcPr>
            <w:tcW w:w="48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CID001419</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PT Belitung Industri Sejahtera</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CID001421</w:t>
            </w:r>
          </w:p>
        </w:tc>
      </w:tr>
      <w:tr>
        <w:trPr>
          <w:trHeight w:val="250"/>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PT Bukit Timah</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CID001428</w:t>
            </w:r>
          </w:p>
        </w:tc>
      </w:tr>
      <w:tr>
        <w:trPr>
          <w:trHeight w:val="250"/>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PT Cipta Persada Mulia</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CID002696</w:t>
            </w:r>
          </w:p>
        </w:tc>
      </w:tr>
      <w:tr>
        <w:trPr>
          <w:trHeight w:val="243"/>
        </w:trPr>
        <w:tc>
          <w:tcPr>
            <w:tcW w:w="160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Pr>
          <w:p>
            <w:pPr>
              <w:spacing w:after="0"/>
              <w:rPr>
                <w:sz w:val="20"/>
                <w:szCs w:val="20"/>
                <w:color w:val="auto"/>
              </w:rPr>
            </w:pPr>
            <w:r>
              <w:rPr>
                <w:rFonts w:ascii="Arial" w:cs="Arial" w:eastAsia="Arial" w:hAnsi="Arial"/>
                <w:sz w:val="18"/>
                <w:szCs w:val="18"/>
                <w:color w:val="auto"/>
              </w:rPr>
              <w:t>PT Menara Cipta Mulia</w:t>
            </w:r>
          </w:p>
        </w:tc>
        <w:tc>
          <w:tcPr>
            <w:tcW w:w="48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CID002835</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PT Mitra Stania Prima</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CID001453</w:t>
            </w:r>
          </w:p>
        </w:tc>
      </w:tr>
      <w:tr>
        <w:trPr>
          <w:trHeight w:val="250"/>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PT Mitra Sukses Globalindo</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CID003449</w:t>
            </w:r>
          </w:p>
        </w:tc>
      </w:tr>
      <w:tr>
        <w:trPr>
          <w:trHeight w:val="243"/>
        </w:trPr>
        <w:tc>
          <w:tcPr>
            <w:tcW w:w="160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Pr>
          <w:p>
            <w:pPr>
              <w:spacing w:after="0"/>
              <w:rPr>
                <w:sz w:val="20"/>
                <w:szCs w:val="20"/>
                <w:color w:val="auto"/>
              </w:rPr>
            </w:pPr>
            <w:r>
              <w:rPr>
                <w:rFonts w:ascii="Arial" w:cs="Arial" w:eastAsia="Arial" w:hAnsi="Arial"/>
                <w:sz w:val="18"/>
                <w:szCs w:val="18"/>
                <w:color w:val="auto"/>
              </w:rPr>
              <w:t>PT Panca Mega Persada</w:t>
            </w:r>
          </w:p>
        </w:tc>
        <w:tc>
          <w:tcPr>
            <w:tcW w:w="48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CID001457</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Tin</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PT Premium Tin Indonesia</w:t>
            </w:r>
          </w:p>
        </w:tc>
        <w:tc>
          <w:tcPr>
            <w:tcW w:w="48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CID000313</w:t>
            </w:r>
          </w:p>
        </w:tc>
      </w:tr>
      <w:tr>
        <w:trPr>
          <w:trHeight w:val="864"/>
        </w:trPr>
        <w:tc>
          <w:tcPr>
            <w:tcW w:w="16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80" w:type="dxa"/>
            <w:vAlign w:val="bottom"/>
          </w:tcPr>
          <w:p>
            <w:pPr>
              <w:jc w:val="right"/>
              <w:ind w:right="170"/>
              <w:spacing w:after="0"/>
              <w:rPr>
                <w:sz w:val="20"/>
                <w:szCs w:val="20"/>
                <w:color w:val="auto"/>
              </w:rPr>
            </w:pPr>
            <w:r>
              <w:rPr>
                <w:rFonts w:ascii="Arial" w:cs="Arial" w:eastAsia="Arial" w:hAnsi="Arial"/>
                <w:sz w:val="18"/>
                <w:szCs w:val="18"/>
                <w:color w:val="auto"/>
                <w:w w:val="99"/>
              </w:rPr>
              <w:t>10</w:t>
            </w:r>
          </w:p>
        </w:tc>
        <w:tc>
          <w:tcPr>
            <w:tcW w:w="34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Prima Timah Utama</w:t>
            </w:r>
          </w:p>
        </w:tc>
        <w:tc>
          <w:tcPr>
            <w:tcW w:w="34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6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CID001458</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PT Putera Sarana Shakti (PT PSS)</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CID003868</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Rajawali Rimba Perkasa</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CID003381</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Refined Bangka Tin</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CID001460</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PT Sariwiguna Binasentosa</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CID001463</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Stanindo Inti Perkasa</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CID001468</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Sukses Inti Makmur</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CID002816</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PT Timah Nusantara</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CID001486</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Timah Tbk Kundur</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CID001477</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Timah Tbk Mentok</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CID001482</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PT Tinindo Inter Nusa</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CID001490</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Tirus Putra Mandiri</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CID002478</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Tommy Utama</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CID001493</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Resind Industria e Comercio Ltda.</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CID002706</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Rui Da Hung</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CID001539</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Super Ligas</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CID002756</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Thaisarco</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CID001898</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 Smelting Branch of Yunnan Tin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CID002180</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 Technology &amp; Refining</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CID003325</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Tuyen Quang Non-Ferrous Metals Joint Stock Company</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CID002574</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VQB Mineral and Trading Group JSC</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CID002015</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White Solder Metalurgia e Mineracao Ltda.</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CID002036</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Yunnan Chengfeng Non-ferrous Metals Co., Ltd.</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CID002158</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Tin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Yunnan Yunfan Non-ferrous Metals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CID003397</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A.L.M.T. Corp.</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CID000004</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ACL Metais Eireli</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CID002833</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1"/>
              </w:rPr>
              <w:t>Albasteel Industria e Comercio de Ligas Para Fundicao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CID003427</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Asia Tungsten Products Vietnam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CID002502</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 Molybdenum Tungsten Co., Ltd.</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CID002641</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Chongyi Zhangyuan Tungsten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CID000258</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CNMC (Guangxi) PGMA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CID000281</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Cronimet Brasil Ltda</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CID003468</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Fujian Ganmin RareMetal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CID003401</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Fujian Xinlu Tungsten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CID003609</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Ganzhou Haichuang Tungsten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CID002645</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Ganzhou Huaxing Tungsten Products Co., Ltd.</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CID000875</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Ganzhou Jiangwu Ferrotungsten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CID002315</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Ganzhou Seadragon W &amp; Mo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CID002494</w:t>
            </w:r>
          </w:p>
        </w:tc>
      </w:tr>
      <w:tr>
        <w:trPr>
          <w:trHeight w:val="24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Global Tungsten &amp; Powders LLC</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CID000568</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Guangdong Xianglu Tungsten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CID000218</w:t>
            </w:r>
          </w:p>
        </w:tc>
      </w:tr>
      <w:tr>
        <w:trPr>
          <w:trHeight w:val="250"/>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H.C. Starck Tungsten GmbH</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CID002541</w:t>
            </w:r>
          </w:p>
        </w:tc>
      </w:tr>
      <w:tr>
        <w:trPr>
          <w:trHeight w:val="864"/>
        </w:trPr>
        <w:tc>
          <w:tcPr>
            <w:tcW w:w="1600" w:type="dxa"/>
            <w:vAlign w:val="bottom"/>
          </w:tcPr>
          <w:p>
            <w:pPr>
              <w:spacing w:after="0"/>
              <w:rPr>
                <w:sz w:val="24"/>
                <w:szCs w:val="24"/>
                <w:color w:val="auto"/>
              </w:rPr>
            </w:pPr>
          </w:p>
        </w:tc>
        <w:tc>
          <w:tcPr>
            <w:tcW w:w="4380" w:type="dxa"/>
            <w:vAlign w:val="bottom"/>
          </w:tcPr>
          <w:p>
            <w:pPr>
              <w:ind w:left="3940"/>
              <w:spacing w:after="0"/>
              <w:rPr>
                <w:sz w:val="20"/>
                <w:szCs w:val="20"/>
                <w:color w:val="auto"/>
              </w:rPr>
            </w:pPr>
            <w:r>
              <w:rPr>
                <w:rFonts w:ascii="Arial" w:cs="Arial" w:eastAsia="Arial" w:hAnsi="Arial"/>
                <w:sz w:val="18"/>
                <w:szCs w:val="18"/>
                <w:color w:val="auto"/>
              </w:rPr>
              <w:t>11</w:t>
            </w:r>
          </w:p>
        </w:tc>
        <w:tc>
          <w:tcPr>
            <w:tcW w:w="34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600" w:type="dxa"/>
            <w:vAlign w:val="bottom"/>
            <w:tcBorders>
              <w:top w:val="single" w:sz="8" w:color="auto"/>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Hubei Green Tungsten Co., Ltd.</w:t>
            </w:r>
          </w:p>
        </w:tc>
        <w:tc>
          <w:tcPr>
            <w:tcW w:w="34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CID003417</w:t>
            </w:r>
          </w:p>
        </w:tc>
      </w:tr>
      <w:tr>
        <w:trPr>
          <w:trHeight w:val="243"/>
        </w:trPr>
        <w:tc>
          <w:tcPr>
            <w:tcW w:w="160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Hunan Chenzhou Mining Co., Ltd.</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CID000766</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Hunan Jintai New Material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CID000769</w:t>
            </w:r>
          </w:p>
        </w:tc>
      </w:tr>
      <w:tr>
        <w:trPr>
          <w:trHeight w:val="215"/>
        </w:trPr>
        <w:tc>
          <w:tcPr>
            <w:tcW w:w="160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Hunan Shizhuyuan Nonferrous Metals Co., Ltd. Chenzhou</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CID002513</w:t>
            </w:r>
          </w:p>
        </w:tc>
      </w:tr>
      <w:tr>
        <w:trPr>
          <w:trHeight w:val="230"/>
        </w:trPr>
        <w:tc>
          <w:tcPr>
            <w:tcW w:w="1600" w:type="dxa"/>
            <w:vAlign w:val="bottom"/>
            <w:tcBorders>
              <w:left w:val="single" w:sz="8" w:color="auto"/>
              <w:right w:val="single" w:sz="8" w:color="auto"/>
            </w:tcBorders>
          </w:tcPr>
          <w:p>
            <w:pPr>
              <w:spacing w:after="0"/>
              <w:rPr>
                <w:sz w:val="20"/>
                <w:szCs w:val="20"/>
                <w:color w:val="auto"/>
              </w:rPr>
            </w:pP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 Products Branch</w:t>
            </w:r>
          </w:p>
        </w:tc>
        <w:tc>
          <w:tcPr>
            <w:tcW w:w="346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 New Metals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CID000825</w:t>
            </w:r>
          </w:p>
        </w:tc>
      </w:tr>
      <w:tr>
        <w:trPr>
          <w:trHeight w:val="250"/>
        </w:trPr>
        <w:tc>
          <w:tcPr>
            <w:tcW w:w="160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Jiangwu H.C. Starck Tungsten Products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CID002551</w:t>
            </w:r>
          </w:p>
        </w:tc>
      </w:tr>
      <w:tr>
        <w:trPr>
          <w:trHeight w:val="243"/>
        </w:trPr>
        <w:tc>
          <w:tcPr>
            <w:tcW w:w="160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Jiangxi Gan Bei Tungsten Co., Ltd.</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CID002321</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Jiangxi Minmetals Gao'an Non-ferrous Metals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CID002313</w:t>
            </w:r>
          </w:p>
        </w:tc>
      </w:tr>
      <w:tr>
        <w:trPr>
          <w:trHeight w:val="215"/>
        </w:trPr>
        <w:tc>
          <w:tcPr>
            <w:tcW w:w="160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Jiangxi Tonggu Non-ferrous Metallurgical &amp; Chemical Co.,</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CID002318</w:t>
            </w:r>
          </w:p>
        </w:tc>
      </w:tr>
      <w:tr>
        <w:trPr>
          <w:trHeight w:val="230"/>
        </w:trPr>
        <w:tc>
          <w:tcPr>
            <w:tcW w:w="1600" w:type="dxa"/>
            <w:vAlign w:val="bottom"/>
            <w:tcBorders>
              <w:left w:val="single" w:sz="8" w:color="auto"/>
              <w:right w:val="single" w:sz="8" w:color="auto"/>
            </w:tcBorders>
          </w:tcPr>
          <w:p>
            <w:pPr>
              <w:spacing w:after="0"/>
              <w:rPr>
                <w:sz w:val="20"/>
                <w:szCs w:val="20"/>
                <w:color w:val="auto"/>
              </w:rPr>
            </w:pP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w:t>
            </w:r>
          </w:p>
        </w:tc>
        <w:tc>
          <w:tcPr>
            <w:tcW w:w="346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Jiangxi Xinsheng Tungsten Industry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CID002317</w:t>
            </w:r>
          </w:p>
        </w:tc>
      </w:tr>
      <w:tr>
        <w:trPr>
          <w:trHeight w:val="250"/>
        </w:trPr>
        <w:tc>
          <w:tcPr>
            <w:tcW w:w="160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Jiangxi Yaosheng Tungsten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CID002316</w:t>
            </w:r>
          </w:p>
        </w:tc>
      </w:tr>
      <w:tr>
        <w:trPr>
          <w:trHeight w:val="243"/>
        </w:trPr>
        <w:tc>
          <w:tcPr>
            <w:tcW w:w="160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Kennametal Fallon</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CID000966</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Kennametal Huntsville</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CID000105</w:t>
            </w:r>
          </w:p>
        </w:tc>
      </w:tr>
      <w:tr>
        <w:trPr>
          <w:trHeight w:val="250"/>
        </w:trPr>
        <w:tc>
          <w:tcPr>
            <w:tcW w:w="160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Lianyou Metals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CID003407</w:t>
            </w:r>
          </w:p>
        </w:tc>
      </w:tr>
      <w:tr>
        <w:trPr>
          <w:trHeight w:val="243"/>
        </w:trPr>
        <w:tc>
          <w:tcPr>
            <w:tcW w:w="160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Malipo Haiyu Tungsten Co., Ltd.</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CID002319</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Masan High-Tech Materials</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CID002543</w:t>
            </w:r>
          </w:p>
        </w:tc>
      </w:tr>
      <w:tr>
        <w:trPr>
          <w:trHeight w:val="250"/>
        </w:trPr>
        <w:tc>
          <w:tcPr>
            <w:tcW w:w="160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Niagara Refining LLC</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CID002589</w:t>
            </w:r>
          </w:p>
        </w:tc>
      </w:tr>
      <w:tr>
        <w:trPr>
          <w:trHeight w:val="243"/>
        </w:trPr>
        <w:tc>
          <w:tcPr>
            <w:tcW w:w="160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Philippine Chuangxin Industrial Co., Inc.</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CID002827</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4"/>
        </w:trPr>
        <w:tc>
          <w:tcPr>
            <w:tcW w:w="160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TANIOBIS Smelting GmbH &amp; Co. KG</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CID002542</w:t>
            </w:r>
          </w:p>
        </w:tc>
      </w:tr>
      <w:tr>
        <w:trPr>
          <w:trHeight w:val="250"/>
        </w:trPr>
        <w:tc>
          <w:tcPr>
            <w:tcW w:w="160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Wolfram Bergbau und Hutten AG</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AUSTRIA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CID002044</w:t>
            </w:r>
          </w:p>
        </w:tc>
      </w:tr>
      <w:tr>
        <w:trPr>
          <w:trHeight w:val="243"/>
        </w:trPr>
        <w:tc>
          <w:tcPr>
            <w:tcW w:w="160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Xiamen Tungsten (H.C.) Co., Ltd.</w:t>
            </w: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CID002320</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43"/>
        </w:trPr>
        <w:tc>
          <w:tcPr>
            <w:tcW w:w="160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Tungsten</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Xiamen Tungsten Co., Ltd.</w:t>
            </w: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CID002082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320" w:top="916" w:right="679" w:bottom="1440" w:gutter="0" w:footer="0" w:header="0"/>
        </w:sectPr>
      </w:pPr>
    </w:p>
    <w:bookmarkStart w:id="15" w:name="page16"/>
    <w:bookmarkEnd w:id="15"/>
    <w:tbl>
      <w:tblPr>
        <w:tblLayout w:type="fixed"/>
        <w:tblInd w:w="183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4820" w:type="dxa"/>
            <w:vAlign w:val="bottom"/>
            <w:gridSpan w:val="2"/>
          </w:tcPr>
          <w:p>
            <w:pPr>
              <w:jc w:val="center"/>
              <w:ind w:right="2730"/>
              <w:spacing w:after="0"/>
              <w:rPr>
                <w:sz w:val="20"/>
                <w:szCs w:val="20"/>
                <w:color w:val="auto"/>
              </w:rPr>
            </w:pPr>
            <w:r>
              <w:rPr>
                <w:rFonts w:ascii="Arial" w:cs="Arial" w:eastAsia="Arial" w:hAnsi="Arial"/>
                <w:sz w:val="18"/>
                <w:szCs w:val="18"/>
                <w:b w:val="1"/>
                <w:bCs w:val="1"/>
                <w:color w:val="auto"/>
                <w:w w:val="90"/>
              </w:rPr>
              <w:t>Appendix 2</w:t>
            </w:r>
          </w:p>
        </w:tc>
      </w:tr>
      <w:tr>
        <w:trPr>
          <w:trHeight w:val="459"/>
        </w:trPr>
        <w:tc>
          <w:tcPr>
            <w:tcW w:w="2800" w:type="dxa"/>
            <w:vAlign w:val="bottom"/>
          </w:tcPr>
          <w:p>
            <w:pPr>
              <w:spacing w:after="0"/>
              <w:rPr>
                <w:sz w:val="24"/>
                <w:szCs w:val="24"/>
                <w:color w:val="auto"/>
              </w:rPr>
            </w:pPr>
          </w:p>
        </w:tc>
        <w:tc>
          <w:tcPr>
            <w:tcW w:w="4820" w:type="dxa"/>
            <w:vAlign w:val="bottom"/>
            <w:gridSpan w:val="2"/>
          </w:tcPr>
          <w:p>
            <w:pPr>
              <w:jc w:val="center"/>
              <w:ind w:right="2730"/>
              <w:spacing w:after="0"/>
              <w:rPr>
                <w:sz w:val="20"/>
                <w:szCs w:val="20"/>
                <w:color w:val="auto"/>
              </w:rPr>
            </w:pPr>
            <w:r>
              <w:rPr>
                <w:rFonts w:ascii="Arial" w:cs="Arial" w:eastAsia="Arial" w:hAnsi="Arial"/>
                <w:sz w:val="18"/>
                <w:szCs w:val="18"/>
                <w:b w:val="1"/>
                <w:bCs w:val="1"/>
                <w:color w:val="auto"/>
                <w:w w:val="93"/>
              </w:rPr>
              <w:t>Countries of Origin*</w:t>
            </w:r>
          </w:p>
        </w:tc>
      </w:tr>
      <w:tr>
        <w:trPr>
          <w:trHeight w:val="122"/>
        </w:trPr>
        <w:tc>
          <w:tcPr>
            <w:tcW w:w="28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r>
      <w:tr>
        <w:trPr>
          <w:trHeight w:val="223"/>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Australia</w:t>
            </w:r>
          </w:p>
        </w:tc>
        <w:tc>
          <w:tcPr>
            <w:tcW w:w="760" w:type="dxa"/>
            <w:vAlign w:val="bottom"/>
            <w:tcBorders>
              <w:bottom w:val="single" w:sz="8" w:color="auto"/>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Mozambique</w:t>
            </w:r>
          </w:p>
        </w:tc>
      </w:tr>
      <w:tr>
        <w:trPr>
          <w:trHeight w:val="223"/>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Austria</w:t>
            </w:r>
          </w:p>
        </w:tc>
        <w:tc>
          <w:tcPr>
            <w:tcW w:w="760" w:type="dxa"/>
            <w:vAlign w:val="bottom"/>
            <w:tcBorders>
              <w:bottom w:val="single" w:sz="8" w:color="auto"/>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Myanmar</w:t>
            </w:r>
          </w:p>
        </w:tc>
      </w:tr>
      <w:tr>
        <w:trPr>
          <w:trHeight w:val="230"/>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Benin</w:t>
            </w:r>
          </w:p>
        </w:tc>
        <w:tc>
          <w:tcPr>
            <w:tcW w:w="760" w:type="dxa"/>
            <w:vAlign w:val="bottom"/>
            <w:tcBorders>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Namibia</w:t>
            </w:r>
          </w:p>
        </w:tc>
      </w:tr>
      <w:tr>
        <w:trPr>
          <w:trHeight w:val="229"/>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Bolivia (Plurinational State of)</w:t>
            </w:r>
          </w:p>
        </w:tc>
        <w:tc>
          <w:tcPr>
            <w:tcW w:w="760" w:type="dxa"/>
            <w:vAlign w:val="bottom"/>
            <w:tcBorders>
              <w:bottom w:val="single" w:sz="8" w:color="auto"/>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Nicaragua</w:t>
            </w:r>
          </w:p>
        </w:tc>
      </w:tr>
      <w:tr>
        <w:trPr>
          <w:trHeight w:val="223"/>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760" w:type="dxa"/>
            <w:vAlign w:val="bottom"/>
            <w:tcBorders>
              <w:bottom w:val="single" w:sz="8" w:color="auto"/>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Niger</w:t>
            </w:r>
          </w:p>
        </w:tc>
      </w:tr>
      <w:tr>
        <w:trPr>
          <w:trHeight w:val="230"/>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Burundi</w:t>
            </w:r>
          </w:p>
        </w:tc>
        <w:tc>
          <w:tcPr>
            <w:tcW w:w="760" w:type="dxa"/>
            <w:vAlign w:val="bottom"/>
            <w:tcBorders>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Nigeria</w:t>
            </w:r>
          </w:p>
        </w:tc>
      </w:tr>
      <w:tr>
        <w:trPr>
          <w:trHeight w:val="229"/>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760" w:type="dxa"/>
            <w:vAlign w:val="bottom"/>
            <w:tcBorders>
              <w:bottom w:val="single" w:sz="8" w:color="auto"/>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Papua New Guinea</w:t>
            </w:r>
          </w:p>
        </w:tc>
      </w:tr>
      <w:tr>
        <w:trPr>
          <w:trHeight w:val="223"/>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Chile</w:t>
            </w:r>
          </w:p>
        </w:tc>
        <w:tc>
          <w:tcPr>
            <w:tcW w:w="760" w:type="dxa"/>
            <w:vAlign w:val="bottom"/>
            <w:tcBorders>
              <w:bottom w:val="single" w:sz="8" w:color="auto"/>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Peru</w:t>
            </w:r>
          </w:p>
        </w:tc>
      </w:tr>
      <w:tr>
        <w:trPr>
          <w:trHeight w:val="230"/>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760" w:type="dxa"/>
            <w:vAlign w:val="bottom"/>
            <w:tcBorders>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r>
      <w:tr>
        <w:trPr>
          <w:trHeight w:val="229"/>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Chinese Taipei</w:t>
            </w:r>
          </w:p>
        </w:tc>
        <w:tc>
          <w:tcPr>
            <w:tcW w:w="760" w:type="dxa"/>
            <w:vAlign w:val="bottom"/>
            <w:tcBorders>
              <w:bottom w:val="single" w:sz="8" w:color="auto"/>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Portugal</w:t>
            </w:r>
          </w:p>
        </w:tc>
      </w:tr>
      <w:tr>
        <w:trPr>
          <w:trHeight w:val="223"/>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Colombia</w:t>
            </w:r>
          </w:p>
        </w:tc>
        <w:tc>
          <w:tcPr>
            <w:tcW w:w="760" w:type="dxa"/>
            <w:vAlign w:val="bottom"/>
            <w:tcBorders>
              <w:bottom w:val="single" w:sz="8" w:color="auto"/>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 **</w:t>
            </w:r>
          </w:p>
        </w:tc>
      </w:tr>
      <w:tr>
        <w:trPr>
          <w:trHeight w:val="230"/>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8"/>
              </w:rPr>
              <w:t>Congo, Democratic Republic of the</w:t>
            </w:r>
          </w:p>
        </w:tc>
        <w:tc>
          <w:tcPr>
            <w:tcW w:w="760" w:type="dxa"/>
            <w:vAlign w:val="bottom"/>
            <w:tcBorders>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Rwanda</w:t>
            </w:r>
          </w:p>
        </w:tc>
      </w:tr>
      <w:tr>
        <w:trPr>
          <w:trHeight w:val="229"/>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Ecuador</w:t>
            </w:r>
          </w:p>
        </w:tc>
        <w:tc>
          <w:tcPr>
            <w:tcW w:w="760" w:type="dxa"/>
            <w:vAlign w:val="bottom"/>
            <w:tcBorders>
              <w:bottom w:val="single" w:sz="8" w:color="auto"/>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Sierra Leone</w:t>
            </w:r>
          </w:p>
        </w:tc>
      </w:tr>
      <w:tr>
        <w:trPr>
          <w:trHeight w:val="223"/>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Eritrea</w:t>
            </w:r>
          </w:p>
        </w:tc>
        <w:tc>
          <w:tcPr>
            <w:tcW w:w="760" w:type="dxa"/>
            <w:vAlign w:val="bottom"/>
            <w:tcBorders>
              <w:bottom w:val="single" w:sz="8" w:color="auto"/>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r>
      <w:tr>
        <w:trPr>
          <w:trHeight w:val="230"/>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Ethiopia</w:t>
            </w:r>
          </w:p>
        </w:tc>
        <w:tc>
          <w:tcPr>
            <w:tcW w:w="760" w:type="dxa"/>
            <w:vAlign w:val="bottom"/>
            <w:tcBorders>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South Korea</w:t>
            </w:r>
          </w:p>
        </w:tc>
      </w:tr>
      <w:tr>
        <w:trPr>
          <w:trHeight w:val="229"/>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France</w:t>
            </w:r>
          </w:p>
        </w:tc>
        <w:tc>
          <w:tcPr>
            <w:tcW w:w="760" w:type="dxa"/>
            <w:vAlign w:val="bottom"/>
            <w:tcBorders>
              <w:bottom w:val="single" w:sz="8" w:color="auto"/>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Spain</w:t>
            </w:r>
          </w:p>
        </w:tc>
      </w:tr>
      <w:tr>
        <w:trPr>
          <w:trHeight w:val="223"/>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Ghana</w:t>
            </w:r>
          </w:p>
        </w:tc>
        <w:tc>
          <w:tcPr>
            <w:tcW w:w="760" w:type="dxa"/>
            <w:vAlign w:val="bottom"/>
            <w:tcBorders>
              <w:bottom w:val="single" w:sz="8" w:color="auto"/>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Swaziland</w:t>
            </w:r>
          </w:p>
        </w:tc>
      </w:tr>
      <w:tr>
        <w:trPr>
          <w:trHeight w:val="230"/>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Guinea</w:t>
            </w:r>
          </w:p>
        </w:tc>
        <w:tc>
          <w:tcPr>
            <w:tcW w:w="760" w:type="dxa"/>
            <w:vAlign w:val="bottom"/>
            <w:tcBorders>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Sweden</w:t>
            </w:r>
          </w:p>
        </w:tc>
      </w:tr>
      <w:tr>
        <w:trPr>
          <w:trHeight w:val="229"/>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Guyana</w:t>
            </w:r>
          </w:p>
        </w:tc>
        <w:tc>
          <w:tcPr>
            <w:tcW w:w="760" w:type="dxa"/>
            <w:vAlign w:val="bottom"/>
            <w:tcBorders>
              <w:bottom w:val="single" w:sz="8" w:color="auto"/>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Tanzania</w:t>
            </w:r>
          </w:p>
        </w:tc>
      </w:tr>
      <w:tr>
        <w:trPr>
          <w:trHeight w:val="223"/>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760" w:type="dxa"/>
            <w:vAlign w:val="bottom"/>
            <w:tcBorders>
              <w:bottom w:val="single" w:sz="8" w:color="auto"/>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Thailand</w:t>
            </w:r>
          </w:p>
        </w:tc>
      </w:tr>
      <w:tr>
        <w:trPr>
          <w:trHeight w:val="230"/>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760" w:type="dxa"/>
            <w:vAlign w:val="bottom"/>
            <w:tcBorders>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Uganda</w:t>
            </w:r>
          </w:p>
        </w:tc>
      </w:tr>
      <w:tr>
        <w:trPr>
          <w:trHeight w:val="229"/>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760" w:type="dxa"/>
            <w:vAlign w:val="bottom"/>
            <w:tcBorders>
              <w:bottom w:val="single" w:sz="8" w:color="auto"/>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United Kingdom of Great Britain and Northern Ireland</w:t>
            </w:r>
          </w:p>
        </w:tc>
      </w:tr>
      <w:tr>
        <w:trPr>
          <w:trHeight w:val="223"/>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Kyrgyzstan</w:t>
            </w:r>
          </w:p>
        </w:tc>
        <w:tc>
          <w:tcPr>
            <w:tcW w:w="760" w:type="dxa"/>
            <w:vAlign w:val="bottom"/>
            <w:tcBorders>
              <w:bottom w:val="single" w:sz="8" w:color="auto"/>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r>
      <w:tr>
        <w:trPr>
          <w:trHeight w:val="230"/>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Laos</w:t>
            </w:r>
          </w:p>
        </w:tc>
        <w:tc>
          <w:tcPr>
            <w:tcW w:w="760" w:type="dxa"/>
            <w:vAlign w:val="bottom"/>
            <w:tcBorders>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Uzbekistan</w:t>
            </w:r>
          </w:p>
        </w:tc>
      </w:tr>
      <w:tr>
        <w:trPr>
          <w:trHeight w:val="229"/>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Malaysia</w:t>
            </w:r>
          </w:p>
        </w:tc>
        <w:tc>
          <w:tcPr>
            <w:tcW w:w="760" w:type="dxa"/>
            <w:vAlign w:val="bottom"/>
            <w:tcBorders>
              <w:bottom w:val="single" w:sz="8" w:color="auto"/>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Vietnam</w:t>
            </w:r>
          </w:p>
        </w:tc>
      </w:tr>
      <w:tr>
        <w:trPr>
          <w:trHeight w:val="223"/>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Mexico</w:t>
            </w:r>
          </w:p>
        </w:tc>
        <w:tc>
          <w:tcPr>
            <w:tcW w:w="760" w:type="dxa"/>
            <w:vAlign w:val="bottom"/>
            <w:tcBorders>
              <w:bottom w:val="single" w:sz="8" w:color="auto"/>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Zimbabwe</w:t>
            </w:r>
          </w:p>
        </w:tc>
      </w:tr>
      <w:tr>
        <w:trPr>
          <w:trHeight w:val="230"/>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Mongolia</w:t>
            </w:r>
          </w:p>
        </w:tc>
        <w:tc>
          <w:tcPr>
            <w:tcW w:w="760" w:type="dxa"/>
            <w:vAlign w:val="bottom"/>
            <w:tcBorders>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spacing w:after="0"/>
              <w:rPr>
                <w:sz w:val="20"/>
                <w:szCs w:val="20"/>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22222"/>
        </w:rPr>
        <w:t>*The information provided in this list is based on supplier declarations. However, Brady is many steps removed from the mines and smelters, there are many tiers of suppliers in our supply chain, and there is uncertainty as to whether ore from these countries would be present in our supply chain. Brady continues to work with our suppliers, and use publicly available information as well as commercially available services to take corrective actions as needed to further improve our due diligence as it relates to supply chain transparency.</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22222"/>
        </w:rPr>
        <w:t>**The war in Ukraine and resulting U.S. government sanctions against Russia have impacted the information we have about, and the status of, certain Russian-based smelters. The Company does not source directly from Russia. Furthermore, since Russia invaded Ukraine in February 2022, we have halted new orders and shipments into and out of Russia and Belarus until further notice and in alignment with international sanctions. The inclusion of a country on the list of smelters is not a final indicator that the Company utilized materials sourced from this country.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9"/>
    </w:lvl>
  </w:abstractNum>
  <w:abstractNum w:abstractNumId="3">
    <w:nsid w:val="507ED7AB"/>
    <w:multiLevelType w:val="hybridMultilevel"/>
    <w:lvl w:ilvl="0">
      <w:lvlJc w:val="left"/>
      <w:lvlText w:val="%1."/>
      <w:numFmt w:val="upperLetter"/>
      <w:start w:val="35"/>
    </w:lvl>
  </w:abstractNum>
  <w:abstractNum w:abstractNumId="4">
    <w:nsid w:val="2EB141F2"/>
    <w:multiLevelType w:val="hybridMultilevel"/>
    <w:lvl w:ilvl="0">
      <w:lvlJc w:val="left"/>
      <w:lvlText w:val="%1."/>
      <w:numFmt w:val="upperLetter"/>
      <w:start w:val="6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2023-05-25T11:00:16Z</dcterms:created>
  <dcterms:modified xsi:type="dcterms:W3CDTF">2023-05-25T11:00:16Z</dcterms:modified>
</cp:coreProperties>
</file>