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82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82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5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PUNGELLO ELIZABETH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94 RED BUD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351"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CHAPEL HILL</w:t>
            </w:r>
          </w:p>
        </w:tc>
        <w:tc>
          <w:tcPr>
            <w:tcW w:w="920" w:type="dxa"/>
            <w:vAlign w:val="bottom"/>
          </w:tcPr>
          <w:p>
            <w:pPr>
              <w:ind w:left="80"/>
              <w:spacing w:after="0"/>
              <w:rPr>
                <w:sz w:val="20"/>
                <w:szCs w:val="20"/>
                <w:color w:val="auto"/>
              </w:rPr>
            </w:pPr>
            <w:r>
              <w:rPr>
                <w:rFonts w:ascii="Arial" w:cs="Arial" w:eastAsia="Arial" w:hAnsi="Arial"/>
                <w:sz w:val="18"/>
                <w:szCs w:val="18"/>
                <w:color w:val="0000FF"/>
              </w:rPr>
              <w:t>NC</w:t>
            </w:r>
          </w:p>
        </w:tc>
        <w:tc>
          <w:tcPr>
            <w:tcW w:w="1680" w:type="dxa"/>
            <w:vAlign w:val="bottom"/>
          </w:tcPr>
          <w:p>
            <w:pPr>
              <w:ind w:left="420"/>
              <w:spacing w:after="0"/>
              <w:rPr>
                <w:sz w:val="20"/>
                <w:szCs w:val="20"/>
                <w:color w:val="auto"/>
              </w:rPr>
            </w:pPr>
            <w:r>
              <w:rPr>
                <w:rFonts w:ascii="Arial" w:cs="Arial" w:eastAsia="Arial" w:hAnsi="Arial"/>
                <w:sz w:val="18"/>
                <w:szCs w:val="18"/>
                <w:color w:val="0000FF"/>
              </w:rPr>
              <w:t>27514</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35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w w:val="90"/>
              </w:rPr>
              <w:t>Class A Common Stock (Robert and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445,506</w:t>
            </w:r>
            <w:r>
              <w:rPr>
                <w:rFonts w:ascii="Arial" w:cs="Arial" w:eastAsia="Arial" w:hAnsi="Arial"/>
                <w:sz w:val="22"/>
                <w:szCs w:val="22"/>
                <w:color w:val="008000"/>
                <w:w w:val="84"/>
                <w:vertAlign w:val="superscript"/>
              </w:rPr>
              <w:t>(1)</w:t>
            </w:r>
          </w:p>
        </w:tc>
        <w:tc>
          <w:tcPr>
            <w:tcW w:w="380" w:type="dxa"/>
            <w:vAlign w:val="bottom"/>
          </w:tcPr>
          <w:p>
            <w:pPr>
              <w:spacing w:after="0"/>
              <w:rPr>
                <w:sz w:val="22"/>
                <w:szCs w:val="22"/>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D</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Elizabeth Pungello JTWROS)</w:t>
            </w: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820" w:type="dxa"/>
            <w:vAlign w:val="bottom"/>
            <w:tcBorders>
              <w:bottom w:val="single" w:sz="8" w:color="2C2C2C"/>
            </w:tcBorders>
            <w:gridSpan w:val="4"/>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Class B Common Stock (Brady Corporation</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1,769,304</w:t>
            </w:r>
            <w:r>
              <w:rPr>
                <w:rFonts w:ascii="Arial" w:cs="Arial" w:eastAsia="Arial" w:hAnsi="Arial"/>
                <w:sz w:val="22"/>
                <w:szCs w:val="22"/>
                <w:color w:val="008000"/>
                <w:w w:val="85"/>
                <w:vertAlign w:val="superscript"/>
              </w:rPr>
              <w:t>(2)</w:t>
            </w:r>
          </w:p>
        </w:tc>
        <w:tc>
          <w:tcPr>
            <w:tcW w:w="38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0"/>
              </w:rPr>
              <w:t>Class B Stock Trust)</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820" w:type="dxa"/>
            <w:vAlign w:val="bottom"/>
            <w:tcBorders>
              <w:bottom w:val="single" w:sz="8" w:color="2C2C2C"/>
            </w:tcBorders>
            <w:gridSpan w:val="4"/>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Class A Common Stock (EBL Inheritance</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35"/>
                <w:szCs w:val="35"/>
                <w:color w:val="0000FF"/>
                <w:w w:val="81"/>
                <w:vertAlign w:val="subscript"/>
              </w:rPr>
              <w:t>30</w:t>
            </w:r>
            <w:r>
              <w:rPr>
                <w:rFonts w:ascii="Arial" w:cs="Arial" w:eastAsia="Arial" w:hAnsi="Arial"/>
                <w:sz w:val="11"/>
                <w:szCs w:val="11"/>
                <w:color w:val="008000"/>
                <w:w w:val="81"/>
              </w:rPr>
              <w:t>(2)</w:t>
            </w:r>
          </w:p>
        </w:tc>
        <w:tc>
          <w:tcPr>
            <w:tcW w:w="38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Trust)</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820" w:type="dxa"/>
            <w:vAlign w:val="bottom"/>
            <w:tcBorders>
              <w:bottom w:val="single" w:sz="8" w:color="2C2C2C"/>
            </w:tcBorders>
            <w:gridSpan w:val="4"/>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Class A Common Stock (Elizabeth B. Lurie</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3"/>
              </w:rPr>
              <w:t>876,796</w:t>
            </w:r>
            <w:r>
              <w:rPr>
                <w:rFonts w:ascii="Arial" w:cs="Arial" w:eastAsia="Arial" w:hAnsi="Arial"/>
                <w:sz w:val="22"/>
                <w:szCs w:val="22"/>
                <w:color w:val="008000"/>
                <w:w w:val="83"/>
                <w:vertAlign w:val="superscript"/>
              </w:rPr>
              <w:t>(2)(3)</w:t>
            </w:r>
          </w:p>
        </w:tc>
        <w:tc>
          <w:tcPr>
            <w:tcW w:w="38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8"/>
                <w:szCs w:val="18"/>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Living Trust)</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820" w:type="dxa"/>
            <w:vAlign w:val="bottom"/>
            <w:tcBorders>
              <w:bottom w:val="single" w:sz="8" w:color="2C2C2C"/>
            </w:tcBorders>
            <w:gridSpan w:val="4"/>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8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Common Stock (EBL GRAT #3)</w:t>
            </w: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491"/>
              <w:spacing w:after="0" w:line="324" w:lineRule="exact"/>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(3)</w:t>
            </w:r>
          </w:p>
        </w:tc>
        <w:tc>
          <w:tcPr>
            <w:tcW w:w="5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I</w:t>
            </w:r>
          </w:p>
        </w:tc>
        <w:tc>
          <w:tcPr>
            <w:tcW w:w="10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Beneficiary</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40" w:type="dxa"/>
            <w:vAlign w:val="bottom"/>
            <w:gridSpan w:val="12"/>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20" w:type="dxa"/>
            <w:vAlign w:val="bottom"/>
            <w:gridSpan w:val="9"/>
          </w:tcPr>
          <w:p>
            <w:pPr>
              <w:ind w:left="62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4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ind w:left="200"/>
              <w:spacing w:after="0"/>
              <w:rPr>
                <w:sz w:val="20"/>
                <w:szCs w:val="20"/>
                <w:color w:val="auto"/>
              </w:rPr>
            </w:pPr>
            <w:r>
              <w:rPr>
                <w:rFonts w:ascii="Arial" w:cs="Arial" w:eastAsia="Arial" w:hAnsi="Arial"/>
                <w:sz w:val="18"/>
                <w:szCs w:val="18"/>
                <w:color w:val="0000FF"/>
              </w:rPr>
              <w:t>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color w:val="0000FF"/>
                <w:w w:val="79"/>
              </w:rPr>
              <w:t>2,067.0404</w:t>
            </w:r>
            <w:r>
              <w:rPr>
                <w:rFonts w:ascii="Arial" w:cs="Arial" w:eastAsia="Arial" w:hAnsi="Arial"/>
                <w:sz w:val="22"/>
                <w:szCs w:val="22"/>
                <w:color w:val="008000"/>
                <w:w w:val="79"/>
                <w:vertAlign w:val="superscript"/>
              </w:rPr>
              <w:t>(5)(6)</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Comp</w:t>
            </w:r>
          </w:p>
        </w:tc>
        <w:tc>
          <w:tcPr>
            <w:tcW w:w="8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6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Units</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to the extent jointly owned and this report shall not be deemed an admission that the reporting person is the beneficiary for Section 16 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non-derivative security is held by the filer as a beneficiary of the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Total reflects a transfer of 142,026 shares on May 13, 2009 from the EBL GRAT #3 to the Elizabeth B. Lurie Living Trust.</w:t>
      </w:r>
    </w:p>
    <w:p>
      <w:pPr>
        <w:spacing w:after="0" w:line="41" w:lineRule="exact"/>
        <w:rPr>
          <w:rFonts w:ascii="Arial" w:cs="Arial" w:eastAsia="Arial" w:hAnsi="Arial"/>
          <w:sz w:val="14"/>
          <w:szCs w:val="14"/>
          <w:color w:val="008000"/>
        </w:rPr>
      </w:pPr>
    </w:p>
    <w:p>
      <w:pPr>
        <w:ind w:left="40" w:right="2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Total reflects an increase of 40.0003 shares due to a mathematical error in prior form share total.</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10.9383 shares acquired on August 5, 2009 and 1.0251 shares acquired on August 31, 2009 under the company's deferred compensation dividend reinvestment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Barbara Bolens, as Attoney-In- </w:t>
      </w:r>
      <w:r>
        <w:rPr>
          <w:rFonts w:ascii="Arial" w:cs="Arial" w:eastAsia="Arial" w:hAnsi="Arial"/>
          <w:sz w:val="35"/>
          <w:szCs w:val="35"/>
          <w:color w:val="0000FF"/>
          <w:vertAlign w:val="subscript"/>
        </w:rPr>
        <w:t>09/30/2009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3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9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2019-12-18T12:14:23Z</dcterms:created>
  <dcterms:modified xsi:type="dcterms:W3CDTF">2019-12-18T12:14:23Z</dcterms:modified>
</cp:coreProperties>
</file>