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November 17,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-130175</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97"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1580" w:firstLine="389"/>
        <w:spacing w:after="0" w:line="264" w:lineRule="auto"/>
        <w:rPr>
          <w:sz w:val="20"/>
          <w:szCs w:val="20"/>
          <w:color w:val="auto"/>
        </w:rPr>
      </w:pPr>
      <w:r>
        <w:rPr>
          <w:rFonts w:ascii="Arial" w:cs="Arial" w:eastAsia="Arial" w:hAnsi="Arial"/>
          <w:sz w:val="18"/>
          <w:szCs w:val="18"/>
          <w:color w:val="auto"/>
        </w:rPr>
        <w:t>On November 18, 2011, Brady Corporation (the “Corporation”) issued a press release announcing its fiscal 2012 first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5.07 SUBMISSIONS OF MATTERS TO A VOTE OF SECURITY HOLDERS</w:t>
      </w:r>
    </w:p>
    <w:p>
      <w:pPr>
        <w:spacing w:after="0" w:line="185" w:lineRule="exact"/>
        <w:rPr>
          <w:sz w:val="20"/>
          <w:szCs w:val="20"/>
          <w:color w:val="auto"/>
        </w:rPr>
      </w:pPr>
    </w:p>
    <w:p>
      <w:pPr>
        <w:jc w:val="both"/>
        <w:ind w:left="340" w:right="1740" w:firstLine="389"/>
        <w:spacing w:after="0" w:line="286" w:lineRule="auto"/>
        <w:rPr>
          <w:sz w:val="20"/>
          <w:szCs w:val="20"/>
          <w:color w:val="auto"/>
        </w:rPr>
      </w:pPr>
      <w:r>
        <w:rPr>
          <w:rFonts w:ascii="Arial" w:cs="Arial" w:eastAsia="Arial" w:hAnsi="Arial"/>
          <w:sz w:val="17"/>
          <w:szCs w:val="17"/>
          <w:color w:val="auto"/>
        </w:rPr>
        <w:t>On November 17, 2011, at the Corporation’s Annual Shareholders’ Meeting, the holders of all of the 3,538,628 shares of the Corporation’s Class B Common Stock voted unanimously in favor of electing the following persons to serve as the Corporation’s directors until the next annual meeting of shareholders and until their successors have been elected: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Gary S. Balkema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Elizabeth P. Pungello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Bradley C. Richardson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8.01 OTHER EVENTS</w:t>
      </w:r>
    </w:p>
    <w:p>
      <w:pPr>
        <w:spacing w:after="0" w:line="185" w:lineRule="exact"/>
        <w:rPr>
          <w:sz w:val="20"/>
          <w:szCs w:val="20"/>
          <w:color w:val="auto"/>
        </w:rPr>
      </w:pPr>
    </w:p>
    <w:p>
      <w:pPr>
        <w:ind w:left="340" w:right="1400" w:firstLine="389"/>
        <w:spacing w:after="0" w:line="259" w:lineRule="auto"/>
        <w:rPr>
          <w:sz w:val="20"/>
          <w:szCs w:val="20"/>
          <w:color w:val="auto"/>
        </w:rPr>
      </w:pPr>
      <w:r>
        <w:rPr>
          <w:rFonts w:ascii="Arial" w:cs="Arial" w:eastAsia="Arial" w:hAnsi="Arial"/>
          <w:sz w:val="18"/>
          <w:szCs w:val="18"/>
          <w:color w:val="auto"/>
        </w:rPr>
        <w:t>At its annual meeting on November 17, 2011, the Corporation’s Board of Directors, upon the recommendation of its Corporate Governance Committee, designated Mr. Chan Galbato as Lead Independent Director. Consistent with the evolving role of independent board leadership and the enhanced responsibilities of the position, the Lead Independent Director’s annual compensation was established at $46,500.</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Press Release of Brady Corporation, dated November 18, 2011, relating to first quarter fiscal 2012 financial</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results.</w:t>
            </w:r>
          </w:p>
        </w:tc>
        <w:tc>
          <w:tcPr>
            <w:tcW w:w="13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2011</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234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12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Press Release of Brady Corporation, dated November 18, 2011, relating to first quarter fiscal 2012 financial</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2012 First Quarter Results</w:t>
      </w:r>
    </w:p>
    <w:p>
      <w:pPr>
        <w:spacing w:after="0" w:line="189"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MILWAUKEE (November 18, 2011)—Brady Corporation (NYSE: BRC), a world leader in identification solutions, today reported its financial results for the fiscal 2012 first quarter ended October 31, 2011.</w:t>
      </w:r>
    </w:p>
    <w:p>
      <w:pPr>
        <w:spacing w:after="0" w:line="130" w:lineRule="exact"/>
        <w:rPr>
          <w:sz w:val="20"/>
          <w:szCs w:val="20"/>
          <w:color w:val="auto"/>
        </w:rPr>
      </w:pPr>
    </w:p>
    <w:p>
      <w:pPr>
        <w:jc w:val="both"/>
        <w:ind w:right="499" w:firstLine="389"/>
        <w:spacing w:after="0" w:line="279" w:lineRule="auto"/>
        <w:rPr>
          <w:sz w:val="20"/>
          <w:szCs w:val="20"/>
          <w:color w:val="auto"/>
        </w:rPr>
      </w:pPr>
      <w:r>
        <w:rPr>
          <w:rFonts w:ascii="Arial" w:cs="Arial" w:eastAsia="Arial" w:hAnsi="Arial"/>
          <w:sz w:val="17"/>
          <w:szCs w:val="17"/>
          <w:color w:val="auto"/>
        </w:rPr>
        <w:t>Sales for the fiscal 2012 first quarter were up 6.0 percent to $349.5 million compared to $329.6 million in the first quarter of fiscal 2011. Organic sales increased by 3.5 percent, divestitures, net of acquisitions reduced sales by 0.2 percent, and the impact of foreign currency translation increased sales by 2.7 percent. By segment, organic sales increased 5.7 percent in the Americas, 3.7 percent in Europe, and organic sales declined 0.2 percent in the Asia-Pacific region.</w:t>
      </w:r>
    </w:p>
    <w:p>
      <w:pPr>
        <w:spacing w:after="0" w:line="144" w:lineRule="exact"/>
        <w:rPr>
          <w:sz w:val="20"/>
          <w:szCs w:val="20"/>
          <w:color w:val="auto"/>
        </w:rPr>
      </w:pPr>
    </w:p>
    <w:p>
      <w:pPr>
        <w:ind w:right="319" w:firstLine="389"/>
        <w:spacing w:after="0" w:line="291" w:lineRule="auto"/>
        <w:rPr>
          <w:sz w:val="20"/>
          <w:szCs w:val="20"/>
          <w:color w:val="auto"/>
        </w:rPr>
      </w:pPr>
      <w:r>
        <w:rPr>
          <w:rFonts w:ascii="Arial" w:cs="Arial" w:eastAsia="Arial" w:hAnsi="Arial"/>
          <w:sz w:val="16"/>
          <w:szCs w:val="16"/>
          <w:color w:val="auto"/>
        </w:rPr>
        <w:t>Net income for the quarter ended October 31, 2011 was up 24.5 percent to $32.7 million compared to $26.3 million in the same quarter last year. Excluding after-tax restructuring charges of $2.6 million in the first quarter of fiscal 2011, net income was up</w:t>
      </w:r>
    </w:p>
    <w:p>
      <w:pPr>
        <w:ind w:right="199"/>
        <w:spacing w:after="0" w:line="281" w:lineRule="auto"/>
        <w:rPr>
          <w:sz w:val="20"/>
          <w:szCs w:val="20"/>
          <w:color w:val="auto"/>
        </w:rPr>
      </w:pPr>
      <w:r>
        <w:rPr>
          <w:rFonts w:ascii="Arial" w:cs="Arial" w:eastAsia="Arial" w:hAnsi="Arial"/>
          <w:sz w:val="16"/>
          <w:szCs w:val="16"/>
          <w:color w:val="auto"/>
        </w:rPr>
        <w:t>13.2 percent. Impacting net income was a 190 basis point reduction in our gross profit margin to 48.0 percent during the quarter ended October 31, 2011 and a 200 basis point reduction in selling, general and administrative expenses as a percentage of sales to</w:t>
      </w:r>
    </w:p>
    <w:p>
      <w:pPr>
        <w:spacing w:after="0" w:line="1" w:lineRule="exact"/>
        <w:rPr>
          <w:sz w:val="20"/>
          <w:szCs w:val="20"/>
          <w:color w:val="auto"/>
        </w:rPr>
      </w:pPr>
    </w:p>
    <w:p>
      <w:pPr>
        <w:ind w:right="459"/>
        <w:spacing w:after="0" w:line="261" w:lineRule="auto"/>
        <w:rPr>
          <w:sz w:val="20"/>
          <w:szCs w:val="20"/>
          <w:color w:val="auto"/>
        </w:rPr>
      </w:pPr>
      <w:r>
        <w:rPr>
          <w:rFonts w:ascii="Arial" w:cs="Arial" w:eastAsia="Arial" w:hAnsi="Arial"/>
          <w:sz w:val="18"/>
          <w:szCs w:val="18"/>
          <w:color w:val="auto"/>
        </w:rPr>
        <w:t>31.2 percent during the quarter ended October 31, 2011. During the quarter ended October 31, 2011, restructuring related expenses were not significant and are included in selling, general and administrative expenses.</w:t>
      </w:r>
    </w:p>
    <w:p>
      <w:pPr>
        <w:spacing w:after="0" w:line="143" w:lineRule="exact"/>
        <w:rPr>
          <w:sz w:val="20"/>
          <w:szCs w:val="20"/>
          <w:color w:val="auto"/>
        </w:rPr>
      </w:pPr>
    </w:p>
    <w:p>
      <w:pPr>
        <w:ind w:right="319" w:firstLine="389"/>
        <w:spacing w:after="0" w:line="277" w:lineRule="auto"/>
        <w:rPr>
          <w:sz w:val="20"/>
          <w:szCs w:val="20"/>
          <w:color w:val="auto"/>
        </w:rPr>
      </w:pPr>
      <w:r>
        <w:rPr>
          <w:rFonts w:ascii="Arial" w:cs="Arial" w:eastAsia="Arial" w:hAnsi="Arial"/>
          <w:sz w:val="18"/>
          <w:szCs w:val="18"/>
          <w:color w:val="auto"/>
        </w:rPr>
        <w:t>Earnings per diluted Class A Common Share were up 24.0 percent to $0.62 in the first quarter of fiscal 2012 compared to $0.50 in the first quarter of fiscal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202" w:lineRule="exact"/>
        <w:rPr>
          <w:sz w:val="20"/>
          <w:szCs w:val="20"/>
          <w:color w:val="auto"/>
        </w:rPr>
      </w:pPr>
    </w:p>
    <w:p>
      <w:pPr>
        <w:ind w:right="359" w:firstLine="389"/>
        <w:spacing w:after="0" w:line="297" w:lineRule="auto"/>
        <w:rPr>
          <w:sz w:val="20"/>
          <w:szCs w:val="20"/>
          <w:color w:val="auto"/>
        </w:rPr>
      </w:pPr>
      <w:r>
        <w:rPr>
          <w:rFonts w:ascii="Arial" w:cs="Arial" w:eastAsia="Arial" w:hAnsi="Arial"/>
          <w:sz w:val="16"/>
          <w:szCs w:val="16"/>
          <w:color w:val="auto"/>
        </w:rPr>
        <w:t>“I am pleased with our net income growth and our organic sales growth in the first quarter. This profitability improvement is a direct result of our on-going initiatives to streamline our processes and improve our profitability through various activities including those stemming from the Brady Business Performance Systems (BBPS),” said Brady’s President and Chief Executive Officer Frank M. Jaehnert. “We also remain focused on improving our customer service and our customers’ buying experiences and investing in growth initiatives, especially our investments in developing proprietary new products that add customer value.”</w:t>
      </w:r>
    </w:p>
    <w:p>
      <w:pPr>
        <w:spacing w:after="0" w:line="118" w:lineRule="exact"/>
        <w:rPr>
          <w:sz w:val="20"/>
          <w:szCs w:val="20"/>
          <w:color w:val="auto"/>
        </w:rPr>
      </w:pPr>
    </w:p>
    <w:p>
      <w:pPr>
        <w:ind w:right="239" w:firstLine="389"/>
        <w:spacing w:after="0" w:line="271" w:lineRule="auto"/>
        <w:rPr>
          <w:sz w:val="20"/>
          <w:szCs w:val="20"/>
          <w:color w:val="auto"/>
        </w:rPr>
      </w:pPr>
      <w:r>
        <w:rPr>
          <w:rFonts w:ascii="Arial" w:cs="Arial" w:eastAsia="Arial" w:hAnsi="Arial"/>
          <w:sz w:val="17"/>
          <w:szCs w:val="17"/>
          <w:color w:val="auto"/>
        </w:rPr>
        <w:t>“We are committed to putting our cash to work through a balanced approach of investing in organic growth opportunities, strategic acquisitions, and returning dividends to our shareholders and buying back Brady stock from time to time. During the first quarter, we repurchased 457,360 shares of Brady stock for $12.3 million,” said Brady Chief Financial Officer, Thomas J. Felmer. “We have recently seen the depreciation of certain foreign currencies versus the U.S. dollar and we expect some short-term impacts from the flooding in Thailand. We also remain cautious about the health of the overall global economy. As we look to the remainder of fiscal 2012, we are confident in our initiatives to drive revenue and net profit growth in spite of these challenges and we reiterate our full year fiscal 2012 guidance which includes low-single-digit organic sales growth and earnings per diluted Class A Common Share of between $2.30 and $2.50, exclusive of after-tax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right="899" w:firstLine="389"/>
        <w:spacing w:after="0" w:line="277" w:lineRule="auto"/>
        <w:rPr>
          <w:sz w:val="20"/>
          <w:szCs w:val="20"/>
          <w:color w:val="auto"/>
        </w:rPr>
      </w:pPr>
      <w:r>
        <w:rPr>
          <w:rFonts w:ascii="Arial" w:cs="Arial" w:eastAsia="Arial" w:hAnsi="Arial"/>
          <w:sz w:val="18"/>
          <w:szCs w:val="18"/>
          <w:color w:val="auto"/>
        </w:rPr>
        <w:t xml:space="preserve">A webcast regarding Brady’s fiscal 2012 first quarter financial results will be available at </w:t>
      </w:r>
      <w:r>
        <w:rPr>
          <w:rFonts w:ascii="Arial" w:cs="Arial" w:eastAsia="Arial" w:hAnsi="Arial"/>
          <w:sz w:val="18"/>
          <w:szCs w:val="18"/>
          <w:u w:val="single" w:color="auto"/>
          <w:color w:val="auto"/>
        </w:rPr>
        <w:t>www.investor.bradycorp.com</w:t>
      </w:r>
      <w:r>
        <w:rPr>
          <w:rFonts w:ascii="Arial" w:cs="Arial" w:eastAsia="Arial" w:hAnsi="Arial"/>
          <w:sz w:val="18"/>
          <w:szCs w:val="18"/>
          <w:color w:val="auto"/>
        </w:rPr>
        <w:t xml:space="preserve"> beginning at 9:30 a.m. Central Time today.</w:t>
      </w:r>
    </w:p>
    <w:p>
      <w:pPr>
        <w:spacing w:after="0" w:line="143" w:lineRule="exact"/>
        <w:rPr>
          <w:sz w:val="20"/>
          <w:szCs w:val="20"/>
          <w:color w:val="auto"/>
        </w:rPr>
      </w:pPr>
    </w:p>
    <w:p>
      <w:pPr>
        <w:ind w:right="159" w:firstLine="389"/>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employs approximately 6,500 people at operations in the Americas, Europe and Asia-Pacific. Brady’s fiscal 2011 sales were approximately $1.34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2011.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625475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3"/>
              </w:rPr>
              <w:t>(Unaudited)</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89"/>
              </w:rPr>
              <w:t>Three Months Ended October 31,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2010</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349,508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329,588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181,677</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165,076</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164,512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9,944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108,932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109,324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118,741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122,909</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49,090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41,603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(5,047)</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(5,687)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9,925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32,732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2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0.60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52,448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52,954</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52,810</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5"/>
        </w:trPr>
        <w:tc>
          <w:tcPr>
            <w:tcW w:w="34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w w:val="99"/>
              </w:rPr>
              <w:t>(Unaudited)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October 31, 2011</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86"/>
              </w:rPr>
              <w:t>July 31, 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371,594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Accounts receivable — net</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232,837</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64,652</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27,484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42,120</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35,647</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756,214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792,303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Other intangible assets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84,461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30"/>
        </w:trPr>
        <w:tc>
          <w:tcPr>
            <w:tcW w:w="6980" w:type="dxa"/>
            <w:vAlign w:val="bottom"/>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19,444</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Cost:</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16"/>
        </w:trPr>
        <w:tc>
          <w:tcPr>
            <w:tcW w:w="6980" w:type="dxa"/>
            <w:vAlign w:val="bottom"/>
          </w:tcPr>
          <w:p>
            <w:pPr>
              <w:ind w:left="60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103,683</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303,493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c>
          <w:tcPr>
            <w:tcW w:w="0" w:type="dxa"/>
            <w:vAlign w:val="bottom"/>
          </w:tcPr>
          <w:p>
            <w:pPr>
              <w:spacing w:after="0"/>
              <w:rPr>
                <w:sz w:val="1"/>
                <w:szCs w:val="1"/>
                <w:color w:val="auto"/>
              </w:rPr>
            </w:pPr>
          </w:p>
        </w:tc>
      </w:tr>
      <w:tr>
        <w:trPr>
          <w:trHeight w:val="216"/>
        </w:trPr>
        <w:tc>
          <w:tcPr>
            <w:tcW w:w="6980" w:type="dxa"/>
            <w:vAlign w:val="bottom"/>
          </w:tcPr>
          <w:p>
            <w:pPr>
              <w:ind w:left="60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426,967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c>
          <w:tcPr>
            <w:tcW w:w="0" w:type="dxa"/>
            <w:vAlign w:val="bottom"/>
          </w:tcPr>
          <w:p>
            <w:pPr>
              <w:spacing w:after="0"/>
              <w:rPr>
                <w:sz w:val="1"/>
                <w:szCs w:val="1"/>
                <w:color w:val="auto"/>
              </w:rPr>
            </w:pPr>
          </w:p>
        </w:tc>
      </w:tr>
      <w:tr>
        <w:trPr>
          <w:trHeight w:val="432"/>
        </w:trPr>
        <w:tc>
          <w:tcPr>
            <w:tcW w:w="698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290,704</w:t>
            </w: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287,918</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Property, plant and equipment — net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80" w:type="dxa"/>
            <w:vAlign w:val="bottom"/>
            <w:vMerge w:val="continue"/>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1,839,361</w:t>
            </w:r>
          </w:p>
        </w:tc>
        <w:tc>
          <w:tcPr>
            <w:tcW w:w="3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1,861,505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LIABILITIES AND STOCKHOLDERS’ INVESTMENT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46,221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16,170</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57,717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61,264</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286,572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3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330,054</w:t>
            </w: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684,826</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Class A nonvoting common stock — Issued 51,261,487 and 51,261,487 shares,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respectively and outstanding 48,862,485 and 49,284,252 shares, respectively</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80" w:type="dxa"/>
            <w:vAlign w:val="bottom"/>
          </w:tcPr>
          <w:p>
            <w:pPr>
              <w:ind w:left="6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310,602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307,527</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812,142</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789,100</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- 2,082,801 and 1,667,235 shares, respectively of Class A nonvoting</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at cost</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(61,015)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96,778</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113,898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98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32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1,154,535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1,156,192</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1,839,361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1,861,505</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October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32,732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11,241</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12,594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3,591</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1"/>
              </w:rPr>
              <w:t>Changes in operating assets and liabilities (net of effects of business acquisitions/divestitures):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(7,156)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(21,814)</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(16,909)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(5,817)</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net investment hedges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ind w:left="200"/>
              <w:spacing w:after="0" w:line="201" w:lineRule="exact"/>
              <w:rPr>
                <w:sz w:val="20"/>
                <w:szCs w:val="20"/>
                <w:color w:val="auto"/>
              </w:rPr>
            </w:pPr>
            <w:r>
              <w:rPr>
                <w:rFonts w:ascii="Arial" w:cs="Arial" w:eastAsia="Arial" w:hAnsi="Arial"/>
                <w:sz w:val="18"/>
                <w:szCs w:val="18"/>
                <w:color w:val="auto"/>
                <w:w w:val="93"/>
              </w:rPr>
              <w:t>Income tax benefit from the exercise of stock options and deferred compensation distribution,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(20,860)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(5,790)</w:t>
            </w: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389,971</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314,840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371,594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Information by regional segment for the three months ended October 31, 2011 and 2010 is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Corporate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and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Americas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Europe</w:t>
            </w:r>
          </w:p>
        </w:tc>
        <w:tc>
          <w:tcPr>
            <w:tcW w:w="1220" w:type="dxa"/>
            <w:vAlign w:val="bottom"/>
            <w:gridSpan w:val="4"/>
          </w:tcPr>
          <w:p>
            <w:pPr>
              <w:ind w:left="160"/>
              <w:spacing w:after="0"/>
              <w:rPr>
                <w:sz w:val="20"/>
                <w:szCs w:val="20"/>
                <w:color w:val="auto"/>
              </w:rPr>
            </w:pPr>
            <w:r>
              <w:rPr>
                <w:rFonts w:ascii="Arial" w:cs="Arial" w:eastAsia="Arial" w:hAnsi="Arial"/>
                <w:sz w:val="18"/>
                <w:szCs w:val="18"/>
                <w:color w:val="auto"/>
              </w:rPr>
              <w:t>Asia-Pacific</w:t>
            </w:r>
          </w:p>
        </w:tc>
        <w:tc>
          <w:tcPr>
            <w:tcW w:w="1240" w:type="dxa"/>
            <w:vAlign w:val="bottom"/>
            <w:gridSpan w:val="4"/>
          </w:tcPr>
          <w:p>
            <w:pPr>
              <w:ind w:left="140"/>
              <w:spacing w:after="0"/>
              <w:rPr>
                <w:sz w:val="20"/>
                <w:szCs w:val="20"/>
                <w:color w:val="auto"/>
              </w:rPr>
            </w:pPr>
            <w:r>
              <w:rPr>
                <w:rFonts w:ascii="Arial" w:cs="Arial" w:eastAsia="Arial" w:hAnsi="Arial"/>
                <w:sz w:val="18"/>
                <w:szCs w:val="18"/>
                <w:color w:val="auto"/>
              </w:rPr>
              <w:t>Total Region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Eliminations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Total</w:t>
            </w:r>
          </w:p>
        </w:tc>
      </w:tr>
      <w:tr>
        <w:trPr>
          <w:trHeight w:val="191"/>
        </w:trPr>
        <w:tc>
          <w:tcPr>
            <w:tcW w:w="29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2011</w:t>
            </w:r>
          </w:p>
        </w:tc>
        <w:tc>
          <w:tcPr>
            <w:tcW w:w="10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4"/>
              </w:rPr>
              <w:t>$ 153,863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97,356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98,289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349,508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$ 349,508</w:t>
            </w: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October 31, 2010</w:t>
            </w:r>
          </w:p>
        </w:tc>
        <w:tc>
          <w:tcPr>
            <w:tcW w:w="10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$ 145,988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92,050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91,550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329,588</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$ 329,588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5"/>
              </w:rPr>
              <w:t>Three months ended October 31, 2011: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4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5"/>
              </w:rPr>
              <w:t>Three months ended October 31, 2010: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Base</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SEGMENT PROFIT (LOSS)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October 31, 2011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43,230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26,299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13,304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82,833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(3,263)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79,570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24,061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16,829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80,249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76,813</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40" w:type="dxa"/>
            <w:vAlign w:val="bottom"/>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10"/>
          </w:tcPr>
          <w:p>
            <w:pPr>
              <w:jc w:val="right"/>
              <w:ind w:right="500"/>
              <w:spacing w:after="0"/>
              <w:rPr>
                <w:sz w:val="20"/>
                <w:szCs w:val="20"/>
                <w:color w:val="auto"/>
              </w:rPr>
            </w:pPr>
            <w:r>
              <w:rPr>
                <w:rFonts w:ascii="Arial" w:cs="Arial" w:eastAsia="Arial" w:hAnsi="Arial"/>
                <w:sz w:val="18"/>
                <w:szCs w:val="18"/>
                <w:color w:val="auto"/>
                <w:w w:val="92"/>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Borders>
              <w:top w:val="single" w:sz="8" w:color="auto"/>
            </w:tcBorders>
            <w:gridSpan w:val="7"/>
          </w:tcPr>
          <w:p>
            <w:pPr>
              <w:jc w:val="right"/>
              <w:ind w:right="440"/>
              <w:spacing w:after="0" w:line="195" w:lineRule="exact"/>
              <w:rPr>
                <w:sz w:val="20"/>
                <w:szCs w:val="20"/>
                <w:color w:val="auto"/>
              </w:rPr>
            </w:pPr>
            <w:r>
              <w:rPr>
                <w:rFonts w:ascii="Arial" w:cs="Arial" w:eastAsia="Arial" w:hAnsi="Arial"/>
                <w:sz w:val="18"/>
                <w:szCs w:val="18"/>
                <w:color w:val="auto"/>
                <w:w w:val="93"/>
              </w:rPr>
              <w:t>October 31,</w:t>
            </w:r>
          </w:p>
        </w:tc>
        <w:tc>
          <w:tcPr>
            <w:tcW w:w="960" w:type="dxa"/>
            <w:vAlign w:val="bottom"/>
            <w:tcBorders>
              <w:top w:val="single" w:sz="8" w:color="auto"/>
            </w:tcBorders>
            <w:gridSpan w:val="4"/>
          </w:tcPr>
          <w:p>
            <w:pPr>
              <w:jc w:val="right"/>
              <w:ind w:right="60"/>
              <w:spacing w:after="0" w:line="195" w:lineRule="exact"/>
              <w:rPr>
                <w:sz w:val="20"/>
                <w:szCs w:val="20"/>
                <w:color w:val="auto"/>
              </w:rPr>
            </w:pPr>
            <w:r>
              <w:rPr>
                <w:rFonts w:ascii="Arial" w:cs="Arial" w:eastAsia="Arial" w:hAnsi="Arial"/>
                <w:sz w:val="18"/>
                <w:szCs w:val="18"/>
                <w:color w:val="auto"/>
                <w:w w:val="93"/>
              </w:rPr>
              <w:t>October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82,833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80,249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(3,436)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w w:val="89"/>
              </w:rPr>
              <w:t>(30,480)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(31,569)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w w:val="88"/>
              </w:rPr>
              <w:t>Investment and other income (expense)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(5,047)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43,841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89"/>
              </w:rPr>
              <w:t>(11,109)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32,732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8" w:right="4019"/>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2012</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32,732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32,732</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5,047</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11,109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11,109</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60,129</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60,129</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2011</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26,281</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28,589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29,583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108,652</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22,124</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8,607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8,669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35,406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48,827</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54,487</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55,041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215,009</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88" w:right="219" w:hanging="388"/>
        <w:spacing w:after="0" w:line="291" w:lineRule="auto"/>
        <w:tabs>
          <w:tab w:leader="none" w:pos="388" w:val="left"/>
        </w:tabs>
        <w:numPr>
          <w:ilvl w:val="0"/>
          <w:numId w:val="2"/>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2019-12-10T06:39:37Z</dcterms:created>
  <dcterms:modified xsi:type="dcterms:W3CDTF">2019-12-10T06:39:37Z</dcterms:modified>
</cp:coreProperties>
</file>