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8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5366385</wp:posOffset>
            </wp:positionH>
            <wp:positionV relativeFrom="paragraph">
              <wp:posOffset>-609600</wp:posOffset>
            </wp:positionV>
            <wp:extent cx="8255" cy="610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4047490</wp:posOffset>
            </wp:positionH>
            <wp:positionV relativeFrom="paragraph">
              <wp:posOffset>-617855</wp:posOffset>
            </wp:positionV>
            <wp:extent cx="8255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-593090</wp:posOffset>
            </wp:positionV>
            <wp:extent cx="1278255" cy="5689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-1558925</wp:posOffset>
            </wp:positionH>
            <wp:positionV relativeFrom="paragraph">
              <wp:posOffset>36830</wp:posOffset>
            </wp:positionV>
            <wp:extent cx="6967220" cy="1624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00"/>
            <w:col w:w="86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31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6,311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-2059940</wp:posOffset>
            </wp:positionV>
            <wp:extent cx="7033260" cy="2102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net exercise of stock option. 8,400 options were exercised, resulting in a net gain of 2,089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2020-09-24T10:49:31Z</dcterms:created>
  <dcterms:modified xsi:type="dcterms:W3CDTF">2020-09-24T10:49:31Z</dcterms:modified>
</cp:coreProperties>
</file>