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46990</wp:posOffset>
            </wp:positionV>
            <wp:extent cx="15862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75565</wp:posOffset>
            </wp:positionV>
            <wp:extent cx="15862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7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February 15,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62230</wp:posOffset>
            </wp:positionV>
            <wp:extent cx="15862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55880</wp:posOffset>
            </wp:positionV>
            <wp:extent cx="15862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293" w:lineRule="exact"/>
        <w:rPr>
          <w:sz w:val="24"/>
          <w:szCs w:val="24"/>
          <w:color w:val="auto"/>
        </w:rPr>
      </w:pPr>
    </w:p>
    <w:tbl>
      <w:tblPr>
        <w:tblLayout w:type="fixed"/>
        <w:tblInd w:w="900" w:type="dxa"/>
        <w:tblCellMar>
          <w:top w:w="0" w:type="dxa"/>
          <w:left w:w="0" w:type="dxa"/>
          <w:bottom w:w="0" w:type="dxa"/>
          <w:right w:w="0" w:type="dxa"/>
        </w:tblCellMar>
      </w:tblPr>
      <w:tr>
        <w:trPr>
          <w:trHeight w:val="234"/>
        </w:trPr>
        <w:tc>
          <w:tcPr>
            <w:tcW w:w="6460" w:type="dxa"/>
            <w:vAlign w:val="bottom"/>
            <w:gridSpan w:val="3"/>
          </w:tcPr>
          <w:p>
            <w:pPr>
              <w:jc w:val="center"/>
              <w:ind w:left="2917"/>
              <w:spacing w:after="0"/>
              <w:rPr>
                <w:sz w:val="20"/>
                <w:szCs w:val="20"/>
                <w:color w:val="auto"/>
              </w:rPr>
            </w:pPr>
            <w:r>
              <w:rPr>
                <w:rFonts w:ascii="Arial" w:cs="Arial" w:eastAsia="Arial" w:hAnsi="Arial"/>
                <w:sz w:val="18"/>
                <w:szCs w:val="18"/>
                <w:b w:val="1"/>
                <w:bCs w:val="1"/>
                <w:color w:val="auto"/>
                <w:w w:val="90"/>
              </w:rPr>
              <w:t>Commission File Number 1-14959</w:t>
            </w:r>
          </w:p>
        </w:tc>
        <w:tc>
          <w:tcPr>
            <w:tcW w:w="2220" w:type="dxa"/>
            <w:vAlign w:val="bottom"/>
          </w:tcPr>
          <w:p>
            <w:pPr>
              <w:spacing w:after="0"/>
              <w:rPr>
                <w:sz w:val="20"/>
                <w:szCs w:val="20"/>
                <w:color w:val="auto"/>
              </w:rPr>
            </w:pPr>
          </w:p>
        </w:tc>
      </w:tr>
      <w:tr>
        <w:trPr>
          <w:trHeight w:val="396"/>
        </w:trPr>
        <w:tc>
          <w:tcPr>
            <w:tcW w:w="6460" w:type="dxa"/>
            <w:vAlign w:val="bottom"/>
            <w:gridSpan w:val="3"/>
          </w:tcPr>
          <w:p>
            <w:pPr>
              <w:jc w:val="center"/>
              <w:ind w:right="2760"/>
              <w:spacing w:after="0"/>
              <w:rPr>
                <w:sz w:val="20"/>
                <w:szCs w:val="20"/>
                <w:color w:val="auto"/>
              </w:rPr>
            </w:pPr>
            <w:r>
              <w:rPr>
                <w:rFonts w:ascii="Arial" w:cs="Arial" w:eastAsia="Arial" w:hAnsi="Arial"/>
                <w:sz w:val="18"/>
                <w:szCs w:val="18"/>
                <w:b w:val="1"/>
                <w:bCs w:val="1"/>
                <w:color w:val="auto"/>
                <w:w w:val="86"/>
              </w:rPr>
              <w:t>Wisconsin</w:t>
            </w:r>
          </w:p>
        </w:tc>
        <w:tc>
          <w:tcPr>
            <w:tcW w:w="2220" w:type="dxa"/>
            <w:vAlign w:val="bottom"/>
          </w:tcPr>
          <w:p>
            <w:pPr>
              <w:jc w:val="right"/>
              <w:ind w:right="539"/>
              <w:spacing w:after="0"/>
              <w:rPr>
                <w:sz w:val="20"/>
                <w:szCs w:val="20"/>
                <w:color w:val="auto"/>
              </w:rPr>
            </w:pPr>
            <w:r>
              <w:rPr>
                <w:rFonts w:ascii="Arial" w:cs="Arial" w:eastAsia="Arial" w:hAnsi="Arial"/>
                <w:sz w:val="18"/>
                <w:szCs w:val="18"/>
                <w:b w:val="1"/>
                <w:bCs w:val="1"/>
                <w:color w:val="auto"/>
              </w:rPr>
              <w:t>39-0971239</w:t>
            </w:r>
          </w:p>
        </w:tc>
      </w:tr>
      <w:tr>
        <w:trPr>
          <w:trHeight w:val="186"/>
        </w:trPr>
        <w:tc>
          <w:tcPr>
            <w:tcW w:w="6460" w:type="dxa"/>
            <w:vAlign w:val="bottom"/>
            <w:gridSpan w:val="3"/>
          </w:tcPr>
          <w:p>
            <w:pPr>
              <w:jc w:val="center"/>
              <w:ind w:right="2740"/>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2220" w:type="dxa"/>
            <w:vAlign w:val="bottom"/>
          </w:tcPr>
          <w:p>
            <w:pPr>
              <w:jc w:val="center"/>
              <w:ind w:left="39"/>
              <w:spacing w:after="0"/>
              <w:rPr>
                <w:sz w:val="20"/>
                <w:szCs w:val="20"/>
                <w:color w:val="auto"/>
              </w:rPr>
            </w:pPr>
            <w:r>
              <w:rPr>
                <w:rFonts w:ascii="Arial" w:cs="Arial" w:eastAsia="Arial" w:hAnsi="Arial"/>
                <w:sz w:val="14"/>
                <w:szCs w:val="14"/>
                <w:b w:val="1"/>
                <w:bCs w:val="1"/>
                <w:color w:val="auto"/>
                <w:w w:val="96"/>
              </w:rPr>
              <w:t>(IRS Employer Identification No.)</w:t>
            </w:r>
          </w:p>
        </w:tc>
      </w:tr>
      <w:tr>
        <w:trPr>
          <w:trHeight w:val="412"/>
        </w:trPr>
        <w:tc>
          <w:tcPr>
            <w:tcW w:w="3460" w:type="dxa"/>
            <w:vAlign w:val="bottom"/>
          </w:tcPr>
          <w:p>
            <w:pPr>
              <w:spacing w:after="0"/>
              <w:rPr>
                <w:sz w:val="24"/>
                <w:szCs w:val="24"/>
                <w:color w:val="auto"/>
              </w:rPr>
            </w:pPr>
          </w:p>
        </w:tc>
        <w:tc>
          <w:tcPr>
            <w:tcW w:w="30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6555 West Good Hope Road</w:t>
            </w:r>
          </w:p>
        </w:tc>
        <w:tc>
          <w:tcPr>
            <w:tcW w:w="2220" w:type="dxa"/>
            <w:vAlign w:val="bottom"/>
          </w:tcPr>
          <w:p>
            <w:pPr>
              <w:spacing w:after="0"/>
              <w:rPr>
                <w:sz w:val="24"/>
                <w:szCs w:val="24"/>
                <w:color w:val="auto"/>
              </w:rPr>
            </w:pPr>
          </w:p>
        </w:tc>
      </w:tr>
      <w:tr>
        <w:trPr>
          <w:trHeight w:val="212"/>
        </w:trPr>
        <w:tc>
          <w:tcPr>
            <w:tcW w:w="3460" w:type="dxa"/>
            <w:vAlign w:val="bottom"/>
          </w:tcPr>
          <w:p>
            <w:pPr>
              <w:spacing w:after="0"/>
              <w:rPr>
                <w:sz w:val="18"/>
                <w:szCs w:val="18"/>
                <w:color w:val="auto"/>
              </w:rPr>
            </w:pPr>
          </w:p>
        </w:tc>
        <w:tc>
          <w:tcPr>
            <w:tcW w:w="30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Milwaukee, Wisconsin 53223</w:t>
            </w:r>
          </w:p>
        </w:tc>
        <w:tc>
          <w:tcPr>
            <w:tcW w:w="2220" w:type="dxa"/>
            <w:vAlign w:val="bottom"/>
          </w:tcPr>
          <w:p>
            <w:pPr>
              <w:spacing w:after="0"/>
              <w:rPr>
                <w:sz w:val="18"/>
                <w:szCs w:val="18"/>
                <w:color w:val="auto"/>
              </w:rPr>
            </w:pPr>
          </w:p>
        </w:tc>
      </w:tr>
      <w:tr>
        <w:trPr>
          <w:trHeight w:val="186"/>
        </w:trPr>
        <w:tc>
          <w:tcPr>
            <w:tcW w:w="6460" w:type="dxa"/>
            <w:vAlign w:val="bottom"/>
            <w:gridSpan w:val="3"/>
          </w:tcPr>
          <w:p>
            <w:pPr>
              <w:jc w:val="center"/>
              <w:ind w:left="2917"/>
              <w:spacing w:after="0"/>
              <w:rPr>
                <w:sz w:val="20"/>
                <w:szCs w:val="20"/>
                <w:color w:val="auto"/>
              </w:rPr>
            </w:pPr>
            <w:r>
              <w:rPr>
                <w:rFonts w:ascii="Arial" w:cs="Arial" w:eastAsia="Arial" w:hAnsi="Arial"/>
                <w:sz w:val="14"/>
                <w:szCs w:val="14"/>
                <w:b w:val="1"/>
                <w:bCs w:val="1"/>
                <w:color w:val="auto"/>
                <w:w w:val="92"/>
              </w:rPr>
              <w:t>(Address of principal executive offices and Zip Code)</w:t>
            </w:r>
          </w:p>
        </w:tc>
        <w:tc>
          <w:tcPr>
            <w:tcW w:w="2220" w:type="dxa"/>
            <w:vAlign w:val="bottom"/>
          </w:tcPr>
          <w:p>
            <w:pPr>
              <w:spacing w:after="0"/>
              <w:rPr>
                <w:sz w:val="16"/>
                <w:szCs w:val="16"/>
                <w:color w:val="auto"/>
              </w:rPr>
            </w:pPr>
          </w:p>
        </w:tc>
      </w:tr>
      <w:tr>
        <w:trPr>
          <w:trHeight w:val="354"/>
        </w:trPr>
        <w:tc>
          <w:tcPr>
            <w:tcW w:w="5960" w:type="dxa"/>
            <w:vAlign w:val="bottom"/>
            <w:gridSpan w:val="2"/>
          </w:tcPr>
          <w:p>
            <w:pPr>
              <w:jc w:val="center"/>
              <w:ind w:left="3397"/>
              <w:spacing w:after="0"/>
              <w:rPr>
                <w:sz w:val="20"/>
                <w:szCs w:val="20"/>
                <w:color w:val="auto"/>
              </w:rPr>
            </w:pPr>
            <w:r>
              <w:rPr>
                <w:rFonts w:ascii="Arial" w:cs="Arial" w:eastAsia="Arial" w:hAnsi="Arial"/>
                <w:sz w:val="18"/>
                <w:szCs w:val="18"/>
                <w:b w:val="1"/>
                <w:bCs w:val="1"/>
                <w:color w:val="auto"/>
                <w:w w:val="90"/>
              </w:rPr>
              <w:t>(414) 358-6600</w:t>
            </w:r>
          </w:p>
        </w:tc>
        <w:tc>
          <w:tcPr>
            <w:tcW w:w="50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186"/>
        </w:trPr>
        <w:tc>
          <w:tcPr>
            <w:tcW w:w="3460" w:type="dxa"/>
            <w:vAlign w:val="bottom"/>
          </w:tcPr>
          <w:p>
            <w:pPr>
              <w:spacing w:after="0"/>
              <w:rPr>
                <w:sz w:val="16"/>
                <w:szCs w:val="16"/>
                <w:color w:val="auto"/>
              </w:rPr>
            </w:pPr>
          </w:p>
        </w:tc>
        <w:tc>
          <w:tcPr>
            <w:tcW w:w="30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(Registrant’s Telephone Number)</w:t>
            </w:r>
          </w:p>
        </w:tc>
        <w:tc>
          <w:tcPr>
            <w:tcW w:w="2220" w:type="dxa"/>
            <w:vAlign w:val="bottom"/>
          </w:tcPr>
          <w:p>
            <w:pPr>
              <w:spacing w:after="0"/>
              <w:rPr>
                <w:sz w:val="16"/>
                <w:szCs w:val="16"/>
                <w:color w:val="auto"/>
              </w:rPr>
            </w:pPr>
          </w:p>
        </w:tc>
      </w:tr>
      <w:tr>
        <w:trPr>
          <w:trHeight w:val="79"/>
        </w:trPr>
        <w:tc>
          <w:tcPr>
            <w:tcW w:w="3460" w:type="dxa"/>
            <w:vAlign w:val="bottom"/>
          </w:tcPr>
          <w:p>
            <w:pPr>
              <w:spacing w:after="0"/>
              <w:rPr>
                <w:sz w:val="6"/>
                <w:szCs w:val="6"/>
                <w:color w:val="auto"/>
              </w:rPr>
            </w:pPr>
          </w:p>
        </w:tc>
        <w:tc>
          <w:tcPr>
            <w:tcW w:w="2500" w:type="dxa"/>
            <w:vAlign w:val="bottom"/>
            <w:tcBorders>
              <w:bottom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2220" w:type="dxa"/>
            <w:vAlign w:val="bottom"/>
          </w:tcPr>
          <w:p>
            <w:pPr>
              <w:spacing w:after="0"/>
              <w:rPr>
                <w:sz w:val="6"/>
                <w:szCs w:val="6"/>
                <w:color w:val="auto"/>
              </w:rPr>
            </w:pPr>
          </w:p>
        </w:tc>
      </w:tr>
    </w:tbl>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96" w:lineRule="exact"/>
        <w:rPr>
          <w:rFonts w:ascii="MS PGothic" w:cs="MS PGothic" w:eastAsia="MS PGothic" w:hAnsi="MS PGothic"/>
          <w:sz w:val="22"/>
          <w:szCs w:val="22"/>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96" w:lineRule="exact"/>
        <w:rPr>
          <w:rFonts w:ascii="MS PGothic" w:cs="MS PGothic" w:eastAsia="MS PGothic" w:hAnsi="MS PGothic"/>
          <w:sz w:val="22"/>
          <w:szCs w:val="22"/>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96" w:lineRule="exact"/>
        <w:rPr>
          <w:rFonts w:ascii="MS PGothic" w:cs="MS PGothic" w:eastAsia="MS PGothic" w:hAnsi="MS PGothic"/>
          <w:sz w:val="22"/>
          <w:szCs w:val="22"/>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w:t>
      </w:r>
    </w:p>
    <w:p>
      <w:pPr>
        <w:spacing w:after="0" w:line="28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2" w:lineRule="exact"/>
        <w:rPr>
          <w:sz w:val="24"/>
          <w:szCs w:val="24"/>
          <w:color w:val="auto"/>
        </w:rPr>
      </w:pPr>
    </w:p>
    <w:tbl>
      <w:tblPr>
        <w:tblLayout w:type="fixed"/>
        <w:tblInd w:w="10" w:type="dxa"/>
        <w:tblCellMar>
          <w:top w:w="0" w:type="dxa"/>
          <w:left w:w="0" w:type="dxa"/>
          <w:bottom w:w="0" w:type="dxa"/>
          <w:right w:w="0" w:type="dxa"/>
        </w:tblCellMar>
      </w:tblPr>
      <w:tr>
        <w:trPr>
          <w:trHeight w:val="189"/>
        </w:trPr>
        <w:tc>
          <w:tcPr>
            <w:tcW w:w="612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660" w:type="dxa"/>
            <w:vAlign w:val="bottom"/>
            <w:tcBorders>
              <w:top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3"/>
              </w:rPr>
              <w:t>Trading</w:t>
            </w:r>
          </w:p>
        </w:tc>
        <w:tc>
          <w:tcPr>
            <w:tcW w:w="34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230"/>
        </w:trPr>
        <w:tc>
          <w:tcPr>
            <w:tcW w:w="612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Symbol</w:t>
            </w:r>
          </w:p>
        </w:tc>
        <w:tc>
          <w:tcPr>
            <w:tcW w:w="342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Class A Nonvoting Common Stock, par value $0.01 per share</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BRC</w:t>
            </w:r>
          </w:p>
        </w:tc>
        <w:tc>
          <w:tcPr>
            <w:tcW w:w="3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bl>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or the Securities Exchange Act of 1934 (17 CFR 240.12b-2).</w:t>
      </w:r>
    </w:p>
    <w:p>
      <w:pPr>
        <w:spacing w:after="0" w:line="83"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21"/>
          <w:szCs w:val="21"/>
          <w:color w:val="auto"/>
        </w:rPr>
        <w:t>☐</w:t>
      </w:r>
    </w:p>
    <w:p>
      <w:pPr>
        <w:spacing w:after="0" w:line="211" w:lineRule="exact"/>
        <w:rPr>
          <w:sz w:val="24"/>
          <w:szCs w:val="24"/>
          <w:color w:val="auto"/>
        </w:rPr>
      </w:pPr>
    </w:p>
    <w:p>
      <w:pPr>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523875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 w:name="page2"/>
    <w:bookmarkEnd w:id="1"/>
    <w:p>
      <w:pPr>
        <w:jc w:val="center"/>
        <w:ind w:right="-19"/>
        <w:spacing w:after="0"/>
        <w:tabs>
          <w:tab w:leader="none" w:pos="260" w:val="left"/>
        </w:tabs>
        <w:rPr>
          <w:sz w:val="20"/>
          <w:szCs w:val="20"/>
          <w:color w:val="auto"/>
        </w:rPr>
      </w:pPr>
      <w:r>
        <w:rPr>
          <w:rFonts w:ascii="Arial" w:cs="Arial" w:eastAsia="Arial" w:hAnsi="Arial"/>
          <w:sz w:val="18"/>
          <w:szCs w:val="18"/>
          <w:color w:val="auto"/>
        </w:rPr>
        <w:t>Item</w:t>
      </w:r>
      <w:r>
        <w:rPr>
          <w:sz w:val="20"/>
          <w:szCs w:val="20"/>
          <w:color w:val="auto"/>
        </w:rPr>
        <w:tab/>
      </w:r>
      <w:r>
        <w:rPr>
          <w:rFonts w:ascii="Arial" w:cs="Arial" w:eastAsia="Arial" w:hAnsi="Arial"/>
          <w:sz w:val="18"/>
          <w:szCs w:val="18"/>
          <w:color w:val="auto"/>
        </w:rPr>
        <w:t>5.02 DEPARTURE OF DIRECTORS OR CERTAIN OFFICERS; ELECTION OF DIRECTORS; APPOINTMENT OF CERTAIN OFFICERS;</w:t>
      </w:r>
    </w:p>
    <w:p>
      <w:pPr>
        <w:ind w:left="980" w:hanging="95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COMPENSATORY ARRANGEMENTS OF CERTAIN OFFICERS</w:t>
      </w:r>
    </w:p>
    <w:p>
      <w:pPr>
        <w:spacing w:after="0" w:line="35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February 15, 2022, the Board of Directors of Brady Corporation (the “Company”) elected Joanne Collins Smee and Vineet Nargolwala to fill vacancies on the Board of Directors, effective February 22, 2022. Ms. Collins Smee and Mr. Nargolwala had been nominated for election to the Board of Directors through a process conducted by the Corporate Governance Committee of the Board. Ms. Collins Smee has been appointed to the Technology Committee of the Board of Directors, and Mr. Nargolwala has been appointed to the Finance Committee of the Board of Directors.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Ms. Collins Smee is Chief Commercial, Small and Medium Businesses &amp; Channels Officer at Xerox Holdings Corporation. There are no actual or proposed transactions between Ms. Collins Smee or any of her related persons and the Company that would require disclosure under Item 404 (a) of Regulation S-K in connection with her appointment as a director of the Company.</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Mr. Vineet Nargolwala is Executive Vice President, Sensing Solutions for Sensata Technologies. There are no actual or proposed transactions between Mr. Nargolwala or any of his related persons and the Company that would require disclosure under Item 404 (a) of Regulation S-K in connection with his appointment as a director of the Company.</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Ms. Collins Smee and Mr. Nargolwala will be entitled to the standard compensation provided to non-employee directors as described in the Company's Annual Report on Form 10-K. Ms. Collins Smee and Mr. Nargolwala will each receive an award of $109,000 of unrestricted Class A Nonvoting Common Stock, with a grant date of February 22, 2022.</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February 22, 2022, the Company issued a press release announcing the appointment of Ms. Collins Smee and Mr. Nargolwala to the Board of Directors. A copy of the press release is being provided to the Securities and Exchange Commission as Exhibit 99.1 attached hereto and is incorporated herein by reference.</w:t>
      </w:r>
    </w:p>
    <w:p>
      <w:pPr>
        <w:spacing w:after="0" w:line="200" w:lineRule="exact"/>
        <w:rPr>
          <w:sz w:val="20"/>
          <w:szCs w:val="20"/>
          <w:color w:val="auto"/>
        </w:rPr>
      </w:pPr>
    </w:p>
    <w:p>
      <w:pPr>
        <w:spacing w:after="0" w:line="294" w:lineRule="exact"/>
        <w:rPr>
          <w:sz w:val="20"/>
          <w:szCs w:val="20"/>
          <w:color w:val="auto"/>
        </w:rPr>
      </w:pPr>
    </w:p>
    <w:p>
      <w:pPr>
        <w:ind w:left="20"/>
        <w:spacing w:after="0"/>
        <w:tabs>
          <w:tab w:leader="none" w:pos="960" w:val="left"/>
        </w:tabs>
        <w:rPr>
          <w:sz w:val="20"/>
          <w:szCs w:val="20"/>
          <w:color w:val="auto"/>
        </w:rPr>
      </w:pPr>
      <w:r>
        <w:rPr>
          <w:rFonts w:ascii="Arial" w:cs="Arial" w:eastAsia="Arial" w:hAnsi="Arial"/>
          <w:sz w:val="18"/>
          <w:szCs w:val="18"/>
          <w:color w:val="auto"/>
        </w:rPr>
        <w:t>Item 9.01</w:t>
      </w:r>
      <w:r>
        <w:rPr>
          <w:sz w:val="20"/>
          <w:szCs w:val="20"/>
          <w:color w:val="auto"/>
        </w:rPr>
        <w:tab/>
      </w:r>
      <w:r>
        <w:rPr>
          <w:rFonts w:ascii="Arial" w:cs="Arial" w:eastAsia="Arial" w:hAnsi="Arial"/>
          <w:sz w:val="17"/>
          <w:szCs w:val="17"/>
          <w:color w:val="auto"/>
        </w:rPr>
        <w:t>FINANCIAL STATEMENTS AND EXHIBITS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(d) Exhibits</w:t>
            </w:r>
          </w:p>
        </w:tc>
        <w:tc>
          <w:tcPr>
            <w:tcW w:w="1860" w:type="dxa"/>
            <w:vAlign w:val="bottom"/>
          </w:tcPr>
          <w:p>
            <w:pPr>
              <w:spacing w:after="0"/>
              <w:rPr>
                <w:sz w:val="20"/>
                <w:szCs w:val="20"/>
                <w:color w:val="auto"/>
              </w:rPr>
            </w:pPr>
          </w:p>
        </w:tc>
        <w:tc>
          <w:tcPr>
            <w:tcW w:w="8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180" w:type="dxa"/>
            <w:vAlign w:val="bottom"/>
          </w:tcPr>
          <w:p>
            <w:pPr>
              <w:ind w:left="20"/>
              <w:spacing w:after="0"/>
              <w:rPr>
                <w:sz w:val="20"/>
                <w:szCs w:val="20"/>
                <w:color w:val="auto"/>
              </w:rPr>
            </w:pPr>
            <w:r>
              <w:rPr>
                <w:rFonts w:ascii="Arial" w:cs="Arial" w:eastAsia="Arial" w:hAnsi="Arial"/>
                <w:sz w:val="18"/>
                <w:szCs w:val="18"/>
                <w:color w:val="auto"/>
              </w:rPr>
              <w:t>EXHIBIT</w:t>
            </w:r>
          </w:p>
        </w:tc>
        <w:tc>
          <w:tcPr>
            <w:tcW w:w="10060" w:type="dxa"/>
            <w:vAlign w:val="bottom"/>
            <w:gridSpan w:val="3"/>
            <w:vMerge w:val="restart"/>
          </w:tcPr>
          <w:p>
            <w:pPr>
              <w:spacing w:after="0"/>
              <w:rPr>
                <w:sz w:val="20"/>
                <w:szCs w:val="20"/>
                <w:color w:val="auto"/>
              </w:rPr>
            </w:pPr>
            <w:r>
              <w:rPr>
                <w:rFonts w:ascii="Arial" w:cs="Arial" w:eastAsia="Arial" w:hAnsi="Arial"/>
                <w:sz w:val="18"/>
                <w:szCs w:val="18"/>
                <w:color w:val="auto"/>
              </w:rPr>
              <w:t>DESCRIPTION</w:t>
            </w:r>
          </w:p>
        </w:tc>
        <w:tc>
          <w:tcPr>
            <w:tcW w:w="0" w:type="dxa"/>
            <w:vAlign w:val="bottom"/>
          </w:tcPr>
          <w:p>
            <w:pPr>
              <w:spacing w:after="0"/>
              <w:rPr>
                <w:sz w:val="1"/>
                <w:szCs w:val="1"/>
                <w:color w:val="auto"/>
              </w:rPr>
            </w:pPr>
          </w:p>
        </w:tc>
      </w:tr>
      <w:tr>
        <w:trPr>
          <w:trHeight w:val="229"/>
        </w:trPr>
        <w:tc>
          <w:tcPr>
            <w:tcW w:w="1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NUMBER</w:t>
            </w:r>
          </w:p>
        </w:tc>
        <w:tc>
          <w:tcPr>
            <w:tcW w:w="10060" w:type="dxa"/>
            <w:vAlign w:val="bottom"/>
            <w:tcBorders>
              <w:bottom w:val="single" w:sz="8" w:color="auto"/>
            </w:tcBorders>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1180" w:type="dxa"/>
            <w:vAlign w:val="bottom"/>
            <w:vMerge w:val="restart"/>
          </w:tcPr>
          <w:p>
            <w:pPr>
              <w:ind w:left="20"/>
              <w:spacing w:after="0"/>
              <w:rPr>
                <w:sz w:val="20"/>
                <w:szCs w:val="20"/>
                <w:color w:val="auto"/>
              </w:rPr>
            </w:pPr>
            <w:r>
              <w:rPr>
                <w:rFonts w:ascii="Arial" w:cs="Arial" w:eastAsia="Arial" w:hAnsi="Arial"/>
                <w:sz w:val="18"/>
                <w:szCs w:val="18"/>
                <w:color w:val="auto"/>
              </w:rPr>
              <w:t>99.1</w:t>
            </w:r>
          </w:p>
        </w:tc>
        <w:tc>
          <w:tcPr>
            <w:tcW w:w="10040" w:type="dxa"/>
            <w:vAlign w:val="bottom"/>
            <w:tcBorders>
              <w:bottom w:val="single" w:sz="8" w:color="0000FF"/>
            </w:tcBorders>
            <w:gridSpan w:val="2"/>
          </w:tcPr>
          <w:p>
            <w:pPr>
              <w:spacing w:after="0"/>
              <w:rPr>
                <w:rFonts w:ascii="Arial" w:cs="Arial" w:eastAsia="Arial" w:hAnsi="Arial"/>
                <w:sz w:val="18"/>
                <w:szCs w:val="18"/>
                <w:color w:val="0000FF"/>
                <w:w w:val="91"/>
              </w:rPr>
            </w:pPr>
            <w:hyperlink w:anchor="page3">
              <w:r>
                <w:rPr>
                  <w:rFonts w:ascii="Arial" w:cs="Arial" w:eastAsia="Arial" w:hAnsi="Arial"/>
                  <w:sz w:val="18"/>
                  <w:szCs w:val="18"/>
                  <w:color w:val="0000FF"/>
                  <w:w w:val="91"/>
                </w:rPr>
                <w:t>Press Release of Brady Corporation, dated February 22, 2022, relating to the appointment of Joanne Collins Smee and Vineet Nargolwala</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180" w:type="dxa"/>
            <w:vAlign w:val="bottom"/>
            <w:vMerge w:val="continue"/>
          </w:tcPr>
          <w:p>
            <w:pPr>
              <w:spacing w:after="0"/>
              <w:rPr>
                <w:sz w:val="8"/>
                <w:szCs w:val="8"/>
                <w:color w:val="auto"/>
              </w:rPr>
            </w:pPr>
          </w:p>
        </w:tc>
        <w:tc>
          <w:tcPr>
            <w:tcW w:w="1860" w:type="dxa"/>
            <w:vAlign w:val="bottom"/>
            <w:vMerge w:val="restart"/>
          </w:tcPr>
          <w:p>
            <w:pPr>
              <w:spacing w:after="0" w:line="156" w:lineRule="exact"/>
              <w:rPr>
                <w:rFonts w:ascii="Arial" w:cs="Arial" w:eastAsia="Arial" w:hAnsi="Arial"/>
                <w:sz w:val="18"/>
                <w:szCs w:val="18"/>
                <w:color w:val="0000FF"/>
                <w:w w:val="91"/>
              </w:rPr>
            </w:pPr>
            <w:hyperlink w:anchor="page3">
              <w:r>
                <w:rPr>
                  <w:rFonts w:ascii="Arial" w:cs="Arial" w:eastAsia="Arial" w:hAnsi="Arial"/>
                  <w:sz w:val="18"/>
                  <w:szCs w:val="18"/>
                  <w:color w:val="0000FF"/>
                  <w:w w:val="91"/>
                </w:rPr>
                <w:t>to the Board of Directors.</w:t>
              </w:r>
            </w:hyperlink>
          </w:p>
        </w:tc>
        <w:tc>
          <w:tcPr>
            <w:tcW w:w="8200" w:type="dxa"/>
            <w:vAlign w:val="bottom"/>
            <w:gridSpan w:val="2"/>
            <w:vMerge w:val="restart"/>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1180" w:type="dxa"/>
            <w:vAlign w:val="bottom"/>
          </w:tcPr>
          <w:p>
            <w:pPr>
              <w:spacing w:after="0"/>
              <w:rPr>
                <w:sz w:val="4"/>
                <w:szCs w:val="4"/>
                <w:color w:val="auto"/>
              </w:rPr>
            </w:pPr>
          </w:p>
        </w:tc>
        <w:tc>
          <w:tcPr>
            <w:tcW w:w="1860" w:type="dxa"/>
            <w:vAlign w:val="bottom"/>
            <w:tcBorders>
              <w:bottom w:val="single" w:sz="8" w:color="0000FF"/>
            </w:tcBorders>
            <w:vMerge w:val="continue"/>
          </w:tcPr>
          <w:p>
            <w:pPr>
              <w:spacing w:after="0"/>
              <w:rPr>
                <w:sz w:val="4"/>
                <w:szCs w:val="4"/>
                <w:color w:val="auto"/>
              </w:rPr>
            </w:pPr>
          </w:p>
        </w:tc>
        <w:tc>
          <w:tcPr>
            <w:tcW w:w="82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26"/>
        </w:trPr>
        <w:tc>
          <w:tcPr>
            <w:tcW w:w="1180" w:type="dxa"/>
            <w:vAlign w:val="bottom"/>
          </w:tcPr>
          <w:p>
            <w:pPr>
              <w:ind w:left="20"/>
              <w:spacing w:after="0"/>
              <w:rPr>
                <w:sz w:val="20"/>
                <w:szCs w:val="20"/>
                <w:color w:val="auto"/>
              </w:rPr>
            </w:pPr>
            <w:r>
              <w:rPr>
                <w:rFonts w:ascii="Arial" w:cs="Arial" w:eastAsia="Arial" w:hAnsi="Arial"/>
                <w:sz w:val="18"/>
                <w:szCs w:val="18"/>
                <w:color w:val="auto"/>
              </w:rPr>
              <w:t>104</w:t>
            </w:r>
          </w:p>
        </w:tc>
        <w:tc>
          <w:tcPr>
            <w:tcW w:w="1006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Inline XBRL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2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BRADY CORPORATION</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22, 2022</w:t>
      </w:r>
    </w:p>
    <w:p>
      <w:pPr>
        <w:spacing w:after="0" w:line="29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14605</wp:posOffset>
            </wp:positionV>
            <wp:extent cx="34372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Aaron J. Pearce</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1240"/>
          </w:cols>
          <w:pgMar w:left="320" w:top="920" w:right="339" w:bottom="1440" w:gutter="0" w:footer="0" w:header="0"/>
        </w:sectPr>
      </w:pPr>
    </w:p>
    <w:bookmarkStart w:id="2" w:name="page3"/>
    <w:bookmarkEnd w:id="2"/>
    <w:p>
      <w:pPr>
        <w:jc w:val="right"/>
        <w:spacing w:after="0"/>
        <w:rPr>
          <w:sz w:val="20"/>
          <w:szCs w:val="20"/>
          <w:color w:val="auto"/>
        </w:rPr>
      </w:pPr>
      <w:r>
        <w:rPr>
          <w:rFonts w:ascii="Arial" w:cs="Arial" w:eastAsia="Arial" w:hAnsi="Arial"/>
          <w:sz w:val="20"/>
          <w:szCs w:val="20"/>
          <w:b w:val="1"/>
          <w:bCs w:val="1"/>
          <w:u w:val="single" w:color="auto"/>
          <w:color w:val="auto"/>
        </w:rPr>
        <w:t>EXHIBIT 99.1</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For More Information: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Investor contact: Ann Thornton 414-438-6887</w:t>
      </w:r>
    </w:p>
    <w:p>
      <w:pPr>
        <w:spacing w:after="0"/>
        <w:rPr>
          <w:sz w:val="20"/>
          <w:szCs w:val="20"/>
          <w:color w:val="auto"/>
        </w:rPr>
      </w:pPr>
      <w:r>
        <w:rPr>
          <w:rFonts w:ascii="Arial" w:cs="Arial" w:eastAsia="Arial" w:hAnsi="Arial"/>
          <w:sz w:val="20"/>
          <w:szCs w:val="20"/>
          <w:color w:val="auto"/>
        </w:rPr>
        <w:t>Media contact: Kate Venne 414-358-5176</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Joanne Collins Smee and Vineet Nargolwala join Brady Corporation Board of Directors</w:t>
      </w:r>
    </w:p>
    <w:p>
      <w:pPr>
        <w:spacing w:after="0" w:line="276" w:lineRule="exact"/>
        <w:rPr>
          <w:sz w:val="20"/>
          <w:szCs w:val="20"/>
          <w:color w:val="auto"/>
        </w:rPr>
      </w:pPr>
    </w:p>
    <w:p>
      <w:pPr>
        <w:jc w:val="both"/>
        <w:spacing w:after="0" w:line="331" w:lineRule="auto"/>
        <w:rPr>
          <w:sz w:val="20"/>
          <w:szCs w:val="20"/>
          <w:color w:val="auto"/>
        </w:rPr>
      </w:pPr>
      <w:r>
        <w:rPr>
          <w:rFonts w:ascii="Arial" w:cs="Arial" w:eastAsia="Arial" w:hAnsi="Arial"/>
          <w:sz w:val="20"/>
          <w:szCs w:val="20"/>
          <w:color w:val="auto"/>
        </w:rPr>
        <w:t>MILWAUKEE (February 22, 2022)—Brady Corporation (NYSE: BRC) (“Brady” or “Company”) announced that Joanne Collins Smee and Vineet Nargolwala will join its Board of Directors, effective February 22, 2022.</w:t>
      </w:r>
    </w:p>
    <w:p>
      <w:pPr>
        <w:spacing w:after="0" w:line="216"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9"/>
          <w:szCs w:val="19"/>
          <w:color w:val="auto"/>
        </w:rPr>
        <w:t>Ms. Collins Smee is Chief Commercial, Small and Medium Businesses &amp; Channels Officer at Xerox Holdings Corporation. Prior to Xerox, she spent more than 27 years at IBM in a variety of leadership roles, most recently as General Manager, Client Service Delivery, Global Business Consulting Services. Ms. Collins Smee also served as the leader of the Technology Transformation Team for the General Services Administration of the U.S. Federal Government, where she led technology and process design teams with the primary mission to transform the way federal government agencies build, buy and use technology.</w:t>
      </w:r>
    </w:p>
    <w:p>
      <w:pPr>
        <w:spacing w:after="0" w:line="1"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20"/>
          <w:szCs w:val="20"/>
          <w:color w:val="auto"/>
        </w:rPr>
        <w:t>Collins Smee received a Master of Business Administration in Computer Information Systems from New York University, a Master of Arts from Columbia University and a Bachelor of Arts from Boston College.</w:t>
      </w:r>
    </w:p>
    <w:p>
      <w:pPr>
        <w:spacing w:after="0" w:line="2" w:lineRule="exact"/>
        <w:rPr>
          <w:sz w:val="20"/>
          <w:szCs w:val="20"/>
          <w:color w:val="auto"/>
        </w:rPr>
      </w:pPr>
    </w:p>
    <w:p>
      <w:pPr>
        <w:jc w:val="both"/>
        <w:ind w:firstLine="648"/>
        <w:spacing w:after="0" w:line="334" w:lineRule="auto"/>
        <w:rPr>
          <w:sz w:val="20"/>
          <w:szCs w:val="20"/>
          <w:color w:val="auto"/>
        </w:rPr>
      </w:pPr>
      <w:r>
        <w:rPr>
          <w:rFonts w:ascii="Arial" w:cs="Arial" w:eastAsia="Arial" w:hAnsi="Arial"/>
          <w:sz w:val="20"/>
          <w:szCs w:val="20"/>
          <w:color w:val="auto"/>
        </w:rPr>
        <w:t>“I am impressed with Brady’s innovative technology and the investments made by the Company in automation and research and development. Technology has been a key focus of my career and I look forward to working with the Brady leadership team and the Board of Directors to further drive this process,” said Collins Smee.</w:t>
      </w:r>
    </w:p>
    <w:p>
      <w:pPr>
        <w:spacing w:after="0" w:line="201"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20"/>
          <w:szCs w:val="20"/>
          <w:color w:val="auto"/>
        </w:rPr>
        <w:t>Mr. Vineet Nargolwala is Executive Vice President, Sensing Solutions for Sensata Technologies, a leading industrial technology company that develops sensors, sensor-based solutions, including controllers and software, and other mission-critical products to create valuable business insights for customers and end users. He has been with Sensata Technologies since 2013 in senior executive roles serving a broad spectrum of automotive and industrial markets. Prior to Sensata Technologies, he spent nearly 10 years at Honeywell International Inc. in a variety of leadership roles.</w:t>
      </w:r>
    </w:p>
    <w:p>
      <w:pPr>
        <w:spacing w:after="0" w:line="1" w:lineRule="exact"/>
        <w:rPr>
          <w:sz w:val="20"/>
          <w:szCs w:val="20"/>
          <w:color w:val="auto"/>
        </w:rPr>
      </w:pPr>
    </w:p>
    <w:p>
      <w:pPr>
        <w:jc w:val="both"/>
        <w:ind w:firstLine="648"/>
        <w:spacing w:after="0" w:line="344" w:lineRule="auto"/>
        <w:rPr>
          <w:sz w:val="20"/>
          <w:szCs w:val="20"/>
          <w:color w:val="auto"/>
        </w:rPr>
      </w:pPr>
      <w:r>
        <w:rPr>
          <w:rFonts w:ascii="Arial" w:cs="Arial" w:eastAsia="Arial" w:hAnsi="Arial"/>
          <w:sz w:val="18"/>
          <w:szCs w:val="18"/>
          <w:color w:val="auto"/>
        </w:rPr>
        <w:t>Nargolwala received a Master of Business Administration from Cornell University, a Master of Science in Electrical Engineering from the University of Texas at Arlington and a Bachelor of Science in Engineering from The Maharaja Sayajirao University of Baroda.</w:t>
      </w:r>
    </w:p>
    <w:p>
      <w:pPr>
        <w:spacing w:after="0" w:line="1" w:lineRule="exact"/>
        <w:rPr>
          <w:sz w:val="20"/>
          <w:szCs w:val="20"/>
          <w:color w:val="auto"/>
        </w:rPr>
      </w:pPr>
    </w:p>
    <w:p>
      <w:pPr>
        <w:jc w:val="both"/>
        <w:ind w:firstLine="648"/>
        <w:spacing w:after="0" w:line="334" w:lineRule="auto"/>
        <w:rPr>
          <w:sz w:val="20"/>
          <w:szCs w:val="20"/>
          <w:color w:val="auto"/>
        </w:rPr>
      </w:pPr>
      <w:r>
        <w:rPr>
          <w:rFonts w:ascii="Arial" w:cs="Arial" w:eastAsia="Arial" w:hAnsi="Arial"/>
          <w:sz w:val="20"/>
          <w:szCs w:val="20"/>
          <w:color w:val="auto"/>
        </w:rPr>
        <w:t>“Brady is committed to drive growth through innovation, research and development and investments in technologies to deliver shareholder value over the long-term. I’m looking forward to working with Brady’s leadership team and its Board of Directors as the Company continues to move into faster-growing end markets,” said Nargolwala.</w:t>
      </w:r>
    </w:p>
    <w:p>
      <w:pPr>
        <w:spacing w:after="0" w:line="201"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20"/>
          <w:szCs w:val="20"/>
          <w:color w:val="auto"/>
        </w:rPr>
        <w:t>“Joanne and Vineet’s strong leadership skills and expertise in technology make them excellent additions to the Brady Board of Directors and their election demonstrates Brady’s commitment to innovation,” said Bradley C. Richardson, Chair of Brady’s Board of Directors.</w:t>
      </w:r>
    </w:p>
    <w:p>
      <w:pPr>
        <w:spacing w:after="0" w:line="2" w:lineRule="exact"/>
        <w:rPr>
          <w:sz w:val="20"/>
          <w:szCs w:val="20"/>
          <w:color w:val="auto"/>
        </w:rPr>
      </w:pPr>
    </w:p>
    <w:p>
      <w:pPr>
        <w:jc w:val="both"/>
        <w:ind w:firstLine="648"/>
        <w:spacing w:after="0" w:line="345" w:lineRule="auto"/>
        <w:rPr>
          <w:sz w:val="20"/>
          <w:szCs w:val="20"/>
          <w:color w:val="auto"/>
        </w:rPr>
      </w:pPr>
      <w:r>
        <w:rPr>
          <w:rFonts w:ascii="Arial" w:cs="Arial" w:eastAsia="Arial" w:hAnsi="Arial"/>
          <w:sz w:val="20"/>
          <w:szCs w:val="20"/>
          <w:color w:val="auto"/>
        </w:rPr>
        <w:t>“I am pleased to welcome both Joanne and Vineet to the Brady Board of Directors. Joanne and Vineet bring deep experience in high-technology global businesses which will be invaluable to Brady as we continue to</w:t>
      </w:r>
    </w:p>
    <w:p>
      <w:pPr>
        <w:sectPr>
          <w:pgSz w:w="11900" w:h="16838" w:orient="portrait"/>
          <w:cols w:equalWidth="0" w:num="1">
            <w:col w:w="11240"/>
          </w:cols>
          <w:pgMar w:left="320" w:top="886"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expand our offerings of higher-technology products and services,” said J. Michael Nauman, Brady’s President and Chief Executive Officer.</w:t>
      </w:r>
    </w:p>
    <w:p>
      <w:pPr>
        <w:spacing w:after="0" w:line="333"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20"/>
          <w:szCs w:val="20"/>
          <w:color w:val="auto"/>
        </w:rPr>
        <w:t xml:space="preserve">Brady Corporation is an international manufacturer and marketer of complete solutions that identify and protect people, products and places. Brady’s products help customers increase safety, security, productivity and performance and include high-performance labels, signs, safety devices, printing systems and software. Founded in 1914, the Company has a diverse customer base in electronics, telecommunications, manufacturing, electrical, construction, medical, aerospace and a variety of other industries. Brady is headquartered in Milwaukee, Wisconsin and as of July 31, 2021, employed approximately 5,700 people in its worldwide businesses. Brady’s fiscal 2021 sales were approximately $1.14 billion. Brady stock trades on the New York Stock Exchange under the symbol BRC. More information is available at </w:t>
      </w:r>
      <w:r>
        <w:rPr>
          <w:rFonts w:ascii="Arial" w:cs="Arial" w:eastAsia="Arial" w:hAnsi="Arial"/>
          <w:sz w:val="20"/>
          <w:szCs w:val="20"/>
          <w:u w:val="single" w:color="auto"/>
          <w:color w:val="0000FF"/>
        </w:rPr>
        <w:t>www.bradyid.com</w:t>
      </w:r>
      <w:r>
        <w:rPr>
          <w:rFonts w:ascii="Arial" w:cs="Arial" w:eastAsia="Arial" w:hAnsi="Arial"/>
          <w:sz w:val="20"/>
          <w:szCs w:val="20"/>
          <w:color w:val="auto"/>
        </w:rPr>
        <w:t>.</w:t>
      </w:r>
    </w:p>
    <w:p>
      <w:pPr>
        <w:spacing w:after="0" w:line="222" w:lineRule="exact"/>
        <w:rPr>
          <w:sz w:val="20"/>
          <w:szCs w:val="20"/>
          <w:color w:val="auto"/>
        </w:rPr>
      </w:pPr>
    </w:p>
    <w:p>
      <w:pPr>
        <w:ind w:left="5800"/>
        <w:spacing w:after="0"/>
        <w:rPr>
          <w:sz w:val="20"/>
          <w:szCs w:val="20"/>
          <w:color w:val="auto"/>
        </w:rPr>
      </w:pPr>
      <w:r>
        <w:rPr>
          <w:rFonts w:ascii="Arial" w:cs="Arial" w:eastAsia="Arial" w:hAnsi="Arial"/>
          <w:sz w:val="20"/>
          <w:szCs w:val="20"/>
          <w:color w:val="auto"/>
        </w:rPr>
        <w:t>###</w:t>
      </w:r>
    </w:p>
    <w:sectPr>
      <w:pgSz w:w="11900" w:h="16838" w:orient="portrait"/>
      <w:cols w:equalWidth="0" w:num="1">
        <w:col w:w="11240"/>
      </w:cols>
      <w:pgMar w:left="320" w:top="9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2022-02-22T06:12:39Z</dcterms:created>
  <dcterms:modified xsi:type="dcterms:W3CDTF">2022-02-22T06:12:39Z</dcterms:modified>
</cp:coreProperties>
</file>