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6440" w:type="dxa"/>
            <w:vAlign w:val="bottom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4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-624840</wp:posOffset>
            </wp:positionV>
            <wp:extent cx="57785" cy="638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15240</wp:posOffset>
            </wp:positionV>
            <wp:extent cx="7325995" cy="44113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41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" w:right="760" w:hanging="5"/>
        <w:spacing w:after="0" w:line="237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Human Resources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8"/>
            <w:vMerge w:val="restart"/>
          </w:tcPr>
          <w:p>
            <w:pPr>
              <w:jc w:val="right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7"/>
              </w:rPr>
              <w:t>1. Title of Security (Instr. 3)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ind w:left="10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49.5417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31.48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2,983.6048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3. Transaction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21.2479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8,177.1464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(2)(3)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Compensation</w:t>
            </w:r>
          </w:p>
        </w:tc>
        <w:tc>
          <w:tcPr>
            <w:tcW w:w="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21.2479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31.45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80" w:hanging="139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80" w:firstLine="1"/>
        <w:spacing w:after="0" w:line="28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ectPr>
          <w:pgSz w:w="11900" w:h="16838" w:orient="portrait"/>
          <w:cols w:equalWidth="0" w:num="1">
            <w:col w:w="11520"/>
          </w:cols>
          <w:pgMar w:left="240" w:top="221" w:right="1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Includes 48.4631 shares acquired pursuant to a deferred compensation dividend on November 2, 2012.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Sherilyn Whitmoyer as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1905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4355465</wp:posOffset>
            </wp:positionH>
            <wp:positionV relativeFrom="paragraph">
              <wp:posOffset>-16510</wp:posOffset>
            </wp:positionV>
            <wp:extent cx="341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1580" w:firstLine="1"/>
        <w:spacing w:after="0" w:line="333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1905</wp:posOffset>
            </wp:positionV>
            <wp:extent cx="479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7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00"/>
            <w:col w:w="2380"/>
          </w:cols>
          <w:pgMar w:left="240" w:top="221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2019-12-16T04:32:14Z</dcterms:created>
  <dcterms:modified xsi:type="dcterms:W3CDTF">2019-12-16T04:32:14Z</dcterms:modified>
</cp:coreProperties>
</file>