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132"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2006</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ind w:right="3560" w:firstLine="3673"/>
        <w:spacing w:after="0" w:line="478" w:lineRule="auto"/>
        <w:rPr>
          <w:sz w:val="20"/>
          <w:szCs w:val="20"/>
          <w:color w:val="auto"/>
        </w:rPr>
      </w:pPr>
      <w:r>
        <w:rPr>
          <w:rFonts w:ascii="Arial" w:cs="Arial" w:eastAsia="Arial" w:hAnsi="Arial"/>
          <w:sz w:val="16"/>
          <w:szCs w:val="16"/>
          <w:b w:val="1"/>
          <w:bCs w:val="1"/>
          <w:color w:val="auto"/>
        </w:rPr>
        <w:t xml:space="preserve">Commission file number 1-14959 Brady Corporation </w:t>
      </w:r>
      <w:r>
        <w:rPr>
          <w:rFonts w:ascii="Arial" w:cs="Arial" w:eastAsia="Arial" w:hAnsi="Arial"/>
          <w:sz w:val="16"/>
          <w:szCs w:val="16"/>
          <w:color w:val="auto"/>
        </w:rPr>
        <w:t>A. Full title of the plan and the address of the plan, if different from that of the issuer named below:</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BRADY CORPORATION BRADY MATCHED 401(k) PLAN</w:t>
      </w:r>
    </w:p>
    <w:p>
      <w:pPr>
        <w:spacing w:after="0" w:line="34"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f/k/a BRADY CORPORATION BRADY GOLD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 53202-0571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Brady Matched 401(k) Plan</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Financial Statements as of and for the Years Ended December 31, 2006 and 2005, Supplemental Schedule as of December 31, 2006,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gridSpan w:val="10"/>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REPORT OF INDEPENDENT REGISTERED PUBLIC ACCOUNTING FIRM</w:t>
              </w:r>
            </w:hyperlink>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40" w:type="dxa"/>
            <w:vAlign w:val="bottom"/>
            <w:gridSpan w:val="10"/>
            <w:vMerge w:val="continue"/>
          </w:tcPr>
          <w:p>
            <w:pPr>
              <w:spacing w:after="0"/>
              <w:rPr>
                <w:sz w:val="14"/>
                <w:szCs w:val="14"/>
                <w:color w:val="auto"/>
              </w:rPr>
            </w:pPr>
          </w:p>
        </w:tc>
        <w:tc>
          <w:tcPr>
            <w:tcW w:w="680" w:type="dxa"/>
            <w:vAlign w:val="bottom"/>
          </w:tcPr>
          <w:p>
            <w:pPr>
              <w:jc w:val="center"/>
              <w:ind w:left="13"/>
              <w:spacing w:after="0" w:line="170"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53"/>
        </w:trPr>
        <w:tc>
          <w:tcPr>
            <w:tcW w:w="58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FINANCIAL STATEMENTS:</w:t>
            </w:r>
          </w:p>
        </w:tc>
        <w:tc>
          <w:tcPr>
            <w:tcW w:w="484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Net Assets Available for Benefits as of December 31, 2006 and 2005</w:t>
              </w:r>
            </w:hyperlink>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Statements of Changes in Net Assets Available for Benefits for the Years Ended December 31, 2006 and 2005</w:t>
              </w:r>
            </w:hyperlink>
          </w:p>
        </w:tc>
        <w:tc>
          <w:tcPr>
            <w:tcW w:w="2500" w:type="dxa"/>
            <w:vAlign w:val="bottom"/>
            <w:gridSpan w:val="2"/>
          </w:tcPr>
          <w:p>
            <w:pPr>
              <w:spacing w:after="0"/>
              <w:rPr>
                <w:sz w:val="24"/>
                <w:szCs w:val="24"/>
                <w:color w:val="auto"/>
              </w:rPr>
            </w:pP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 as of and for the Years Ended December 31, 2006 and 2005</w:t>
              </w:r>
            </w:hyperlink>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94"/>
              </w:rPr>
              <w:t>4 - 7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1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SUPPLEMENTAL SCHEDULE —</w:t>
              </w:r>
            </w:hyperlink>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Form 5500, Schedule H, Part IV, Line 4i — Schedule of Assets (Held at End of Year) as of December 31, 2006</w:t>
              </w:r>
            </w:hyperlink>
          </w:p>
        </w:tc>
        <w:tc>
          <w:tcPr>
            <w:tcW w:w="2420" w:type="dxa"/>
            <w:vAlign w:val="bottom"/>
          </w:tcPr>
          <w:p>
            <w:pPr>
              <w:spacing w:after="0"/>
              <w:rPr>
                <w:sz w:val="24"/>
                <w:szCs w:val="24"/>
                <w:color w:val="auto"/>
              </w:rPr>
            </w:pP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444"/>
        </w:trPr>
        <w:tc>
          <w:tcPr>
            <w:tcW w:w="10640" w:type="dxa"/>
            <w:vAlign w:val="bottom"/>
            <w:gridSpan w:val="10"/>
          </w:tcPr>
          <w:p>
            <w:pPr>
              <w:spacing w:after="0"/>
              <w:rPr>
                <w:sz w:val="20"/>
                <w:szCs w:val="20"/>
                <w:color w:val="auto"/>
              </w:rPr>
            </w:pPr>
            <w:r>
              <w:rPr>
                <w:rFonts w:ascii="Arial" w:cs="Arial" w:eastAsia="Arial" w:hAnsi="Arial"/>
                <w:sz w:val="18"/>
                <w:szCs w:val="18"/>
                <w:color w:val="auto"/>
              </w:rPr>
              <w:t>Consent of Deloitte Touche LLP</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10580" w:type="dxa"/>
            <w:vAlign w:val="bottom"/>
            <w:gridSpan w:val="9"/>
          </w:tcPr>
          <w:p>
            <w:pPr>
              <w:spacing w:after="0" w:line="184" w:lineRule="exact"/>
              <w:rPr>
                <w:sz w:val="20"/>
                <w:szCs w:val="20"/>
                <w:color w:val="auto"/>
              </w:rPr>
            </w:pPr>
            <w:r>
              <w:rPr>
                <w:rFonts w:ascii="Arial" w:cs="Arial" w:eastAsia="Arial" w:hAnsi="Arial"/>
                <w:sz w:val="18"/>
                <w:szCs w:val="18"/>
                <w:color w:val="0000EE"/>
              </w:rPr>
              <w:t>Consent of Deloitte &amp; Touche LLP</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60" w:hanging="659"/>
        <w:spacing w:after="0" w:line="277" w:lineRule="auto"/>
        <w:tabs>
          <w:tab w:leader="none" w:pos="640" w:val="left"/>
        </w:tabs>
        <w:rPr>
          <w:sz w:val="20"/>
          <w:szCs w:val="20"/>
          <w:color w:val="auto"/>
        </w:rPr>
      </w:pPr>
      <w:r>
        <w:rPr>
          <w:rFonts w:ascii="Arial" w:cs="Arial" w:eastAsia="Arial" w:hAnsi="Arial"/>
          <w:sz w:val="18"/>
          <w:szCs w:val="18"/>
          <w:color w:val="auto"/>
        </w:rPr>
        <w:t>NOTE:</w:t>
        <w:tab/>
        <w:t>All other schedules required by Section 2520.103 – 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240"/>
        <w:spacing w:after="0" w:line="26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Plan Administrator of the Brady Corporation Brady Matched 401(k) Plan:</w:t>
      </w:r>
    </w:p>
    <w:p>
      <w:pPr>
        <w:spacing w:after="0" w:line="7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Brady Corporation Brady Matched 401(k) Plan (the “Plan”) as of December 31, 2006 and 2005,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2006 and 2005, and the changes in net assets available for benefits for the years then ended in conformity with accounting principles generally accepted in the United States of America.</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audits were conducted for the purpose of forming an opinion on the basic financial statements taken as a whole. The supplemental schedule in the table of contents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schedule is the responsibility of the Plan’s management. Such schedule has been subjected to the auditing procedures applied in our audit of the basic 2006 financial statements and, in our opinion, is fairly stated in all material respects when considered in relation to the basic 2006 financial statements taken as a whole.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2006 AND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Cash</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130,733,887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114,131,751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Common collective trust fund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18,475,932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17,584,449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Brady Corporation common stock</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4,521,231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Participant loans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2,367,931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2,353,337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investments — at fair value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156,099,087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138,540,746</w:t>
            </w:r>
          </w:p>
        </w:tc>
        <w:tc>
          <w:tcPr>
            <w:tcW w:w="0" w:type="dxa"/>
            <w:vAlign w:val="bottom"/>
          </w:tcPr>
          <w:p>
            <w:pPr>
              <w:spacing w:after="0"/>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9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645,567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660,310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557,364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 contributions</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Total receivables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1,305,877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771,952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157,404,964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139,312,698</w:t>
            </w: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LIABILITIES — Excess contributions payable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181,161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160,699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FAIR VALUE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157,223,803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139,151,999</w:t>
            </w: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Adjustments from fair value to contract value for fully benefit-responsive investment contracts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118,501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(29,881)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157,342,304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139,122,118</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7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40" w:type="dxa"/>
            <w:vAlign w:val="bottom"/>
            <w:gridSpan w:val="2"/>
          </w:tcPr>
          <w:p>
            <w:pPr>
              <w:ind w:left="560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2006 AND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Participant</w:t>
            </w:r>
          </w:p>
        </w:tc>
        <w:tc>
          <w:tcPr>
            <w:tcW w:w="4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7,460,555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6,504,426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w:t>
            </w:r>
          </w:p>
        </w:tc>
        <w:tc>
          <w:tcPr>
            <w:tcW w:w="4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3,550,639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Total contributions</w:t>
            </w: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11,011,194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9,641,868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Net appreciation in fair value of investments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11,072,633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6,057,691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4,127,551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Interest</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484,852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183,041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investment income</w:t>
            </w:r>
          </w:p>
        </w:tc>
        <w:tc>
          <w:tcPr>
            <w:tcW w:w="4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15,685,036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520" w:type="dxa"/>
            <w:vAlign w:val="bottom"/>
            <w:gridSpan w:val="2"/>
          </w:tcPr>
          <w:p>
            <w:pPr>
              <w:spacing w:after="0"/>
              <w:rPr>
                <w:sz w:val="20"/>
                <w:szCs w:val="20"/>
                <w:color w:val="auto"/>
              </w:rPr>
            </w:pPr>
            <w:r>
              <w:rPr>
                <w:rFonts w:ascii="Arial" w:cs="Arial" w:eastAsia="Arial" w:hAnsi="Arial"/>
                <w:sz w:val="18"/>
                <w:szCs w:val="18"/>
                <w:color w:val="auto"/>
              </w:rPr>
              <w:t>Plan transfers in</w:t>
            </w: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790,627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Benefits paid to participants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9,224,668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10,636,590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4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Total deductions</w:t>
            </w: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9,266,671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10,677,572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18,220,186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7,669,422</w:t>
            </w:r>
          </w:p>
        </w:tc>
        <w:tc>
          <w:tcPr>
            <w:tcW w:w="0" w:type="dxa"/>
            <w:vAlign w:val="bottom"/>
          </w:tcPr>
          <w:p>
            <w:pPr>
              <w:spacing w:after="0"/>
              <w:rPr>
                <w:sz w:val="1"/>
                <w:szCs w:val="1"/>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year</w:t>
            </w:r>
          </w:p>
        </w:tc>
        <w:tc>
          <w:tcPr>
            <w:tcW w:w="4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139,122,118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131,452,696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End of year</w:t>
            </w:r>
          </w:p>
        </w:tc>
        <w:tc>
          <w:tcPr>
            <w:tcW w:w="4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157,342,304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139,122,118</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20" w:type="dxa"/>
            <w:vAlign w:val="bottom"/>
            <w:gridSpan w:val="2"/>
            <w:vMerge w:val="continue"/>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120" w:type="dxa"/>
            <w:vAlign w:val="bottom"/>
          </w:tcPr>
          <w:p>
            <w:pPr>
              <w:jc w:val="right"/>
              <w:ind w:right="27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2006 AND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description of the Brady Corporation Brady Matched 401(k) Plan (the “Plan”) is provided for general information purposes only.</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Participants should refer to the Plan document for more complete information.</w:t>
      </w:r>
    </w:p>
    <w:p>
      <w:pPr>
        <w:spacing w:after="0" w:line="103" w:lineRule="exact"/>
        <w:rPr>
          <w:sz w:val="20"/>
          <w:szCs w:val="20"/>
          <w:color w:val="auto"/>
        </w:rPr>
      </w:pPr>
    </w:p>
    <w:p>
      <w:pPr>
        <w:ind w:left="240" w:right="120"/>
        <w:spacing w:after="0" w:line="302"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 The Plan is a defined contribution plan, which provides retirement benefits to substantially all full-time employees of Brady Corporation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The Plan does not provide benefits for employees covered by a collective bargaining agreement, leased employees, co-op students, on-call employees or interns. An employee may become a participant in the Plan on the first day of the month coinciding or following the employee’s initial employment date. The Plan is subject to the provisions of the Employee Retirement Income Security Act of 1974, as amended (“ERISA”).</w:t>
      </w:r>
    </w:p>
    <w:p>
      <w:pPr>
        <w:spacing w:after="0" w:line="46" w:lineRule="exact"/>
        <w:rPr>
          <w:sz w:val="20"/>
          <w:szCs w:val="20"/>
          <w:color w:val="auto"/>
        </w:rPr>
      </w:pPr>
    </w:p>
    <w:p>
      <w:pPr>
        <w:ind w:left="240" w:right="140"/>
        <w:spacing w:after="0" w:line="279" w:lineRule="auto"/>
        <w:rPr>
          <w:sz w:val="20"/>
          <w:szCs w:val="20"/>
          <w:color w:val="auto"/>
        </w:rPr>
      </w:pPr>
      <w:r>
        <w:rPr>
          <w:rFonts w:ascii="Arial" w:cs="Arial" w:eastAsia="Arial" w:hAnsi="Arial"/>
          <w:sz w:val="17"/>
          <w:szCs w:val="17"/>
          <w:b w:val="1"/>
          <w:bCs w:val="1"/>
          <w:i w:val="1"/>
          <w:iCs w:val="1"/>
          <w:color w:val="auto"/>
        </w:rPr>
        <w:t xml:space="preserve">Contributions </w:t>
      </w:r>
      <w:r>
        <w:rPr>
          <w:rFonts w:ascii="Arial" w:cs="Arial" w:eastAsia="Arial" w:hAnsi="Arial"/>
          <w:sz w:val="17"/>
          <w:szCs w:val="17"/>
          <w:color w:val="auto"/>
        </w:rPr>
        <w:t>— Each year, participants may contribute up to 25% of their annual base compensation subject to the Internal Revenue Code (“IRC”)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limitations. These voluntary contributions can be withdrawn in whole or part in case of qualifying emergencies (as defined in the Plan), subject to certain restrictions. The Company is required to contribute a 100% matching contribution of up to 4% of the participants’ annual base compensation, subject to compensation limits of $220,000, adjusted for inflation. Participants self-direct all participant and Company contributions.</w:t>
      </w:r>
    </w:p>
    <w:p>
      <w:pPr>
        <w:spacing w:after="0" w:line="63" w:lineRule="exact"/>
        <w:rPr>
          <w:sz w:val="20"/>
          <w:szCs w:val="20"/>
          <w:color w:val="auto"/>
        </w:rPr>
      </w:pPr>
    </w:p>
    <w:p>
      <w:pPr>
        <w:ind w:left="240" w:right="240"/>
        <w:spacing w:after="0" w:line="259" w:lineRule="auto"/>
        <w:rPr>
          <w:sz w:val="20"/>
          <w:szCs w:val="20"/>
          <w:color w:val="auto"/>
        </w:rPr>
      </w:pPr>
      <w:r>
        <w:rPr>
          <w:rFonts w:ascii="Arial" w:cs="Arial" w:eastAsia="Arial" w:hAnsi="Arial"/>
          <w:sz w:val="18"/>
          <w:szCs w:val="18"/>
          <w:b w:val="1"/>
          <w:bCs w:val="1"/>
          <w:i w:val="1"/>
          <w:iCs w:val="1"/>
          <w:color w:val="auto"/>
        </w:rPr>
        <w:t xml:space="preserve">Participant Accounts </w:t>
      </w:r>
      <w:r>
        <w:rPr>
          <w:rFonts w:ascii="Arial" w:cs="Arial" w:eastAsia="Arial" w:hAnsi="Arial"/>
          <w:sz w:val="18"/>
          <w:szCs w:val="18"/>
          <w:color w:val="auto"/>
        </w:rPr>
        <w:t>— Individual accounts are maintained for each Plan participant. Each participant’s account is credited with the participant’s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the Company’s matching contribution (net of participant forfeitures) and Plan earnings, and charged with withdrawals and an allocation of Plan losses and administrative expenses. The benefit to which a participant is entitled is the benefit that can be provided from the participant’s vested account.</w:t>
      </w:r>
    </w:p>
    <w:p>
      <w:pPr>
        <w:spacing w:after="0" w:line="79"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b w:val="1"/>
          <w:bCs w:val="1"/>
          <w:i w:val="1"/>
          <w:iCs w:val="1"/>
          <w:color w:val="auto"/>
        </w:rPr>
        <w:t xml:space="preserve">Investments </w:t>
      </w:r>
      <w:r>
        <w:rPr>
          <w:rFonts w:ascii="Arial" w:cs="Arial" w:eastAsia="Arial" w:hAnsi="Arial"/>
          <w:sz w:val="18"/>
          <w:szCs w:val="18"/>
          <w:color w:val="auto"/>
        </w:rPr>
        <w:t>— Investment options include twelve equity funds, one common collective trust fund, one bond fund, two money market funds, and Brady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Class A Nonvoting Common Stock.</w:t>
      </w:r>
    </w:p>
    <w:p>
      <w:pPr>
        <w:spacing w:after="0" w:line="62" w:lineRule="exact"/>
        <w:rPr>
          <w:sz w:val="20"/>
          <w:szCs w:val="20"/>
          <w:color w:val="auto"/>
        </w:rPr>
      </w:pPr>
    </w:p>
    <w:p>
      <w:pPr>
        <w:jc w:val="both"/>
        <w:ind w:left="240" w:right="40"/>
        <w:spacing w:after="0" w:line="264" w:lineRule="auto"/>
        <w:rPr>
          <w:sz w:val="20"/>
          <w:szCs w:val="20"/>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color w:val="auto"/>
        </w:rPr>
        <w:t>— The Plan provides for full vesting of participants’ contributions from the date they are made. The Company’s contributions become vested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straight line basis over a three-year period of continuous service. The participants’ share of the Company contribution becomes fully vested, in any event, upon normal retirement at age 65, termination due to permanent or total disability or death.</w:t>
      </w:r>
    </w:p>
    <w:p>
      <w:pPr>
        <w:spacing w:after="0" w:line="73"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color w:val="auto"/>
        </w:rPr>
        <w:t>Participants may withdraw their vested interests upon retirement, approved hardship withdrawal, death, disability, or other termination of employment. Withdrawals are made at the participant’s option in the form of a lump sum, installments, annuity, or in-kind in shares of Brady Corporation Class A non-voting common stock.</w:t>
      </w:r>
    </w:p>
    <w:p>
      <w:pPr>
        <w:spacing w:after="0" w:line="73"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b w:val="1"/>
          <w:bCs w:val="1"/>
          <w:i w:val="1"/>
          <w:iCs w:val="1"/>
          <w:color w:val="auto"/>
        </w:rPr>
        <w:t xml:space="preserve">Participant Loans </w:t>
      </w:r>
      <w:r>
        <w:rPr>
          <w:rFonts w:ascii="Arial" w:cs="Arial" w:eastAsia="Arial" w:hAnsi="Arial"/>
          <w:sz w:val="18"/>
          <w:szCs w:val="18"/>
          <w:color w:val="auto"/>
        </w:rPr>
        <w:t>— Participants may borrow from their plan accounts a minimum of $1,000 and up to 50% of their account balance with a maximum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$50,000. The loans are secured by the balance in the participant’s account and bear interest at the prime rate. As of December 31, 2006, the interest rates on outstanding loans range from 4% to 9.5%.</w:t>
      </w:r>
    </w:p>
    <w:p>
      <w:pPr>
        <w:spacing w:after="0" w:line="73" w:lineRule="exact"/>
        <w:rPr>
          <w:sz w:val="20"/>
          <w:szCs w:val="20"/>
          <w:color w:val="auto"/>
        </w:rPr>
      </w:pPr>
    </w:p>
    <w:p>
      <w:pPr>
        <w:ind w:left="240"/>
        <w:spacing w:after="0" w:line="286" w:lineRule="auto"/>
        <w:rPr>
          <w:sz w:val="20"/>
          <w:szCs w:val="20"/>
          <w:color w:val="auto"/>
        </w:rPr>
      </w:pPr>
      <w:r>
        <w:rPr>
          <w:rFonts w:ascii="Arial" w:cs="Arial" w:eastAsia="Arial" w:hAnsi="Arial"/>
          <w:sz w:val="17"/>
          <w:szCs w:val="17"/>
          <w:b w:val="1"/>
          <w:bCs w:val="1"/>
          <w:i w:val="1"/>
          <w:iCs w:val="1"/>
          <w:color w:val="auto"/>
        </w:rPr>
        <w:t xml:space="preserve">Payment of Benefits </w:t>
      </w:r>
      <w:r>
        <w:rPr>
          <w:rFonts w:ascii="Arial" w:cs="Arial" w:eastAsia="Arial" w:hAnsi="Arial"/>
          <w:sz w:val="17"/>
          <w:szCs w:val="17"/>
          <w:color w:val="auto"/>
        </w:rPr>
        <w:t>— On termination of service due to death, disability, or retirement, a participant may elect to receive either a lump-sum amount equal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value of the participant’s vested interest in his or her account, or annual installments over a ten-year period. For termination of service for other reasons, a participant may receive the value of the vested interest in his or her account as a lump-sum distribution.</w:t>
      </w:r>
    </w:p>
    <w:p>
      <w:pPr>
        <w:spacing w:after="0" w:line="57"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b w:val="1"/>
          <w:bCs w:val="1"/>
          <w:i w:val="1"/>
          <w:iCs w:val="1"/>
          <w:color w:val="auto"/>
        </w:rPr>
        <w:t xml:space="preserve">Forfeited Accounts </w:t>
      </w:r>
      <w:r>
        <w:rPr>
          <w:rFonts w:ascii="Arial" w:cs="Arial" w:eastAsia="Arial" w:hAnsi="Arial"/>
          <w:sz w:val="18"/>
          <w:szCs w:val="18"/>
          <w:color w:val="auto"/>
        </w:rPr>
        <w:t>— At December 31, 2006 and 2005, forfeited non-vested accounts totaled $59,903 and $51,966, respectively. These amounts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to reduce employer contribution receivables as of December 31, 2006 and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 xml:space="preserve">Basis of Accounting </w:t>
      </w:r>
      <w:r>
        <w:rPr>
          <w:rFonts w:ascii="Arial" w:cs="Arial" w:eastAsia="Arial" w:hAnsi="Arial"/>
          <w:sz w:val="18"/>
          <w:szCs w:val="18"/>
          <w:color w:val="auto"/>
        </w:rPr>
        <w:t>— The accompanying financial statements have been prepared in accordance with accounting principles generally accepted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of America.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55" w:lineRule="auto"/>
        <w:rPr>
          <w:sz w:val="20"/>
          <w:szCs w:val="20"/>
          <w:color w:val="auto"/>
        </w:rPr>
      </w:pPr>
      <w:r>
        <w:rPr>
          <w:rFonts w:ascii="Arial" w:cs="Arial" w:eastAsia="Arial" w:hAnsi="Arial"/>
          <w:sz w:val="18"/>
          <w:szCs w:val="18"/>
          <w:b w:val="1"/>
          <w:bCs w:val="1"/>
          <w:i w:val="1"/>
          <w:iCs w:val="1"/>
          <w:color w:val="auto"/>
        </w:rPr>
        <w:t xml:space="preserve">Adoption of New Accounting Guidance — </w:t>
      </w:r>
      <w:r>
        <w:rPr>
          <w:rFonts w:ascii="Arial" w:cs="Arial" w:eastAsia="Arial" w:hAnsi="Arial"/>
          <w:sz w:val="18"/>
          <w:szCs w:val="18"/>
          <w:color w:val="auto"/>
        </w:rPr>
        <w:t>The financial statements reflect the retroactive adoption of Financial Accounting Standards Board Staff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Position, FSP AAG INV-1 and SOP 94-4-1, </w:t>
      </w:r>
      <w:r>
        <w:rPr>
          <w:rFonts w:ascii="Arial" w:cs="Arial" w:eastAsia="Arial" w:hAnsi="Arial"/>
          <w:sz w:val="18"/>
          <w:szCs w:val="18"/>
          <w:i w:val="1"/>
          <w:iCs w:val="1"/>
          <w:color w:val="auto"/>
        </w:rPr>
        <w:t>Reporting of Fully Benefit-Responsive Contracts Held by Certain Investment Companies Subject to the AICPA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Company Guide and Defined-Contribution Health and Welfare and Pension Plans </w:t>
      </w:r>
      <w:r>
        <w:rPr>
          <w:rFonts w:ascii="Arial" w:cs="Arial" w:eastAsia="Arial" w:hAnsi="Arial"/>
          <w:sz w:val="18"/>
          <w:szCs w:val="18"/>
          <w:color w:val="auto"/>
        </w:rPr>
        <w:t>(the “FSP”). As required by the FSP, the statements of net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available for benefits present investment contracts at fair value, as well as an additional line item showing an adjustment of fully benefit-responsive contracts from fair value to contract value. The statements of changes in net assets available for benefits are presented on a contract value basis and were not affected by the adoption of the FSP. The adoption of the FSP did not impact the amount of net assets available for benefits at December 31, 2006 and 2005.</w:t>
      </w:r>
    </w:p>
    <w:p>
      <w:pPr>
        <w:spacing w:after="0" w:line="81"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Plan management to make estimates and assumptions that affect the reported amounts of net assets available for benefits and changes therein. Actual results could differ from those estimates.</w:t>
      </w:r>
    </w:p>
    <w:p>
      <w:pPr>
        <w:spacing w:after="0" w:line="73" w:lineRule="exact"/>
        <w:rPr>
          <w:sz w:val="20"/>
          <w:szCs w:val="20"/>
          <w:color w:val="auto"/>
        </w:rPr>
      </w:pPr>
    </w:p>
    <w:p>
      <w:pPr>
        <w:ind w:left="240" w:right="80"/>
        <w:spacing w:after="0" w:line="279" w:lineRule="auto"/>
        <w:rPr>
          <w:sz w:val="20"/>
          <w:szCs w:val="20"/>
          <w:color w:val="auto"/>
        </w:rPr>
      </w:pPr>
      <w:r>
        <w:rPr>
          <w:rFonts w:ascii="Arial" w:cs="Arial" w:eastAsia="Arial" w:hAnsi="Arial"/>
          <w:sz w:val="17"/>
          <w:szCs w:val="17"/>
          <w:b w:val="1"/>
          <w:bCs w:val="1"/>
          <w:i w:val="1"/>
          <w:iCs w:val="1"/>
          <w:color w:val="auto"/>
        </w:rPr>
        <w:t xml:space="preserve">Risks and Uncertainties </w:t>
      </w:r>
      <w:r>
        <w:rPr>
          <w:rFonts w:ascii="Arial" w:cs="Arial" w:eastAsia="Arial" w:hAnsi="Arial"/>
          <w:sz w:val="17"/>
          <w:szCs w:val="17"/>
          <w:color w:val="auto"/>
        </w:rPr>
        <w:t>— The Plan utilizes various investment instruments, including mutual funds, common stock and a common collective trust fund.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63"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b w:val="1"/>
          <w:bCs w:val="1"/>
          <w:i w:val="1"/>
          <w:iCs w:val="1"/>
          <w:color w:val="auto"/>
        </w:rPr>
        <w:t xml:space="preserve">Investment Valuation and Income Recognition — </w:t>
      </w:r>
      <w:r>
        <w:rPr>
          <w:rFonts w:ascii="Arial" w:cs="Arial" w:eastAsia="Arial" w:hAnsi="Arial"/>
          <w:sz w:val="18"/>
          <w:szCs w:val="18"/>
          <w:color w:val="auto"/>
        </w:rPr>
        <w:t>The Plan’s investments are stated at fair value. Shares of mutual funds are valued at quoted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prices, which represent the net asset value of shares held by the Plan at year end. Common stock is valued at quoted market prices. The common collective trust fund with underlying investments in investment contracts is valued at fair market value of the underlying investments and then adjusted by the issuer to contract value. Participant loans are valued at the outstanding loan balances.</w:t>
      </w:r>
    </w:p>
    <w:p>
      <w:pPr>
        <w:spacing w:after="0" w:line="79"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One of the investment options available in the Plan is the PNC Investment Contract Fund. The PNC Investment Contract Fund is a common collective trust that invests in fully benefit responsive guaranteed investment contracts (GICs) and synthetic guaranteed investment contracts (SGICs). Participants may ordinarily direct the withdrawal or transfer of all of a portion of their investment at contract value. Contract value represents contributions made to the fund, plus earnings, less participant withdrawals.</w:t>
      </w:r>
    </w:p>
    <w:p>
      <w:pPr>
        <w:spacing w:after="0" w:line="79"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62" w:lineRule="exact"/>
        <w:rPr>
          <w:sz w:val="20"/>
          <w:szCs w:val="20"/>
          <w:color w:val="auto"/>
        </w:rPr>
      </w:pPr>
    </w:p>
    <w:p>
      <w:pPr>
        <w:ind w:left="240" w:right="20"/>
        <w:spacing w:after="0" w:line="342" w:lineRule="auto"/>
        <w:rPr>
          <w:sz w:val="20"/>
          <w:szCs w:val="20"/>
          <w:color w:val="auto"/>
        </w:rPr>
      </w:pPr>
      <w:r>
        <w:rPr>
          <w:rFonts w:ascii="Arial" w:cs="Arial" w:eastAsia="Arial" w:hAnsi="Arial"/>
          <w:sz w:val="16"/>
          <w:szCs w:val="16"/>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investment return for such investments.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Administrative Expenses </w:t>
      </w:r>
      <w:r>
        <w:rPr>
          <w:rFonts w:ascii="Arial" w:cs="Arial" w:eastAsia="Arial" w:hAnsi="Arial"/>
          <w:sz w:val="18"/>
          <w:szCs w:val="18"/>
          <w:color w:val="auto"/>
        </w:rPr>
        <w:t>— Administrative expenses of the Plan are paid by the Plan as provided in the Plan document.</w:t>
      </w:r>
    </w:p>
    <w:p>
      <w:pPr>
        <w:spacing w:after="0" w:line="117"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b w:val="1"/>
          <w:bCs w:val="1"/>
          <w:i w:val="1"/>
          <w:iCs w:val="1"/>
          <w:color w:val="auto"/>
        </w:rPr>
        <w:t xml:space="preserve">Payment of Benefits </w:t>
      </w:r>
      <w:r>
        <w:rPr>
          <w:rFonts w:ascii="Arial" w:cs="Arial" w:eastAsia="Arial" w:hAnsi="Arial"/>
          <w:sz w:val="18"/>
          <w:szCs w:val="18"/>
          <w:color w:val="auto"/>
        </w:rPr>
        <w:t>— Benefit payments to participants are recorded upon distribution. There were no amounts allocated to accounts of persons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elected to withdraw from the Plan but have not yet been paid as of December 31, 2006 and 2005.</w:t>
      </w:r>
    </w:p>
    <w:p>
      <w:pPr>
        <w:spacing w:after="0" w:line="62" w:lineRule="exact"/>
        <w:rPr>
          <w:sz w:val="20"/>
          <w:szCs w:val="20"/>
          <w:color w:val="auto"/>
        </w:rPr>
      </w:pPr>
    </w:p>
    <w:p>
      <w:pPr>
        <w:ind w:left="240" w:right="80"/>
        <w:spacing w:after="0" w:line="342" w:lineRule="auto"/>
        <w:rPr>
          <w:sz w:val="20"/>
          <w:szCs w:val="20"/>
          <w:color w:val="auto"/>
        </w:rPr>
      </w:pPr>
      <w:r>
        <w:rPr>
          <w:rFonts w:ascii="Arial" w:cs="Arial" w:eastAsia="Arial" w:hAnsi="Arial"/>
          <w:sz w:val="16"/>
          <w:szCs w:val="16"/>
          <w:b w:val="1"/>
          <w:bCs w:val="1"/>
          <w:i w:val="1"/>
          <w:iCs w:val="1"/>
          <w:color w:val="auto"/>
        </w:rPr>
        <w:t xml:space="preserve">Excess Contributions Payable </w:t>
      </w:r>
      <w:r>
        <w:rPr>
          <w:rFonts w:ascii="Arial" w:cs="Arial" w:eastAsia="Arial" w:hAnsi="Arial"/>
          <w:sz w:val="16"/>
          <w:szCs w:val="16"/>
          <w:color w:val="auto"/>
        </w:rPr>
        <w:t>— The Plan is required to return contributions received during the Plan year in excess of the IRC limits to the contributing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participants. There were excess contributions for the years ended December 31, 2006 and 2005 in the amount of $181,161 and $160,699, respectively.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value of investments held which exceeded 5% of the net assets available for benefits at December 31, 2006 and 2005,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4120" w:type="dxa"/>
            <w:vAlign w:val="bottom"/>
          </w:tcPr>
          <w:p>
            <w:pPr>
              <w:jc w:val="right"/>
              <w:ind w:right="552"/>
              <w:spacing w:after="0"/>
              <w:rPr>
                <w:sz w:val="20"/>
                <w:szCs w:val="20"/>
                <w:color w:val="auto"/>
              </w:rPr>
            </w:pPr>
            <w:r>
              <w:rPr>
                <w:rFonts w:ascii="Arial" w:cs="Arial" w:eastAsia="Arial" w:hAnsi="Arial"/>
                <w:sz w:val="14"/>
                <w:szCs w:val="14"/>
                <w:b w:val="1"/>
                <w:bCs w:val="1"/>
                <w:color w:val="auto"/>
              </w:rPr>
              <w:t>2006</w:t>
            </w:r>
          </w:p>
        </w:tc>
        <w:tc>
          <w:tcPr>
            <w:tcW w:w="1360" w:type="dxa"/>
            <w:vAlign w:val="bottom"/>
          </w:tcPr>
          <w:p>
            <w:pPr>
              <w:jc w:val="right"/>
              <w:ind w:right="333"/>
              <w:spacing w:after="0"/>
              <w:rPr>
                <w:sz w:val="20"/>
                <w:szCs w:val="20"/>
                <w:color w:val="auto"/>
              </w:rPr>
            </w:pPr>
            <w:r>
              <w:rPr>
                <w:rFonts w:ascii="Arial" w:cs="Arial" w:eastAsia="Arial" w:hAnsi="Arial"/>
                <w:sz w:val="14"/>
                <w:szCs w:val="14"/>
                <w:b w:val="1"/>
                <w:bCs w:val="1"/>
                <w:color w:val="auto"/>
              </w:rPr>
              <w:t>2005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Fidelity Diversified International Fund</w:t>
            </w:r>
          </w:p>
        </w:tc>
        <w:tc>
          <w:tcPr>
            <w:tcW w:w="4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$12,049,006</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$ 9,220,472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Blackrock Money Market Portfolio*</w:t>
            </w:r>
          </w:p>
        </w:tc>
        <w:tc>
          <w:tcPr>
            <w:tcW w:w="4120" w:type="dxa"/>
            <w:vAlign w:val="bottom"/>
          </w:tcPr>
          <w:p>
            <w:pPr>
              <w:jc w:val="right"/>
              <w:ind w:right="232"/>
              <w:spacing w:after="0"/>
              <w:rPr>
                <w:sz w:val="20"/>
                <w:szCs w:val="20"/>
                <w:color w:val="auto"/>
              </w:rPr>
            </w:pPr>
            <w:r>
              <w:rPr>
                <w:rFonts w:ascii="Arial" w:cs="Arial" w:eastAsia="Arial" w:hAnsi="Arial"/>
                <w:sz w:val="18"/>
                <w:szCs w:val="18"/>
                <w:color w:val="auto"/>
              </w:rPr>
              <w:t>7,685,323</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7,667,745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Advisors Intermediate Bond Fund</w:t>
            </w:r>
          </w:p>
        </w:tc>
        <w:tc>
          <w:tcPr>
            <w:tcW w:w="4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8,657,681</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8,569,052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Vanguard Institutional Index Fund</w:t>
            </w:r>
          </w:p>
        </w:tc>
        <w:tc>
          <w:tcPr>
            <w:tcW w:w="4120" w:type="dxa"/>
            <w:vAlign w:val="bottom"/>
          </w:tcPr>
          <w:p>
            <w:pPr>
              <w:jc w:val="right"/>
              <w:ind w:right="232"/>
              <w:spacing w:after="0"/>
              <w:rPr>
                <w:sz w:val="20"/>
                <w:szCs w:val="20"/>
                <w:color w:val="auto"/>
              </w:rPr>
            </w:pPr>
            <w:r>
              <w:rPr>
                <w:rFonts w:ascii="Arial" w:cs="Arial" w:eastAsia="Arial" w:hAnsi="Arial"/>
                <w:sz w:val="18"/>
                <w:szCs w:val="18"/>
                <w:color w:val="auto"/>
              </w:rPr>
              <w:t>16,532,302</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15,141,541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PNC Investment Contract Fund*</w:t>
            </w:r>
          </w:p>
        </w:tc>
        <w:tc>
          <w:tcPr>
            <w:tcW w:w="4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18,475,932</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17,584,449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Fidelity Advisors Equity Growth Fund</w:t>
            </w:r>
          </w:p>
        </w:tc>
        <w:tc>
          <w:tcPr>
            <w:tcW w:w="4120" w:type="dxa"/>
            <w:vAlign w:val="bottom"/>
          </w:tcPr>
          <w:p>
            <w:pPr>
              <w:jc w:val="right"/>
              <w:ind w:right="232"/>
              <w:spacing w:after="0"/>
              <w:rPr>
                <w:sz w:val="20"/>
                <w:szCs w:val="20"/>
                <w:color w:val="auto"/>
              </w:rPr>
            </w:pPr>
            <w:r>
              <w:rPr>
                <w:rFonts w:ascii="Arial" w:cs="Arial" w:eastAsia="Arial" w:hAnsi="Arial"/>
                <w:sz w:val="18"/>
                <w:szCs w:val="18"/>
                <w:color w:val="auto"/>
              </w:rPr>
              <w:t>39,149,681</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40,831,169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MFS Emerging Markets Equity Fund</w:t>
            </w:r>
          </w:p>
        </w:tc>
        <w:tc>
          <w:tcPr>
            <w:tcW w:w="4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8,529,192</w:t>
            </w:r>
          </w:p>
        </w:tc>
        <w:tc>
          <w:tcPr>
            <w:tcW w:w="1360" w:type="dxa"/>
            <w:vAlign w:val="bottom"/>
            <w:shd w:val="clear" w:color="auto" w:fill="CCEEFF"/>
          </w:tcPr>
          <w:p>
            <w:pPr>
              <w:spacing w:after="0"/>
              <w:rPr>
                <w:sz w:val="18"/>
                <w:szCs w:val="18"/>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LSV Value Equity Fund</w:t>
            </w:r>
          </w:p>
        </w:tc>
        <w:tc>
          <w:tcPr>
            <w:tcW w:w="4120" w:type="dxa"/>
            <w:vAlign w:val="bottom"/>
          </w:tcPr>
          <w:p>
            <w:pPr>
              <w:jc w:val="right"/>
              <w:ind w:right="232"/>
              <w:spacing w:after="0"/>
              <w:rPr>
                <w:sz w:val="20"/>
                <w:szCs w:val="20"/>
                <w:color w:val="auto"/>
              </w:rPr>
            </w:pPr>
            <w:r>
              <w:rPr>
                <w:rFonts w:ascii="Arial" w:cs="Arial" w:eastAsia="Arial" w:hAnsi="Arial"/>
                <w:sz w:val="18"/>
                <w:szCs w:val="18"/>
                <w:color w:val="auto"/>
              </w:rPr>
              <w:t>10,188,848</w:t>
            </w: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117"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color w:val="auto"/>
        </w:rPr>
        <w:t>During the years ended December 31, 2006 and 2005, the Plan’s investments (including gains and losses on investments bought and sold, as well as held during the year) appreciated (depreciated) in value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Equity funds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$10,070,134</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$ 4,707,748</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Bond mutual fund</w:t>
            </w:r>
          </w:p>
        </w:tc>
        <w:tc>
          <w:tcPr>
            <w:tcW w:w="920" w:type="dxa"/>
            <w:vAlign w:val="bottom"/>
          </w:tcPr>
          <w:p>
            <w:pPr>
              <w:jc w:val="right"/>
              <w:spacing w:after="0"/>
              <w:rPr>
                <w:sz w:val="20"/>
                <w:szCs w:val="20"/>
                <w:color w:val="auto"/>
              </w:rPr>
            </w:pPr>
            <w:r>
              <w:rPr>
                <w:rFonts w:ascii="Arial" w:cs="Arial" w:eastAsia="Arial" w:hAnsi="Arial"/>
                <w:sz w:val="18"/>
                <w:szCs w:val="18"/>
                <w:color w:val="auto"/>
              </w:rPr>
              <w:t>22,637</w:t>
            </w:r>
          </w:p>
        </w:tc>
        <w:tc>
          <w:tcPr>
            <w:tcW w:w="6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(223,897)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Money market mutual fund</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197,872</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Common collective trust fund</w:t>
            </w:r>
          </w:p>
        </w:tc>
        <w:tc>
          <w:tcPr>
            <w:tcW w:w="920" w:type="dxa"/>
            <w:vAlign w:val="bottom"/>
          </w:tcPr>
          <w:p>
            <w:pPr>
              <w:jc w:val="right"/>
              <w:spacing w:after="0"/>
              <w:rPr>
                <w:sz w:val="20"/>
                <w:szCs w:val="20"/>
                <w:color w:val="auto"/>
              </w:rPr>
            </w:pPr>
            <w:r>
              <w:rPr>
                <w:rFonts w:ascii="Arial" w:cs="Arial" w:eastAsia="Arial" w:hAnsi="Arial"/>
                <w:sz w:val="18"/>
                <w:szCs w:val="18"/>
                <w:color w:val="auto"/>
              </w:rPr>
              <w:t>853,674</w:t>
            </w: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719,687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common stock</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126,188</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656,281</w:t>
            </w:r>
          </w:p>
        </w:tc>
        <w:tc>
          <w:tcPr>
            <w:tcW w:w="100" w:type="dxa"/>
            <w:vAlign w:val="bottom"/>
            <w:shd w:val="clear" w:color="auto" w:fill="CCEEFF"/>
          </w:tcPr>
          <w:p>
            <w:pPr>
              <w:spacing w:after="0"/>
              <w:rPr>
                <w:sz w:val="18"/>
                <w:szCs w:val="18"/>
                <w:color w:val="auto"/>
              </w:rPr>
            </w:pPr>
          </w:p>
        </w:tc>
      </w:tr>
      <w:tr>
        <w:trPr>
          <w:trHeight w:val="439"/>
        </w:trPr>
        <w:tc>
          <w:tcPr>
            <w:tcW w:w="8900" w:type="dxa"/>
            <w:vAlign w:val="bottom"/>
          </w:tcPr>
          <w:p>
            <w:pPr>
              <w:spacing w:after="0"/>
              <w:rPr>
                <w:sz w:val="20"/>
                <w:szCs w:val="20"/>
                <w:color w:val="auto"/>
              </w:rPr>
            </w:pPr>
            <w:r>
              <w:rPr>
                <w:rFonts w:ascii="Arial" w:cs="Arial" w:eastAsia="Arial" w:hAnsi="Arial"/>
                <w:sz w:val="18"/>
                <w:szCs w:val="18"/>
                <w:color w:val="auto"/>
              </w:rPr>
              <w:t>Net appreciation in fair value of investments</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$ 11,072,633</w:t>
            </w:r>
          </w:p>
        </w:tc>
        <w:tc>
          <w:tcPr>
            <w:tcW w:w="6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$ 6,057,691</w:t>
            </w:r>
          </w:p>
        </w:tc>
      </w:tr>
      <w:tr>
        <w:trPr>
          <w:trHeight w:val="20"/>
        </w:trPr>
        <w:tc>
          <w:tcPr>
            <w:tcW w:w="8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TERMINATION</w:t>
      </w:r>
    </w:p>
    <w:p>
      <w:pPr>
        <w:spacing w:after="0" w:line="121"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Although it has not expressed any intention to do so, the Company has the right under the Plan provisions to discontinue its contributions at any time and to terminate the Plan subject to the provisions set forth in ERISA. In the event that the Plan is terminated, participants would become 100 percent vested in unvested employer matching contributions in their accounts.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 STATUS</w:t>
      </w:r>
    </w:p>
    <w:p>
      <w:pPr>
        <w:spacing w:after="0" w:line="121" w:lineRule="exact"/>
        <w:rPr>
          <w:sz w:val="20"/>
          <w:szCs w:val="20"/>
          <w:color w:val="auto"/>
        </w:rPr>
      </w:pPr>
    </w:p>
    <w:p>
      <w:pPr>
        <w:ind w:left="240" w:right="60"/>
        <w:spacing w:after="0" w:line="302" w:lineRule="auto"/>
        <w:rPr>
          <w:sz w:val="20"/>
          <w:szCs w:val="20"/>
          <w:color w:val="auto"/>
        </w:rPr>
      </w:pPr>
      <w:r>
        <w:rPr>
          <w:rFonts w:ascii="Arial" w:cs="Arial" w:eastAsia="Arial" w:hAnsi="Arial"/>
          <w:sz w:val="16"/>
          <w:szCs w:val="16"/>
          <w:color w:val="auto"/>
        </w:rPr>
        <w:t>The Plan uses a prototype plan document sponsored by PNC Bank (“PNC” or “the Trustee”). PNC received an opinion letter from the Internal Revenue Service (“IRS”), dated November 19, 2001, which states that the prototype document satisfies the applicable provisions of the IRC. The Plan itself has not received a determination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EXEMPT PARTY-IN-INTEREST TRANSACTIONS</w:t>
      </w:r>
    </w:p>
    <w:p>
      <w:pPr>
        <w:spacing w:after="0" w:line="121" w:lineRule="exact"/>
        <w:rPr>
          <w:sz w:val="20"/>
          <w:szCs w:val="20"/>
          <w:color w:val="auto"/>
        </w:rPr>
      </w:pPr>
    </w:p>
    <w:p>
      <w:pPr>
        <w:ind w:left="240" w:right="80"/>
        <w:spacing w:after="0" w:line="255" w:lineRule="auto"/>
        <w:rPr>
          <w:sz w:val="20"/>
          <w:szCs w:val="20"/>
          <w:color w:val="auto"/>
        </w:rPr>
      </w:pPr>
      <w:r>
        <w:rPr>
          <w:rFonts w:ascii="Arial" w:cs="Arial" w:eastAsia="Arial" w:hAnsi="Arial"/>
          <w:sz w:val="18"/>
          <w:szCs w:val="18"/>
          <w:color w:val="auto"/>
        </w:rPr>
        <w:t>The Plan invests in Company common stock. In addition, certain plan investments represent shares of mutual funds and collective trust funds managed by the Trustee. These transactions are considered party-in-interest transactions. These transactions are not, however, considered prohibited transactions under ERISA regulations. Fees paid by the Plan for investment management services were included as a reduction of the return earned on each fund. At December 31, 2006 and 2005, the Plan held 121,278 and 123,409 shares, respectively of common stock of Brady Corporation, with a cost basis of $2,768,438 and $2,480,917, respectively. During the years ended December 31, 2006 and 2005, the Plan recorded dividend income of $65,699 and $56,958,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PLAN TRANSFERS</w:t>
      </w:r>
    </w:p>
    <w:p>
      <w:pPr>
        <w:spacing w:after="0" w:line="121" w:lineRule="exact"/>
        <w:rPr>
          <w:sz w:val="20"/>
          <w:szCs w:val="20"/>
          <w:color w:val="auto"/>
        </w:rPr>
      </w:pPr>
    </w:p>
    <w:p>
      <w:pPr>
        <w:ind w:left="240" w:right="100"/>
        <w:spacing w:after="0" w:line="264" w:lineRule="auto"/>
        <w:rPr>
          <w:sz w:val="20"/>
          <w:szCs w:val="20"/>
          <w:color w:val="auto"/>
        </w:rPr>
      </w:pPr>
      <w:r>
        <w:rPr>
          <w:rFonts w:ascii="Arial" w:cs="Arial" w:eastAsia="Arial" w:hAnsi="Arial"/>
          <w:sz w:val="18"/>
          <w:szCs w:val="18"/>
          <w:color w:val="auto"/>
        </w:rPr>
        <w:t>Effective January 1, 2006, the Plan received plan-to-plan transfers from two of the Company’s subsidiaries, TruMed Technologies, Inc. and TISCOR, Inc. The plans, previously named the TruMed Technologies Inc. 401(k) Profit Sharing Plan and Trust and the TISCOR, Inc. 401(k) Savings Plan, transferred assets of $256,924 and $533,703, respectively, during January 2006.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RECONCILIATION TO FORM 5500</w:t>
      </w:r>
    </w:p>
    <w:p>
      <w:pPr>
        <w:spacing w:after="0" w:line="121" w:lineRule="exact"/>
        <w:rPr>
          <w:sz w:val="20"/>
          <w:szCs w:val="20"/>
          <w:color w:val="auto"/>
        </w:rPr>
      </w:pPr>
    </w:p>
    <w:p>
      <w:pPr>
        <w:jc w:val="both"/>
        <w:ind w:left="240" w:right="80"/>
        <w:spacing w:after="0" w:line="264" w:lineRule="auto"/>
        <w:rPr>
          <w:sz w:val="20"/>
          <w:szCs w:val="20"/>
          <w:color w:val="auto"/>
        </w:rPr>
      </w:pPr>
      <w:r>
        <w:rPr>
          <w:rFonts w:ascii="Arial" w:cs="Arial" w:eastAsia="Arial" w:hAnsi="Arial"/>
          <w:sz w:val="18"/>
          <w:szCs w:val="18"/>
          <w:color w:val="auto"/>
        </w:rPr>
        <w:t>For 2006, net assets available for benefits in the accompanying financial statements are reported at contract value; however, they are recorded at fair value in the Plan’s Form 5500. The following table reconciles net assets available for benefits per the financial statements to the Plan’s Form 5500 to be filed by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financial statements</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157,342,304</w:t>
            </w:r>
          </w:p>
        </w:tc>
        <w:tc>
          <w:tcPr>
            <w:tcW w:w="20" w:type="dxa"/>
            <w:vAlign w:val="bottom"/>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value to fair value for fully benefit-responsive investment contracts</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(118,501</w:t>
            </w:r>
          </w:p>
        </w:tc>
        <w:tc>
          <w:tcPr>
            <w:tcW w:w="20" w:type="dxa"/>
            <w:vAlign w:val="bottom"/>
          </w:tcPr>
          <w:p>
            <w:pPr>
              <w:spacing w:after="0"/>
              <w:rPr>
                <w:sz w:val="18"/>
                <w:szCs w:val="18"/>
                <w:color w:val="auto"/>
              </w:rPr>
            </w:pPr>
          </w:p>
        </w:tc>
      </w:tr>
      <w:tr>
        <w:trPr>
          <w:trHeight w:val="223"/>
        </w:trPr>
        <w:tc>
          <w:tcPr>
            <w:tcW w:w="10180" w:type="dxa"/>
            <w:vAlign w:val="bottom"/>
          </w:tcPr>
          <w:p>
            <w:pPr>
              <w:spacing w:after="0"/>
              <w:rPr>
                <w:sz w:val="20"/>
                <w:szCs w:val="20"/>
                <w:color w:val="auto"/>
              </w:rPr>
            </w:pPr>
            <w:r>
              <w:rPr>
                <w:rFonts w:ascii="Arial" w:cs="Arial" w:eastAsia="Arial" w:hAnsi="Arial"/>
                <w:sz w:val="18"/>
                <w:szCs w:val="18"/>
                <w:color w:val="auto"/>
              </w:rPr>
              <w:t>Amounts reported per Form 5500</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157,223,803</w:t>
            </w:r>
          </w:p>
        </w:tc>
        <w:tc>
          <w:tcPr>
            <w:tcW w:w="20" w:type="dxa"/>
            <w:vAlign w:val="bottom"/>
            <w:tcBorders>
              <w:bottom w:val="single" w:sz="8" w:color="auto"/>
            </w:tcBorders>
          </w:tcPr>
          <w:p>
            <w:pPr>
              <w:spacing w:after="0"/>
              <w:rPr>
                <w:sz w:val="19"/>
                <w:szCs w:val="19"/>
                <w:color w:val="auto"/>
              </w:rPr>
            </w:pPr>
          </w:p>
        </w:tc>
      </w:tr>
      <w:tr>
        <w:trPr>
          <w:trHeight w:val="20"/>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color w:val="auto"/>
        </w:rPr>
        <w:t>The following table reconciles the increase in net assets available for benefits per the financial statements to the Form 5500 to be filed by the Company for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Amounts reported per financial statements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18,220,186</w:t>
            </w:r>
          </w:p>
        </w:tc>
        <w:tc>
          <w:tcPr>
            <w:tcW w:w="80" w:type="dxa"/>
            <w:vAlign w:val="bottom"/>
            <w:shd w:val="clear" w:color="auto" w:fill="CCEEFF"/>
          </w:tcPr>
          <w:p>
            <w:pPr>
              <w:spacing w:after="0"/>
              <w:rPr>
                <w:sz w:val="18"/>
                <w:szCs w:val="18"/>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adjustment from contract value to fair value for fully benefit-responsive investment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(118,501)</w:t>
            </w:r>
          </w:p>
        </w:tc>
      </w:tr>
      <w:tr>
        <w:trPr>
          <w:trHeight w:val="223"/>
        </w:trPr>
        <w:tc>
          <w:tcPr>
            <w:tcW w:w="10400" w:type="dxa"/>
            <w:vAlign w:val="bottom"/>
          </w:tcPr>
          <w:p>
            <w:pPr>
              <w:spacing w:after="0"/>
              <w:rPr>
                <w:sz w:val="20"/>
                <w:szCs w:val="20"/>
                <w:color w:val="auto"/>
              </w:rPr>
            </w:pPr>
            <w:r>
              <w:rPr>
                <w:rFonts w:ascii="Arial" w:cs="Arial" w:eastAsia="Arial" w:hAnsi="Arial"/>
                <w:sz w:val="18"/>
                <w:szCs w:val="18"/>
                <w:color w:val="auto"/>
              </w:rPr>
              <w:t>Amounts reported per Form 5500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18,101,685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121" w:lineRule="exact"/>
        <w:rPr>
          <w:sz w:val="20"/>
          <w:szCs w:val="20"/>
          <w:color w:val="auto"/>
        </w:rPr>
      </w:pPr>
    </w:p>
    <w:p>
      <w:pPr>
        <w:ind w:left="240" w:right="20"/>
        <w:spacing w:after="0" w:line="293" w:lineRule="auto"/>
        <w:rPr>
          <w:sz w:val="20"/>
          <w:szCs w:val="20"/>
          <w:color w:val="auto"/>
        </w:rPr>
      </w:pPr>
      <w:r>
        <w:rPr>
          <w:rFonts w:ascii="Arial" w:cs="Arial" w:eastAsia="Arial" w:hAnsi="Arial"/>
          <w:sz w:val="16"/>
          <w:szCs w:val="16"/>
          <w:color w:val="auto"/>
        </w:rPr>
        <w:t>Effective April 1, 2007, the Plan was amended to allow participants to irrevocably designate all or any part of their elective deferrals to the Plan as Roth 401(k) deferrals, provided the eligibility requirements have been met. The Roth 401(k) deferrals are contributed to the Plan after-tax and treated as includible in the computation of the participant’s personal income. As the amounts are contributed after-tax, the deferrals and, in most cases, earnings on the deferrals will not be subject to Federal income taxes when distributed to the participants, as long as the distributions are considered to be qualified. The combined total of pre-tax deferrals and Roth 401(k) deferrals may not exceed the maximum dollar limitation allowable under the law. The Roth 401(k) deferrals will be subject to Company matching contributions utilizing the same formula as the pre-tax deferrals.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SUPPLEMENTAL SCHEDULE</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FURNISHED PURSUANT TO THE</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DEPARTMENT OF LABOR’S RULES AND REGULATIONS</w:t>
      </w:r>
    </w:p>
    <w:p>
      <w:pPr>
        <w:spacing w:after="0" w:line="19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 PART IV, LINE 4i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2006</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EQUITY FUNDS:</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MFS Emerging Markets Equity Fund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Fidelity Advisors Equity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Fidelity Diversified International Fund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PIMCO Commodity Real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PNC Small Cap Growth Equity Portfolio*</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Century Small Cap Value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LSV Value Equity Fund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 Rowe Price Retirement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 Rowe Price Retirement 2020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 Rowe Price Retirement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 Rowe Price Retirement 2040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Vanguard Institutional Index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COMMON COLLECTIVE TRUST FUND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PNC Investment Contract Fund*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BOND FUND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Fidelity Advisors Intermediate Bond Fund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Blackrock Money Market Portfolio*</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Brady Stock Liquidity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COMMON STOCK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Brady Corporation Class A Non-voting*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PARTICIPANT LOANS — (Maturing through 2036 at interest rates of 4%-9.5%)*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TOTAL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1"/>
        <w:spacing w:after="0"/>
        <w:rPr>
          <w:sz w:val="20"/>
          <w:szCs w:val="20"/>
          <w:color w:val="auto"/>
        </w:rPr>
      </w:pPr>
      <w:r>
        <w:rPr>
          <w:rFonts w:ascii="Arial" w:cs="Arial" w:eastAsia="Arial" w:hAnsi="Arial"/>
          <w:sz w:val="14"/>
          <w:szCs w:val="14"/>
          <w:b w:val="1"/>
          <w:bCs w:val="1"/>
          <w:color w:val="auto"/>
        </w:rPr>
        <w:t>Fair</w:t>
      </w:r>
    </w:p>
    <w:p>
      <w:pPr>
        <w:spacing w:after="0" w:line="4" w:lineRule="exact"/>
        <w:rPr>
          <w:sz w:val="20"/>
          <w:szCs w:val="20"/>
          <w:color w:val="auto"/>
        </w:rPr>
      </w:pPr>
    </w:p>
    <w:p>
      <w:pPr>
        <w:ind w:left="341"/>
        <w:spacing w:after="0"/>
        <w:rPr>
          <w:sz w:val="20"/>
          <w:szCs w:val="20"/>
          <w:color w:val="auto"/>
        </w:rPr>
      </w:pPr>
      <w:r>
        <w:rPr>
          <w:rFonts w:ascii="Arial" w:cs="Arial" w:eastAsia="Arial" w:hAnsi="Arial"/>
          <w:sz w:val="14"/>
          <w:szCs w:val="14"/>
          <w:b w:val="1"/>
          <w:bCs w:val="1"/>
          <w:color w:val="auto"/>
        </w:rPr>
        <w:t>Value</w:t>
      </w:r>
    </w:p>
    <w:p>
      <w:pPr>
        <w:spacing w:after="0" w:line="196" w:lineRule="exact"/>
        <w:rPr>
          <w:sz w:val="20"/>
          <w:szCs w:val="20"/>
          <w:color w:val="auto"/>
        </w:rPr>
      </w:pPr>
    </w:p>
    <w:p>
      <w:pPr>
        <w:ind w:left="301" w:hanging="301"/>
        <w:spacing w:after="0"/>
        <w:tabs>
          <w:tab w:leader="none" w:pos="301" w:val="left"/>
        </w:tabs>
        <w:numPr>
          <w:ilvl w:val="0"/>
          <w:numId w:val="5"/>
        </w:numPr>
        <w:rPr>
          <w:rFonts w:ascii="Arial" w:cs="Arial" w:eastAsia="Arial" w:hAnsi="Arial"/>
          <w:sz w:val="16"/>
          <w:szCs w:val="16"/>
          <w:color w:val="auto"/>
        </w:rPr>
      </w:pPr>
      <w:r>
        <w:rPr>
          <w:rFonts w:ascii="Arial" w:cs="Arial" w:eastAsia="Arial" w:hAnsi="Arial"/>
          <w:sz w:val="16"/>
          <w:szCs w:val="16"/>
          <w:color w:val="auto"/>
        </w:rPr>
        <w:t>8,529,192</w:t>
      </w:r>
    </w:p>
    <w:p>
      <w:pPr>
        <w:spacing w:after="0" w:line="46" w:lineRule="exact"/>
        <w:rPr>
          <w:rFonts w:ascii="Arial" w:cs="Arial" w:eastAsia="Arial" w:hAnsi="Arial"/>
          <w:sz w:val="16"/>
          <w:szCs w:val="16"/>
          <w:color w:val="auto"/>
        </w:rPr>
      </w:pPr>
    </w:p>
    <w:p>
      <w:pPr>
        <w:ind w:left="201"/>
        <w:spacing w:after="0"/>
        <w:rPr>
          <w:rFonts w:ascii="Arial" w:cs="Arial" w:eastAsia="Arial" w:hAnsi="Arial"/>
          <w:sz w:val="16"/>
          <w:szCs w:val="16"/>
          <w:color w:val="auto"/>
        </w:rPr>
      </w:pPr>
      <w:r>
        <w:rPr>
          <w:rFonts w:ascii="Arial" w:cs="Arial" w:eastAsia="Arial" w:hAnsi="Arial"/>
          <w:sz w:val="16"/>
          <w:szCs w:val="16"/>
          <w:color w:val="auto"/>
        </w:rPr>
        <w:t>39,149,681</w:t>
      </w:r>
    </w:p>
    <w:p>
      <w:pPr>
        <w:spacing w:after="0" w:line="32" w:lineRule="exact"/>
        <w:rPr>
          <w:rFonts w:ascii="Arial" w:cs="Arial" w:eastAsia="Arial" w:hAnsi="Arial"/>
          <w:sz w:val="16"/>
          <w:szCs w:val="16"/>
          <w:color w:val="auto"/>
        </w:rPr>
      </w:pPr>
    </w:p>
    <w:p>
      <w:pPr>
        <w:ind w:left="201"/>
        <w:spacing w:after="0"/>
        <w:rPr>
          <w:rFonts w:ascii="Arial" w:cs="Arial" w:eastAsia="Arial" w:hAnsi="Arial"/>
          <w:sz w:val="16"/>
          <w:szCs w:val="16"/>
          <w:color w:val="auto"/>
        </w:rPr>
      </w:pPr>
      <w:r>
        <w:rPr>
          <w:rFonts w:ascii="Arial" w:cs="Arial" w:eastAsia="Arial" w:hAnsi="Arial"/>
          <w:sz w:val="16"/>
          <w:szCs w:val="16"/>
          <w:color w:val="auto"/>
        </w:rPr>
        <w:t>12,049,006</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1,267,028</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6,441,677</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6,385,952</w:t>
      </w:r>
    </w:p>
    <w:p>
      <w:pPr>
        <w:spacing w:after="0" w:line="32" w:lineRule="exact"/>
        <w:rPr>
          <w:rFonts w:ascii="Arial" w:cs="Arial" w:eastAsia="Arial" w:hAnsi="Arial"/>
          <w:sz w:val="16"/>
          <w:szCs w:val="16"/>
          <w:color w:val="auto"/>
        </w:rPr>
      </w:pPr>
    </w:p>
    <w:p>
      <w:pPr>
        <w:ind w:left="201"/>
        <w:spacing w:after="0"/>
        <w:rPr>
          <w:rFonts w:ascii="Arial" w:cs="Arial" w:eastAsia="Arial" w:hAnsi="Arial"/>
          <w:sz w:val="16"/>
          <w:szCs w:val="16"/>
          <w:color w:val="auto"/>
        </w:rPr>
      </w:pPr>
      <w:r>
        <w:rPr>
          <w:rFonts w:ascii="Arial" w:cs="Arial" w:eastAsia="Arial" w:hAnsi="Arial"/>
          <w:sz w:val="16"/>
          <w:szCs w:val="16"/>
          <w:color w:val="auto"/>
        </w:rPr>
        <w:t>10,188,848</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3,353,372</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5,827,787</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3,006,585</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1,658,397</w:t>
      </w:r>
    </w:p>
    <w:p>
      <w:pPr>
        <w:spacing w:after="0" w:line="32" w:lineRule="exact"/>
        <w:rPr>
          <w:rFonts w:ascii="Arial" w:cs="Arial" w:eastAsia="Arial" w:hAnsi="Arial"/>
          <w:sz w:val="16"/>
          <w:szCs w:val="16"/>
          <w:color w:val="auto"/>
        </w:rPr>
      </w:pPr>
    </w:p>
    <w:p>
      <w:pPr>
        <w:ind w:left="201"/>
        <w:spacing w:after="0"/>
        <w:rPr>
          <w:rFonts w:ascii="Arial" w:cs="Arial" w:eastAsia="Arial" w:hAnsi="Arial"/>
          <w:sz w:val="16"/>
          <w:szCs w:val="16"/>
          <w:color w:val="auto"/>
        </w:rPr>
      </w:pPr>
      <w:r>
        <w:rPr>
          <w:rFonts w:ascii="Arial" w:cs="Arial" w:eastAsia="Arial" w:hAnsi="Arial"/>
          <w:sz w:val="16"/>
          <w:szCs w:val="16"/>
          <w:color w:val="auto"/>
        </w:rPr>
        <w:t>16,532,302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43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114,389,827</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18,475,932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8,657,681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7,685,323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3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7,686,379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4,521,231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2,367,931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32" w:lineRule="exact"/>
        <w:rPr>
          <w:sz w:val="20"/>
          <w:szCs w:val="20"/>
          <w:color w:val="auto"/>
        </w:rPr>
      </w:pPr>
    </w:p>
    <w:p>
      <w:pPr>
        <w:ind w:left="1"/>
        <w:spacing w:after="0"/>
        <w:rPr>
          <w:sz w:val="20"/>
          <w:szCs w:val="20"/>
          <w:color w:val="auto"/>
        </w:rPr>
      </w:pPr>
      <w:r>
        <w:rPr>
          <w:rFonts w:ascii="Arial" w:cs="Arial" w:eastAsia="Arial" w:hAnsi="Arial"/>
          <w:sz w:val="15"/>
          <w:szCs w:val="15"/>
          <w:u w:val="single" w:color="auto"/>
          <w:color w:val="auto"/>
        </w:rPr>
        <w:t>$ 156,099,087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43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ectPr>
          <w:pgSz w:w="11900" w:h="16838" w:orient="portrait"/>
          <w:cols w:equalWidth="0" w:num="2">
            <w:col w:w="9579" w:space="720"/>
            <w:col w:w="1021"/>
          </w:cols>
          <w:pgMar w:left="240" w:top="41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14"/>
                <w:szCs w:val="14"/>
                <w:color w:val="auto"/>
              </w:rPr>
            </w:pPr>
          </w:p>
        </w:tc>
        <w:tc>
          <w:tcPr>
            <w:tcW w:w="10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9"/>
                <w:szCs w:val="19"/>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Consent of Deloitte &amp; Touche LLP</w:t>
            </w:r>
          </w:p>
        </w:tc>
      </w:tr>
      <w:tr>
        <w:trPr>
          <w:trHeight w:val="617"/>
        </w:trPr>
        <w:tc>
          <w:tcPr>
            <w:tcW w:w="7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w:t>
      </w:r>
      <w:r>
        <w:rPr>
          <w:rFonts w:ascii="Arial" w:cs="Arial" w:eastAsia="Arial" w:hAnsi="Arial"/>
          <w:sz w:val="18"/>
          <w:szCs w:val="18"/>
          <w:i w:val="1"/>
          <w:iCs w:val="1"/>
          <w:color w:val="auto"/>
        </w:rPr>
        <w:t xml:space="preserve"> </w:t>
      </w:r>
      <w:r>
        <w:rPr>
          <w:rFonts w:ascii="Arial" w:cs="Arial" w:eastAsia="Arial" w:hAnsi="Arial"/>
          <w:sz w:val="18"/>
          <w:szCs w:val="18"/>
          <w:color w:val="auto"/>
        </w:rPr>
        <w:t>have duly caused this annual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MATCHED 401(k) PLAN</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June 29,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VOSE</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Gary Vose</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Plan Administrative Committee Member</w:t>
            </w:r>
          </w:p>
        </w:tc>
      </w:tr>
    </w:tbl>
    <w:p>
      <w:pPr>
        <w:sectPr>
          <w:pgSz w:w="11900" w:h="16838" w:orient="portrait"/>
          <w:cols w:equalWidth="0" w:num="1">
            <w:col w:w="11220"/>
          </w:cols>
          <w:pgMar w:left="240" w:top="419" w:right="4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consent to the incorporation by reference in Registration Statement No. 333-44505 on Form S-8 of our report dated June 22, 2007, appearing in this Annual Report on Form 11-K of Brady Corporation Brady Matched 401(k) Plan for the years ended December 31,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2007</w:t>
      </w:r>
    </w:p>
    <w:sectPr>
      <w:pgSz w:w="11900" w:h="16838" w:orient="portrait"/>
      <w:cols w:equalWidth="0" w:num="1">
        <w:col w:w="11420"/>
      </w:cols>
      <w:pgMar w:left="240" w:top="1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2019-12-13T14:15:19Z</dcterms:created>
  <dcterms:modified xsi:type="dcterms:W3CDTF">2019-12-13T14:15:19Z</dcterms:modified>
</cp:coreProperties>
</file>